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FA66" w14:textId="77777777" w:rsidR="001A05F4" w:rsidRPr="001A05F4" w:rsidRDefault="001A05F4" w:rsidP="001A05F4">
      <w:pPr>
        <w:spacing w:after="0" w:line="240" w:lineRule="auto"/>
        <w:ind w:right="-425"/>
        <w:jc w:val="center"/>
        <w:rPr>
          <w:rFonts w:ascii="Arial Black" w:hAnsi="Arial Black" w:cs="Times New Roman"/>
        </w:rPr>
      </w:pPr>
      <w:r w:rsidRPr="001A05F4">
        <w:rPr>
          <w:rFonts w:ascii="Arial Black" w:hAnsi="Arial Black" w:cs="Times New Roman"/>
        </w:rPr>
        <w:t>MODELO DE PETIÇÃO</w:t>
      </w:r>
    </w:p>
    <w:p w14:paraId="663EDEDD" w14:textId="77777777" w:rsidR="001A05F4" w:rsidRPr="001A05F4" w:rsidRDefault="001A05F4" w:rsidP="001A05F4">
      <w:pPr>
        <w:spacing w:after="0" w:line="240" w:lineRule="auto"/>
        <w:ind w:right="-425"/>
        <w:jc w:val="center"/>
        <w:rPr>
          <w:rFonts w:ascii="Arial Black" w:hAnsi="Arial Black" w:cs="Times New Roman"/>
        </w:rPr>
      </w:pPr>
      <w:r w:rsidRPr="001A05F4">
        <w:rPr>
          <w:rFonts w:ascii="Arial Black" w:hAnsi="Arial Black" w:cs="Times New Roman"/>
        </w:rPr>
        <w:t>SUCESSÃO. PRESCRIÇÃO. TEMA REPETITIVO 1.200 DO STJ.</w:t>
      </w:r>
    </w:p>
    <w:p w14:paraId="14F8ACE3" w14:textId="294D7F40" w:rsidR="001A05F4" w:rsidRPr="001A05F4" w:rsidRDefault="001A05F4" w:rsidP="001A05F4">
      <w:pPr>
        <w:spacing w:after="0" w:line="240" w:lineRule="auto"/>
        <w:ind w:right="-425"/>
        <w:jc w:val="center"/>
        <w:rPr>
          <w:rFonts w:ascii="Arial Black" w:hAnsi="Arial Black" w:cs="Times New Roman"/>
        </w:rPr>
      </w:pPr>
      <w:r w:rsidRPr="001A05F4">
        <w:rPr>
          <w:rFonts w:ascii="Arial Black" w:hAnsi="Arial Black" w:cs="Times New Roman"/>
        </w:rPr>
        <w:t>PRAZO PRESCRICIONAL. PETIÇÃO DE HERANÇA.</w:t>
      </w:r>
    </w:p>
    <w:p w14:paraId="230D49D2" w14:textId="77777777" w:rsidR="001A05F4" w:rsidRPr="001A05F4" w:rsidRDefault="001A05F4" w:rsidP="001A05F4">
      <w:pPr>
        <w:spacing w:after="0" w:line="240" w:lineRule="auto"/>
        <w:ind w:right="-425"/>
        <w:jc w:val="center"/>
        <w:rPr>
          <w:rFonts w:ascii="Arial Black" w:hAnsi="Arial Black" w:cs="Times New Roman"/>
        </w:rPr>
      </w:pPr>
      <w:r w:rsidRPr="001A05F4">
        <w:rPr>
          <w:rFonts w:ascii="Arial Black" w:hAnsi="Arial Black" w:cs="Times New Roman"/>
        </w:rPr>
        <w:t>ABERTURA DA SUCESSÃO. RECURSO ESPECIAL. CONTRARRAZÕES</w:t>
      </w:r>
    </w:p>
    <w:p w14:paraId="4FD5D075" w14:textId="77777777" w:rsidR="001A05F4" w:rsidRPr="001A05F4" w:rsidRDefault="001A05F4" w:rsidP="001A05F4">
      <w:pPr>
        <w:spacing w:after="0" w:line="240" w:lineRule="auto"/>
        <w:ind w:right="-425"/>
        <w:jc w:val="right"/>
        <w:rPr>
          <w:rFonts w:ascii="Arial Black" w:hAnsi="Arial Black" w:cs="Times New Roman"/>
        </w:rPr>
      </w:pPr>
      <w:proofErr w:type="spellStart"/>
      <w:r w:rsidRPr="001A05F4">
        <w:rPr>
          <w:rFonts w:ascii="Arial Black" w:hAnsi="Arial Black" w:cs="Times New Roman"/>
        </w:rPr>
        <w:t>Rénan</w:t>
      </w:r>
      <w:proofErr w:type="spellEnd"/>
      <w:r w:rsidRPr="001A05F4">
        <w:rPr>
          <w:rFonts w:ascii="Arial Black" w:hAnsi="Arial Black" w:cs="Times New Roman"/>
        </w:rPr>
        <w:t xml:space="preserve"> </w:t>
      </w:r>
      <w:proofErr w:type="spellStart"/>
      <w:r w:rsidRPr="001A05F4">
        <w:rPr>
          <w:rFonts w:ascii="Arial Black" w:hAnsi="Arial Black" w:cs="Times New Roman"/>
        </w:rPr>
        <w:t>Kfuri</w:t>
      </w:r>
      <w:proofErr w:type="spellEnd"/>
      <w:r w:rsidRPr="001A05F4">
        <w:rPr>
          <w:rFonts w:ascii="Arial Black" w:hAnsi="Arial Black" w:cs="Times New Roman"/>
        </w:rPr>
        <w:t xml:space="preserve"> Lopes</w:t>
      </w:r>
    </w:p>
    <w:p w14:paraId="58AB0A2B" w14:textId="77777777" w:rsidR="001A05F4" w:rsidRPr="001A05F4" w:rsidRDefault="001A05F4" w:rsidP="001A05F4">
      <w:pPr>
        <w:ind w:right="-427"/>
        <w:jc w:val="both"/>
        <w:rPr>
          <w:rFonts w:ascii="Times New Roman" w:hAnsi="Times New Roman" w:cs="Times New Roman"/>
        </w:rPr>
      </w:pPr>
    </w:p>
    <w:p w14:paraId="79BA2D36" w14:textId="76273608" w:rsidR="001A05F4" w:rsidRDefault="001A05F4" w:rsidP="001A05F4">
      <w:pPr>
        <w:ind w:right="-427"/>
        <w:jc w:val="both"/>
        <w:rPr>
          <w:rFonts w:ascii="Times New Roman" w:hAnsi="Times New Roman" w:cs="Times New Roman"/>
        </w:rPr>
      </w:pPr>
      <w:r w:rsidRPr="001A05F4">
        <w:rPr>
          <w:rFonts w:ascii="Times New Roman" w:hAnsi="Times New Roman" w:cs="Times New Roman"/>
        </w:rPr>
        <w:t>E</w:t>
      </w:r>
      <w:r>
        <w:rPr>
          <w:rFonts w:ascii="Times New Roman" w:hAnsi="Times New Roman" w:cs="Times New Roman"/>
        </w:rPr>
        <w:t>xmo. Sr. Desembargador ... – DD Relator do Recurso Especial n. ...- Vice-Presidência do Tribunal de Justiça de ...</w:t>
      </w:r>
    </w:p>
    <w:p w14:paraId="0AA14C78" w14:textId="48A08AD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NU/CNJ </w:t>
      </w:r>
      <w:r>
        <w:rPr>
          <w:rFonts w:ascii="Times New Roman" w:hAnsi="Times New Roman" w:cs="Times New Roman"/>
        </w:rPr>
        <w:t>...</w:t>
      </w:r>
    </w:p>
    <w:p w14:paraId="68FF534F" w14:textId="2E47AF0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TJMG n. </w:t>
      </w:r>
      <w:r>
        <w:rPr>
          <w:rFonts w:ascii="Times New Roman" w:hAnsi="Times New Roman" w:cs="Times New Roman"/>
        </w:rPr>
        <w:t>...</w:t>
      </w:r>
    </w:p>
    <w:p w14:paraId="3968BFBD" w14:textId="1BD8EC6B" w:rsidR="001A05F4" w:rsidRPr="001A05F4" w:rsidRDefault="00D22A76" w:rsidP="001A05F4">
      <w:pPr>
        <w:ind w:right="-427"/>
        <w:jc w:val="both"/>
        <w:rPr>
          <w:rFonts w:ascii="Times New Roman" w:hAnsi="Times New Roman" w:cs="Times New Roman"/>
        </w:rPr>
      </w:pPr>
      <w:r>
        <w:rPr>
          <w:rFonts w:ascii="Times New Roman" w:hAnsi="Times New Roman" w:cs="Times New Roman"/>
        </w:rPr>
        <w:t>(nome)</w:t>
      </w:r>
      <w:r w:rsidR="001A05F4" w:rsidRPr="001A05F4">
        <w:rPr>
          <w:rFonts w:ascii="Times New Roman" w:hAnsi="Times New Roman" w:cs="Times New Roman"/>
        </w:rPr>
        <w:t xml:space="preserve">, recorrida, pelos advogados </w:t>
      </w:r>
      <w:r w:rsidR="001A05F4" w:rsidRPr="00D22A76">
        <w:rPr>
          <w:rFonts w:ascii="Times New Roman" w:hAnsi="Times New Roman" w:cs="Times New Roman"/>
          <w:i/>
          <w:iCs/>
        </w:rPr>
        <w:t>in fine</w:t>
      </w:r>
      <w:r w:rsidR="001A05F4" w:rsidRPr="001A05F4">
        <w:rPr>
          <w:rFonts w:ascii="Times New Roman" w:hAnsi="Times New Roman" w:cs="Times New Roman"/>
        </w:rPr>
        <w:t xml:space="preserve"> assinados, nos autos do recurso epigrafado que contende contra </w:t>
      </w:r>
      <w:r>
        <w:rPr>
          <w:rFonts w:ascii="Times New Roman" w:hAnsi="Times New Roman" w:cs="Times New Roman"/>
        </w:rPr>
        <w:t>...</w:t>
      </w:r>
      <w:r w:rsidR="001A05F4" w:rsidRPr="001A05F4">
        <w:rPr>
          <w:rFonts w:ascii="Times New Roman" w:hAnsi="Times New Roman" w:cs="Times New Roman"/>
        </w:rPr>
        <w:t xml:space="preserve"> e outros, recorrentes, vem, respeitosamente, apresentar suas CONTRARRAZÕES AO RECURSO ESPECIAL [CPC, art. 1.030], pelas razões adiante articuladas:</w:t>
      </w:r>
    </w:p>
    <w:p w14:paraId="65025585" w14:textId="77777777" w:rsidR="001A05F4" w:rsidRPr="00D22A76" w:rsidRDefault="001A05F4" w:rsidP="001A05F4">
      <w:pPr>
        <w:ind w:right="-427"/>
        <w:jc w:val="both"/>
        <w:rPr>
          <w:rFonts w:ascii="Times New Roman" w:hAnsi="Times New Roman" w:cs="Times New Roman"/>
          <w:b/>
          <w:bCs/>
        </w:rPr>
      </w:pPr>
      <w:r w:rsidRPr="00D22A76">
        <w:rPr>
          <w:rFonts w:ascii="Times New Roman" w:hAnsi="Times New Roman" w:cs="Times New Roman"/>
          <w:b/>
          <w:bCs/>
        </w:rPr>
        <w:t>CONTRARRAZÕES AO RECURSO ESPECIAL</w:t>
      </w:r>
    </w:p>
    <w:p w14:paraId="2597C302" w14:textId="31594C5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Autos Originários [1ª Instância]:</w:t>
      </w:r>
      <w:r w:rsidRPr="001A05F4">
        <w:rPr>
          <w:rFonts w:ascii="Times New Roman" w:hAnsi="Times New Roman" w:cs="Times New Roman"/>
        </w:rPr>
        <w:tab/>
      </w:r>
      <w:r w:rsidR="00D22A76">
        <w:rPr>
          <w:rFonts w:ascii="Times New Roman" w:hAnsi="Times New Roman" w:cs="Times New Roman"/>
        </w:rPr>
        <w:t>...</w:t>
      </w:r>
    </w:p>
    <w:p w14:paraId="4A20E896" w14:textId="66707C7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Agravo de Instrumento:</w:t>
      </w:r>
      <w:r w:rsidRPr="001A05F4">
        <w:rPr>
          <w:rFonts w:ascii="Times New Roman" w:hAnsi="Times New Roman" w:cs="Times New Roman"/>
        </w:rPr>
        <w:tab/>
      </w:r>
      <w:r w:rsidRPr="001A05F4">
        <w:rPr>
          <w:rFonts w:ascii="Times New Roman" w:hAnsi="Times New Roman" w:cs="Times New Roman"/>
        </w:rPr>
        <w:tab/>
      </w:r>
      <w:r w:rsidR="00D22A76">
        <w:rPr>
          <w:rFonts w:ascii="Times New Roman" w:hAnsi="Times New Roman" w:cs="Times New Roman"/>
        </w:rPr>
        <w:t>...</w:t>
      </w:r>
    </w:p>
    <w:p w14:paraId="6B87998E" w14:textId="37A916E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Juízo de Origem:</w:t>
      </w:r>
      <w:r w:rsidRPr="001A05F4">
        <w:rPr>
          <w:rFonts w:ascii="Times New Roman" w:hAnsi="Times New Roman" w:cs="Times New Roman"/>
        </w:rPr>
        <w:tab/>
      </w:r>
      <w:r w:rsidRPr="001A05F4">
        <w:rPr>
          <w:rFonts w:ascii="Times New Roman" w:hAnsi="Times New Roman" w:cs="Times New Roman"/>
        </w:rPr>
        <w:tab/>
      </w:r>
      <w:r w:rsidRPr="001A05F4">
        <w:rPr>
          <w:rFonts w:ascii="Times New Roman" w:hAnsi="Times New Roman" w:cs="Times New Roman"/>
        </w:rPr>
        <w:tab/>
      </w:r>
      <w:r w:rsidR="00D22A76">
        <w:rPr>
          <w:rFonts w:ascii="Times New Roman" w:hAnsi="Times New Roman" w:cs="Times New Roman"/>
        </w:rPr>
        <w:t>...</w:t>
      </w:r>
      <w:r w:rsidRPr="001A05F4">
        <w:rPr>
          <w:rFonts w:ascii="Times New Roman" w:hAnsi="Times New Roman" w:cs="Times New Roman"/>
        </w:rPr>
        <w:t>ª Câmara Cível Especializada do TJ</w:t>
      </w:r>
      <w:r w:rsidR="00D22A76">
        <w:rPr>
          <w:rFonts w:ascii="Times New Roman" w:hAnsi="Times New Roman" w:cs="Times New Roman"/>
        </w:rPr>
        <w:t>...</w:t>
      </w:r>
    </w:p>
    <w:p w14:paraId="4C1ADF56" w14:textId="35365F6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Recorrentes:</w:t>
      </w:r>
      <w:r w:rsidRPr="001A05F4">
        <w:rPr>
          <w:rFonts w:ascii="Times New Roman" w:hAnsi="Times New Roman" w:cs="Times New Roman"/>
        </w:rPr>
        <w:tab/>
      </w:r>
      <w:r w:rsidRPr="001A05F4">
        <w:rPr>
          <w:rFonts w:ascii="Times New Roman" w:hAnsi="Times New Roman" w:cs="Times New Roman"/>
        </w:rPr>
        <w:tab/>
      </w:r>
      <w:r w:rsidRPr="001A05F4">
        <w:rPr>
          <w:rFonts w:ascii="Times New Roman" w:hAnsi="Times New Roman" w:cs="Times New Roman"/>
        </w:rPr>
        <w:tab/>
      </w:r>
      <w:r w:rsidRPr="001A05F4">
        <w:rPr>
          <w:rFonts w:ascii="Times New Roman" w:hAnsi="Times New Roman" w:cs="Times New Roman"/>
        </w:rPr>
        <w:tab/>
      </w:r>
      <w:r w:rsidR="00D22A76">
        <w:rPr>
          <w:rFonts w:ascii="Times New Roman" w:hAnsi="Times New Roman" w:cs="Times New Roman"/>
        </w:rPr>
        <w:t>...</w:t>
      </w:r>
      <w:r w:rsidRPr="001A05F4">
        <w:rPr>
          <w:rFonts w:ascii="Times New Roman" w:hAnsi="Times New Roman" w:cs="Times New Roman"/>
        </w:rPr>
        <w:t xml:space="preserve"> e outros</w:t>
      </w:r>
    </w:p>
    <w:p w14:paraId="3DFFF9A1" w14:textId="33C22AB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Recorrida:</w:t>
      </w:r>
      <w:r w:rsidRPr="001A05F4">
        <w:rPr>
          <w:rFonts w:ascii="Times New Roman" w:hAnsi="Times New Roman" w:cs="Times New Roman"/>
        </w:rPr>
        <w:tab/>
      </w:r>
      <w:r w:rsidRPr="001A05F4">
        <w:rPr>
          <w:rFonts w:ascii="Times New Roman" w:hAnsi="Times New Roman" w:cs="Times New Roman"/>
        </w:rPr>
        <w:tab/>
      </w:r>
      <w:r w:rsidRPr="001A05F4">
        <w:rPr>
          <w:rFonts w:ascii="Times New Roman" w:hAnsi="Times New Roman" w:cs="Times New Roman"/>
        </w:rPr>
        <w:tab/>
      </w:r>
      <w:r w:rsidRPr="001A05F4">
        <w:rPr>
          <w:rFonts w:ascii="Times New Roman" w:hAnsi="Times New Roman" w:cs="Times New Roman"/>
        </w:rPr>
        <w:tab/>
      </w:r>
      <w:r w:rsidR="00D22A76">
        <w:rPr>
          <w:rFonts w:ascii="Times New Roman" w:hAnsi="Times New Roman" w:cs="Times New Roman"/>
        </w:rPr>
        <w:t>...</w:t>
      </w:r>
      <w:r w:rsidRPr="001A05F4">
        <w:rPr>
          <w:rFonts w:ascii="Times New Roman" w:hAnsi="Times New Roman" w:cs="Times New Roman"/>
        </w:rPr>
        <w:t xml:space="preserve"> e outros</w:t>
      </w:r>
    </w:p>
    <w:p w14:paraId="3BF08021" w14:textId="32DEB3E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Egrégio Superior Tribunal de Justiça,</w:t>
      </w:r>
      <w:r w:rsidR="00D22A76">
        <w:rPr>
          <w:rFonts w:ascii="Times New Roman" w:hAnsi="Times New Roman" w:cs="Times New Roman"/>
        </w:rPr>
        <w:t xml:space="preserve"> </w:t>
      </w:r>
      <w:r w:rsidRPr="001A05F4">
        <w:rPr>
          <w:rFonts w:ascii="Times New Roman" w:hAnsi="Times New Roman" w:cs="Times New Roman"/>
        </w:rPr>
        <w:t>Colenda Turma,</w:t>
      </w:r>
      <w:r w:rsidR="00D22A76">
        <w:rPr>
          <w:rFonts w:ascii="Times New Roman" w:hAnsi="Times New Roman" w:cs="Times New Roman"/>
        </w:rPr>
        <w:t xml:space="preserve"> </w:t>
      </w:r>
      <w:r w:rsidRPr="001A05F4">
        <w:rPr>
          <w:rFonts w:ascii="Times New Roman" w:hAnsi="Times New Roman" w:cs="Times New Roman"/>
        </w:rPr>
        <w:t>Ínclitos Ministros.</w:t>
      </w:r>
    </w:p>
    <w:p w14:paraId="14705785" w14:textId="6BFC7E95" w:rsidR="001A05F4" w:rsidRPr="00D22A76" w:rsidRDefault="00D22A76" w:rsidP="00D22A76">
      <w:pPr>
        <w:ind w:right="-427"/>
        <w:jc w:val="both"/>
        <w:rPr>
          <w:rFonts w:ascii="Times New Roman" w:hAnsi="Times New Roman" w:cs="Times New Roman"/>
          <w:b/>
          <w:bCs/>
        </w:rPr>
      </w:pPr>
      <w:r w:rsidRPr="00D22A76">
        <w:rPr>
          <w:rFonts w:ascii="Times New Roman" w:hAnsi="Times New Roman" w:cs="Times New Roman"/>
          <w:b/>
          <w:bCs/>
        </w:rPr>
        <w:t xml:space="preserve">I- </w:t>
      </w:r>
      <w:r w:rsidR="001A05F4" w:rsidRPr="00D22A76">
        <w:rPr>
          <w:rFonts w:ascii="Times New Roman" w:hAnsi="Times New Roman" w:cs="Times New Roman"/>
          <w:b/>
          <w:bCs/>
        </w:rPr>
        <w:t>SÍNTESE PROCESSUAL E DELIMITAÇÃO DA CONTROVÉRSIA</w:t>
      </w:r>
    </w:p>
    <w:p w14:paraId="34DA4183" w14:textId="56B5DC97"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Trata-se originalmente de uma “</w:t>
      </w:r>
      <w:r w:rsidRPr="00D22A76">
        <w:rPr>
          <w:rFonts w:ascii="Times New Roman" w:hAnsi="Times New Roman" w:cs="Times New Roman"/>
          <w:i/>
          <w:iCs/>
        </w:rPr>
        <w:t>Ação de Investigação de Paternidade/Avoenga cumulada com Pedido de Herança</w:t>
      </w:r>
      <w:r w:rsidRPr="001A05F4">
        <w:rPr>
          <w:rFonts w:ascii="Times New Roman" w:hAnsi="Times New Roman" w:cs="Times New Roman"/>
        </w:rPr>
        <w:t xml:space="preserve">” promovida em </w:t>
      </w:r>
      <w:r w:rsidR="00D22A76">
        <w:rPr>
          <w:rFonts w:ascii="Times New Roman" w:hAnsi="Times New Roman" w:cs="Times New Roman"/>
        </w:rPr>
        <w:t>...</w:t>
      </w:r>
      <w:r w:rsidRPr="001A05F4">
        <w:rPr>
          <w:rFonts w:ascii="Times New Roman" w:hAnsi="Times New Roman" w:cs="Times New Roman"/>
        </w:rPr>
        <w:t xml:space="preserve"> pelos ora recorre3ntes perante a d. </w:t>
      </w:r>
      <w:r w:rsidR="00D22A76">
        <w:rPr>
          <w:rFonts w:ascii="Times New Roman" w:hAnsi="Times New Roman" w:cs="Times New Roman"/>
        </w:rPr>
        <w:t>...</w:t>
      </w:r>
      <w:r w:rsidRPr="001A05F4">
        <w:rPr>
          <w:rFonts w:ascii="Times New Roman" w:hAnsi="Times New Roman" w:cs="Times New Roman"/>
        </w:rPr>
        <w:t xml:space="preserve">ª Vara de Família da Comarca de </w:t>
      </w:r>
      <w:r w:rsidR="00D22A76">
        <w:rPr>
          <w:rFonts w:ascii="Times New Roman" w:hAnsi="Times New Roman" w:cs="Times New Roman"/>
        </w:rPr>
        <w:t>...</w:t>
      </w:r>
    </w:p>
    <w:p w14:paraId="69D9365F" w14:textId="64C9ECE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Na petição inicial, além do reconhecimento post mortem do vínculo de parentesco em relação a </w:t>
      </w:r>
      <w:r w:rsidR="00D22A76">
        <w:rPr>
          <w:rFonts w:ascii="Times New Roman" w:hAnsi="Times New Roman" w:cs="Times New Roman"/>
        </w:rPr>
        <w:t>...</w:t>
      </w:r>
      <w:r w:rsidRPr="001A05F4">
        <w:rPr>
          <w:rFonts w:ascii="Times New Roman" w:hAnsi="Times New Roman" w:cs="Times New Roman"/>
        </w:rPr>
        <w:t>, também foram deduzidas pretensões de natureza sucessória, com repercussão sobre o patrimônio objeto do inventário do falecido.</w:t>
      </w:r>
    </w:p>
    <w:p w14:paraId="3D6A9DAD" w14:textId="0BCBA22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Importante destacar que </w:t>
      </w:r>
      <w:r w:rsidR="00D22A76">
        <w:rPr>
          <w:rFonts w:ascii="Times New Roman" w:hAnsi="Times New Roman" w:cs="Times New Roman"/>
        </w:rPr>
        <w:t>...</w:t>
      </w:r>
      <w:r w:rsidRPr="001A05F4">
        <w:rPr>
          <w:rFonts w:ascii="Times New Roman" w:hAnsi="Times New Roman" w:cs="Times New Roman"/>
        </w:rPr>
        <w:t xml:space="preserve"> faleceu em </w:t>
      </w:r>
      <w:r w:rsidR="00D22A76">
        <w:rPr>
          <w:rFonts w:ascii="Times New Roman" w:hAnsi="Times New Roman" w:cs="Times New Roman"/>
        </w:rPr>
        <w:t>...</w:t>
      </w:r>
      <w:r w:rsidRPr="001A05F4">
        <w:rPr>
          <w:rFonts w:ascii="Times New Roman" w:hAnsi="Times New Roman" w:cs="Times New Roman"/>
        </w:rPr>
        <w:t xml:space="preserve">, data em que se operou a abertura da sucessão pelo princípio da saisine; por sua vez, a ação investigatória cumulada com pedido de herança somente foi ajuizada em </w:t>
      </w:r>
      <w:r w:rsidR="00D22A76">
        <w:rPr>
          <w:rFonts w:ascii="Times New Roman" w:hAnsi="Times New Roman" w:cs="Times New Roman"/>
        </w:rPr>
        <w:t>...</w:t>
      </w:r>
      <w:r w:rsidRPr="001A05F4">
        <w:rPr>
          <w:rFonts w:ascii="Times New Roman" w:hAnsi="Times New Roman" w:cs="Times New Roman"/>
        </w:rPr>
        <w:t>, mais de 20 [vinte] anos depois.</w:t>
      </w:r>
    </w:p>
    <w:p w14:paraId="69F55D36" w14:textId="40556FE0"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Durante a trâmite da demanda, foi arguida pelos réus/ora recorridos a ocorrência do instituto da prescrição da pretensão de petição de herança, tendo em vista o elevado lapso temporal existente entre abertura da sucessão e pretensão do direito material.</w:t>
      </w:r>
    </w:p>
    <w:p w14:paraId="0505D55C" w14:textId="77777777" w:rsidR="001A05F4" w:rsidRPr="001A05F4" w:rsidRDefault="001A05F4" w:rsidP="001A05F4">
      <w:pPr>
        <w:ind w:right="-427"/>
        <w:jc w:val="both"/>
        <w:rPr>
          <w:rFonts w:ascii="Times New Roman" w:hAnsi="Times New Roman" w:cs="Times New Roman"/>
        </w:rPr>
      </w:pPr>
    </w:p>
    <w:p w14:paraId="0D05D27D" w14:textId="28B1B539"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 xml:space="preserve">Após oportunizado o contraditório aos autores/ora recorrentes, o d. juízo de primeiro grau acolheu a prejudicial de mérito e reconheceu a prescrição exclusivamente quanto ao pedido patrimonial, determinando o prosseguimento da demanda no tocante à investigação de paternidade </w:t>
      </w:r>
      <w:r w:rsidRPr="00D22A76">
        <w:rPr>
          <w:rFonts w:ascii="Times New Roman" w:hAnsi="Times New Roman" w:cs="Times New Roman"/>
          <w:i/>
          <w:iCs/>
        </w:rPr>
        <w:t>post mortem</w:t>
      </w:r>
      <w:r w:rsidRPr="001A05F4">
        <w:rPr>
          <w:rFonts w:ascii="Times New Roman" w:hAnsi="Times New Roman" w:cs="Times New Roman"/>
        </w:rPr>
        <w:t>.</w:t>
      </w:r>
    </w:p>
    <w:p w14:paraId="54B4A0B0" w14:textId="4482252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Contra o referido decisum foi interposto agravo de instrumento. Os autores suscitaram, em síntese, a incompetência absoluta do juízo de família para apreciar matéria relacionada à petição de herança, alegaram cerceamento de defesa e sustentaram, no mérito, que o prazo prescricional não poderia ser contado da abertura da sucessão na forma do julgamento do Tema Repetitivo n. 1.200 do Superior Tribunal de Justiça.</w:t>
      </w:r>
    </w:p>
    <w:p w14:paraId="05C3C520" w14:textId="26AECBA9"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No julgamento do agravo de instrumento, por maioria, a colenda </w:t>
      </w:r>
      <w:r w:rsidR="00D22A76">
        <w:rPr>
          <w:rFonts w:ascii="Times New Roman" w:hAnsi="Times New Roman" w:cs="Times New Roman"/>
        </w:rPr>
        <w:t>...</w:t>
      </w:r>
      <w:r w:rsidRPr="001A05F4">
        <w:rPr>
          <w:rFonts w:ascii="Times New Roman" w:hAnsi="Times New Roman" w:cs="Times New Roman"/>
        </w:rPr>
        <w:t xml:space="preserve">ª Câmara Cível Especializada do Tribunal de Justiça de </w:t>
      </w:r>
      <w:r w:rsidR="00D22A76">
        <w:rPr>
          <w:rFonts w:ascii="Times New Roman" w:hAnsi="Times New Roman" w:cs="Times New Roman"/>
        </w:rPr>
        <w:t>...</w:t>
      </w:r>
      <w:r w:rsidRPr="001A05F4">
        <w:rPr>
          <w:rFonts w:ascii="Times New Roman" w:hAnsi="Times New Roman" w:cs="Times New Roman"/>
        </w:rPr>
        <w:t xml:space="preserve"> rejeitou as preliminares suscitadas e negou provimento ao recurso.</w:t>
      </w:r>
    </w:p>
    <w:p w14:paraId="13EB016E" w14:textId="495D6FE7"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Quanto à prescrição do direito material, o </w:t>
      </w:r>
      <w:proofErr w:type="spellStart"/>
      <w:r w:rsidRPr="001A05F4">
        <w:rPr>
          <w:rFonts w:ascii="Times New Roman" w:hAnsi="Times New Roman" w:cs="Times New Roman"/>
        </w:rPr>
        <w:t>eg</w:t>
      </w:r>
      <w:proofErr w:type="spellEnd"/>
      <w:r w:rsidRPr="001A05F4">
        <w:rPr>
          <w:rFonts w:ascii="Times New Roman" w:hAnsi="Times New Roman" w:cs="Times New Roman"/>
        </w:rPr>
        <w:t>. TJ</w:t>
      </w:r>
      <w:r w:rsidR="00D22A76">
        <w:rPr>
          <w:rFonts w:ascii="Times New Roman" w:hAnsi="Times New Roman" w:cs="Times New Roman"/>
        </w:rPr>
        <w:t>...</w:t>
      </w:r>
      <w:r w:rsidRPr="001A05F4">
        <w:rPr>
          <w:rFonts w:ascii="Times New Roman" w:hAnsi="Times New Roman" w:cs="Times New Roman"/>
        </w:rPr>
        <w:t xml:space="preserve"> adotou a orientação firmada pelo colendo Superior Tribunal de Justiça no Tema Repetitivo n. 1.200, segundo a qual o prazo para exercício da petição de herança tem início na abertura da sucessão, independentemente do ajuizamento ou do trânsito em julgado da ação de reconhecimento de filiação.</w:t>
      </w:r>
    </w:p>
    <w:p w14:paraId="2D73A508" w14:textId="209AC45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Também foi examinada pelo d. Colegiado a incidência das regras de direito intertemporal, concluindo-se pela aplicação, na espécie vertente, do prazo decenal previsto no art. 205 do Código Civil.</w:t>
      </w:r>
    </w:p>
    <w:p w14:paraId="2E5374F6" w14:textId="6C6A114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Os embargos de declaração aviados pelos ora recorrentes foram rejeitados por unanimidade, por não se verificarem quaisquer dos vícios previstos no art. 1.022 do Código de Processo Civil — obscuridade, contradição, omissão ou erro material.</w:t>
      </w:r>
    </w:p>
    <w:p w14:paraId="61A13E27" w14:textId="38CC4F1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Por derradeiro, no recurso especial ora contrarrazoado os recorrentes reeditam o inconformismo, reiterando a alegação de incompetência do d. Juízo de Família e a insurgência contra o reconhecimento da prescrição, matérias suficientemente e exaustivamente apreciadas pelo </w:t>
      </w:r>
      <w:proofErr w:type="spellStart"/>
      <w:r w:rsidRPr="001A05F4">
        <w:rPr>
          <w:rFonts w:ascii="Times New Roman" w:hAnsi="Times New Roman" w:cs="Times New Roman"/>
        </w:rPr>
        <w:t>eg</w:t>
      </w:r>
      <w:proofErr w:type="spellEnd"/>
      <w:r w:rsidRPr="001A05F4">
        <w:rPr>
          <w:rFonts w:ascii="Times New Roman" w:hAnsi="Times New Roman" w:cs="Times New Roman"/>
        </w:rPr>
        <w:t xml:space="preserve">. Tribunal de Justiça de </w:t>
      </w:r>
      <w:r w:rsidR="00D22A76">
        <w:rPr>
          <w:rFonts w:ascii="Times New Roman" w:hAnsi="Times New Roman" w:cs="Times New Roman"/>
        </w:rPr>
        <w:t>...</w:t>
      </w:r>
    </w:p>
    <w:p w14:paraId="2FD0C64A" w14:textId="1103E59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Acrescentam, entretanto, construção jurídica segundo a qual, por permanecer o inventário em curso, a pretensão patrimonial deduzida na ação originária deveria ser qualificada como “</w:t>
      </w:r>
      <w:r w:rsidRPr="00D22A76">
        <w:rPr>
          <w:rFonts w:ascii="Times New Roman" w:hAnsi="Times New Roman" w:cs="Times New Roman"/>
          <w:i/>
          <w:iCs/>
        </w:rPr>
        <w:t>habilitação incidental retardatária</w:t>
      </w:r>
      <w:r w:rsidRPr="001A05F4">
        <w:rPr>
          <w:rFonts w:ascii="Times New Roman" w:hAnsi="Times New Roman" w:cs="Times New Roman"/>
        </w:rPr>
        <w:t>”, e não como “</w:t>
      </w:r>
      <w:r w:rsidRPr="00D22A76">
        <w:rPr>
          <w:rFonts w:ascii="Times New Roman" w:hAnsi="Times New Roman" w:cs="Times New Roman"/>
          <w:i/>
          <w:iCs/>
        </w:rPr>
        <w:t>petição de herança</w:t>
      </w:r>
      <w:r w:rsidRPr="001A05F4">
        <w:rPr>
          <w:rFonts w:ascii="Times New Roman" w:hAnsi="Times New Roman" w:cs="Times New Roman"/>
        </w:rPr>
        <w:t>” autônoma, sujeita ao regime prescricional reconhecido pelo v. acórdão recorrido.</w:t>
      </w:r>
    </w:p>
    <w:p w14:paraId="67BC8612" w14:textId="5D8C052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Delimitada, nesses termos, a controvérsia devolvida pela via excepcional, passa-se à demonstração dos óbices que impedem o conhecimento do recurso especial e, subsidiariamente, da absoluta improcedência das teses recursais.</w:t>
      </w:r>
    </w:p>
    <w:p w14:paraId="159FF20B" w14:textId="4E78A715" w:rsidR="001A05F4" w:rsidRPr="00D22A76" w:rsidRDefault="001A05F4" w:rsidP="001A05F4">
      <w:pPr>
        <w:ind w:right="-427"/>
        <w:jc w:val="both"/>
        <w:rPr>
          <w:rFonts w:ascii="Times New Roman" w:hAnsi="Times New Roman" w:cs="Times New Roman"/>
          <w:b/>
          <w:bCs/>
        </w:rPr>
      </w:pPr>
      <w:r w:rsidRPr="00D22A76">
        <w:rPr>
          <w:rFonts w:ascii="Times New Roman" w:hAnsi="Times New Roman" w:cs="Times New Roman"/>
          <w:b/>
          <w:bCs/>
        </w:rPr>
        <w:t>II-</w:t>
      </w:r>
      <w:r w:rsidR="00D22A76" w:rsidRPr="00D22A76">
        <w:rPr>
          <w:rFonts w:ascii="Times New Roman" w:hAnsi="Times New Roman" w:cs="Times New Roman"/>
          <w:b/>
          <w:bCs/>
        </w:rPr>
        <w:t xml:space="preserve"> </w:t>
      </w:r>
      <w:r w:rsidRPr="00D22A76">
        <w:rPr>
          <w:rFonts w:ascii="Times New Roman" w:hAnsi="Times New Roman" w:cs="Times New Roman"/>
          <w:b/>
          <w:bCs/>
        </w:rPr>
        <w:t>PRELIMINARES DE INADMISSIBILIDADE E NÃO CONHECIMENTO DO RECURSO ESPECIAL</w:t>
      </w:r>
    </w:p>
    <w:p w14:paraId="30E5FC45" w14:textId="77777777" w:rsidR="00D22A76" w:rsidRDefault="001A05F4" w:rsidP="001A05F4">
      <w:pPr>
        <w:ind w:right="-427"/>
        <w:jc w:val="both"/>
        <w:rPr>
          <w:rFonts w:ascii="Times New Roman" w:hAnsi="Times New Roman" w:cs="Times New Roman"/>
          <w:b/>
          <w:bCs/>
        </w:rPr>
      </w:pPr>
      <w:r w:rsidRPr="00D22A76">
        <w:rPr>
          <w:rFonts w:ascii="Times New Roman" w:hAnsi="Times New Roman" w:cs="Times New Roman"/>
          <w:b/>
          <w:bCs/>
        </w:rPr>
        <w:t>II.1-</w:t>
      </w:r>
      <w:r w:rsidR="00D22A76" w:rsidRPr="00D22A76">
        <w:rPr>
          <w:rFonts w:ascii="Times New Roman" w:hAnsi="Times New Roman" w:cs="Times New Roman"/>
          <w:b/>
          <w:bCs/>
        </w:rPr>
        <w:t xml:space="preserve"> </w:t>
      </w:r>
      <w:r w:rsidRPr="00D22A76">
        <w:rPr>
          <w:rFonts w:ascii="Times New Roman" w:hAnsi="Times New Roman" w:cs="Times New Roman"/>
          <w:b/>
          <w:bCs/>
        </w:rPr>
        <w:t>ACÓRDÃO RECORRIDO EM CONFORMIDADE COM O TEMA REPETITIVO N. 1200 DO SUPERIOR TRIBUNAL DE JUSTIÇA-</w:t>
      </w:r>
      <w:r w:rsidR="00D22A76" w:rsidRPr="00D22A76">
        <w:rPr>
          <w:rFonts w:ascii="Times New Roman" w:hAnsi="Times New Roman" w:cs="Times New Roman"/>
          <w:b/>
          <w:bCs/>
        </w:rPr>
        <w:t xml:space="preserve"> </w:t>
      </w:r>
      <w:r w:rsidRPr="00D22A76">
        <w:rPr>
          <w:rFonts w:ascii="Times New Roman" w:hAnsi="Times New Roman" w:cs="Times New Roman"/>
          <w:b/>
          <w:bCs/>
        </w:rPr>
        <w:t>JUÍZO DE CONFORMIDADE – CPC, ART. 1.030, I, ‘B’</w:t>
      </w:r>
    </w:p>
    <w:p w14:paraId="66FC9F7D" w14:textId="16D97EE6" w:rsidR="001A05F4" w:rsidRPr="00D22A76" w:rsidRDefault="001A05F4" w:rsidP="001A05F4">
      <w:pPr>
        <w:ind w:right="-427"/>
        <w:jc w:val="both"/>
        <w:rPr>
          <w:rFonts w:ascii="Times New Roman" w:hAnsi="Times New Roman" w:cs="Times New Roman"/>
          <w:b/>
          <w:bCs/>
        </w:rPr>
      </w:pPr>
      <w:r w:rsidRPr="00D22A76">
        <w:rPr>
          <w:rFonts w:ascii="Times New Roman" w:hAnsi="Times New Roman" w:cs="Times New Roman"/>
          <w:b/>
          <w:bCs/>
        </w:rPr>
        <w:lastRenderedPageBreak/>
        <w:t>INCIDÊNCIA DA SÚMULA 83 DO SUPERIOR TRIBUNAL DE JUSTIÇA</w:t>
      </w:r>
    </w:p>
    <w:p w14:paraId="250D47F0" w14:textId="67482F2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Antes de avançar ao exame das demais condições de admissibilidade do recurso, existe óbice processual antecedente e suficiente ao trânsito do recurso especial à Corte Superior no capítulo em que os recorrentes pretendem afastar a prescrição da petição de herança.</w:t>
      </w:r>
    </w:p>
    <w:p w14:paraId="6AABC8ED" w14:textId="4A0BA5A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Isso porque o v. acórdão recorrido decidiu a questão em estrita conformidade com precedente qualificado do colendo Superior Tribunal de Justiça, atraindo o juízo de conformidade previsto no art. 1.030, I, ‘b’ do Código de Processo Civil, </w:t>
      </w:r>
      <w:r w:rsidRPr="00D22A76">
        <w:rPr>
          <w:rFonts w:ascii="Times New Roman" w:hAnsi="Times New Roman" w:cs="Times New Roman"/>
          <w:i/>
          <w:iCs/>
        </w:rPr>
        <w:t xml:space="preserve">in </w:t>
      </w:r>
      <w:proofErr w:type="spellStart"/>
      <w:r w:rsidRPr="00D22A76">
        <w:rPr>
          <w:rFonts w:ascii="Times New Roman" w:hAnsi="Times New Roman" w:cs="Times New Roman"/>
          <w:i/>
          <w:iCs/>
        </w:rPr>
        <w:t>verbis</w:t>
      </w:r>
      <w:proofErr w:type="spellEnd"/>
      <w:r w:rsidRPr="001A05F4">
        <w:rPr>
          <w:rFonts w:ascii="Times New Roman" w:hAnsi="Times New Roman" w:cs="Times New Roman"/>
        </w:rPr>
        <w:t>:</w:t>
      </w:r>
    </w:p>
    <w:p w14:paraId="5B482063" w14:textId="77777777" w:rsidR="001A05F4" w:rsidRPr="00D22A76" w:rsidRDefault="001A05F4" w:rsidP="001A05F4">
      <w:pPr>
        <w:ind w:right="-427"/>
        <w:jc w:val="both"/>
        <w:rPr>
          <w:rFonts w:ascii="Times New Roman" w:hAnsi="Times New Roman" w:cs="Times New Roman"/>
          <w:i/>
          <w:iCs/>
        </w:rPr>
      </w:pPr>
      <w:r w:rsidRPr="00D22A76">
        <w:rPr>
          <w:rFonts w:ascii="Times New Roman" w:hAnsi="Times New Roman" w:cs="Times New Roman"/>
          <w:i/>
          <w:iCs/>
        </w:rPr>
        <w:t>CPC, art. 1.030. Recebida a petição do recurso pela secretaria do tribunal, o recorrido será intimado para apresentar contrarrazões no prazo de 15 (quinze) dias, findo o qual os autos serão conclusos ao presidente ou ao vice-presidente do tribunal recorrido, que deverá:</w:t>
      </w:r>
    </w:p>
    <w:p w14:paraId="790F4C34" w14:textId="77777777" w:rsidR="001A05F4" w:rsidRPr="00D22A76" w:rsidRDefault="001A05F4" w:rsidP="001A05F4">
      <w:pPr>
        <w:ind w:right="-427"/>
        <w:jc w:val="both"/>
        <w:rPr>
          <w:rFonts w:ascii="Times New Roman" w:hAnsi="Times New Roman" w:cs="Times New Roman"/>
          <w:i/>
          <w:iCs/>
        </w:rPr>
      </w:pPr>
      <w:r w:rsidRPr="00D22A76">
        <w:rPr>
          <w:rFonts w:ascii="Times New Roman" w:hAnsi="Times New Roman" w:cs="Times New Roman"/>
          <w:i/>
          <w:iCs/>
        </w:rPr>
        <w:t xml:space="preserve">I – </w:t>
      </w:r>
      <w:proofErr w:type="gramStart"/>
      <w:r w:rsidRPr="00D22A76">
        <w:rPr>
          <w:rFonts w:ascii="Times New Roman" w:hAnsi="Times New Roman" w:cs="Times New Roman"/>
          <w:i/>
          <w:iCs/>
        </w:rPr>
        <w:t>negar</w:t>
      </w:r>
      <w:proofErr w:type="gramEnd"/>
      <w:r w:rsidRPr="00D22A76">
        <w:rPr>
          <w:rFonts w:ascii="Times New Roman" w:hAnsi="Times New Roman" w:cs="Times New Roman"/>
          <w:i/>
          <w:iCs/>
        </w:rPr>
        <w:t xml:space="preserve"> seguimento:...</w:t>
      </w:r>
    </w:p>
    <w:p w14:paraId="5AEB69B7" w14:textId="77777777" w:rsidR="001A05F4" w:rsidRPr="001A05F4" w:rsidRDefault="001A05F4" w:rsidP="001A05F4">
      <w:pPr>
        <w:ind w:right="-427"/>
        <w:jc w:val="both"/>
        <w:rPr>
          <w:rFonts w:ascii="Times New Roman" w:hAnsi="Times New Roman" w:cs="Times New Roman"/>
        </w:rPr>
      </w:pPr>
      <w:r w:rsidRPr="00D22A76">
        <w:rPr>
          <w:rFonts w:ascii="Times New Roman" w:hAnsi="Times New Roman" w:cs="Times New Roman"/>
          <w:i/>
          <w:iCs/>
        </w:rPr>
        <w:t>b) a recurso extraordinário ou a recurso especial interposto contra acórdão que esteja em conformidade com entendimento do Supremo Tribunal Federal ou do Superior Tribunal de Justiça, respectivamente, exarado no regime de julgamento de recursos repetitivos</w:t>
      </w:r>
      <w:r w:rsidRPr="001A05F4">
        <w:rPr>
          <w:rFonts w:ascii="Times New Roman" w:hAnsi="Times New Roman" w:cs="Times New Roman"/>
        </w:rPr>
        <w:t>;</w:t>
      </w:r>
    </w:p>
    <w:p w14:paraId="7A5370A1" w14:textId="3BDFA5A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É exatamente essa a hipótese dos autos.</w:t>
      </w:r>
    </w:p>
    <w:p w14:paraId="2E9433B0" w14:textId="0DE1EBC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legislação processual não apenas recomenda, mas impõe – </w:t>
      </w:r>
      <w:proofErr w:type="spellStart"/>
      <w:r w:rsidRPr="00D22A76">
        <w:rPr>
          <w:rFonts w:ascii="Times New Roman" w:hAnsi="Times New Roman" w:cs="Times New Roman"/>
          <w:i/>
          <w:iCs/>
        </w:rPr>
        <w:t>ius</w:t>
      </w:r>
      <w:proofErr w:type="spellEnd"/>
      <w:r w:rsidRPr="00D22A76">
        <w:rPr>
          <w:rFonts w:ascii="Times New Roman" w:hAnsi="Times New Roman" w:cs="Times New Roman"/>
          <w:i/>
          <w:iCs/>
        </w:rPr>
        <w:t xml:space="preserve"> </w:t>
      </w:r>
      <w:proofErr w:type="spellStart"/>
      <w:r w:rsidRPr="00D22A76">
        <w:rPr>
          <w:rFonts w:ascii="Times New Roman" w:hAnsi="Times New Roman" w:cs="Times New Roman"/>
          <w:i/>
          <w:iCs/>
        </w:rPr>
        <w:t>cogens</w:t>
      </w:r>
      <w:proofErr w:type="spellEnd"/>
      <w:r w:rsidRPr="001A05F4">
        <w:rPr>
          <w:rFonts w:ascii="Times New Roman" w:hAnsi="Times New Roman" w:cs="Times New Roman"/>
        </w:rPr>
        <w:t xml:space="preserve"> – ao Presidente ou Vice-Presidente do Tribunal recorrido a negativa de seguimento do recurso especial quando o pronunciamento impugnado reproduz orientação firmada pelo c. STJ sob o rito repetitivo.</w:t>
      </w:r>
    </w:p>
    <w:p w14:paraId="02F0E917" w14:textId="5445D12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No julgamento do Recurso Especial n. 2.029.809/MG e Recurso Especial 2.034.650/SP, submetidos ao regime dos recursos repetitivos, a Segunda Seção do Superior Tribunal de Justiça fixou no Tema 1.200 a seguinte tese:</w:t>
      </w:r>
    </w:p>
    <w:p w14:paraId="6F2AC6DC" w14:textId="77777777" w:rsidR="001A05F4" w:rsidRPr="001A05F4" w:rsidRDefault="001A05F4" w:rsidP="001A05F4">
      <w:pPr>
        <w:ind w:right="-427"/>
        <w:jc w:val="both"/>
        <w:rPr>
          <w:rFonts w:ascii="Times New Roman" w:hAnsi="Times New Roman" w:cs="Times New Roman"/>
        </w:rPr>
      </w:pPr>
      <w:r w:rsidRPr="00D22A76">
        <w:rPr>
          <w:rFonts w:ascii="Times New Roman" w:hAnsi="Times New Roman" w:cs="Times New Roman"/>
          <w:i/>
          <w:iCs/>
        </w:rPr>
        <w:t>STJ, Tema 1.200. O prazo prescricional para propor ação de petição de herança conta-se da abertura da sucessão, cuja fluência não é impedida, suspensa ou interrompida pelo ajuizamento de ação de reconhecimento de filiação, independentemente do seu trânsito em julgado</w:t>
      </w:r>
      <w:r w:rsidRPr="001A05F4">
        <w:rPr>
          <w:rFonts w:ascii="Times New Roman" w:hAnsi="Times New Roman" w:cs="Times New Roman"/>
        </w:rPr>
        <w:t>.</w:t>
      </w:r>
    </w:p>
    <w:p w14:paraId="5F8439E9" w14:textId="1576557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matéria encontra-se amplamente pacificada no âmbito do colendo Superior Tribunal de Justiça, cuja jurisprudência, de forma reiterada e uniforme, vem sufragando a orientação ora defendida, como demonstram os seguintes precedentes, </w:t>
      </w:r>
      <w:r w:rsidRPr="00D22A76">
        <w:rPr>
          <w:rFonts w:ascii="Times New Roman" w:hAnsi="Times New Roman" w:cs="Times New Roman"/>
          <w:i/>
          <w:iCs/>
        </w:rPr>
        <w:t xml:space="preserve">in </w:t>
      </w:r>
      <w:proofErr w:type="spellStart"/>
      <w:r w:rsidRPr="00D22A76">
        <w:rPr>
          <w:rFonts w:ascii="Times New Roman" w:hAnsi="Times New Roman" w:cs="Times New Roman"/>
          <w:i/>
          <w:iCs/>
        </w:rPr>
        <w:t>verbis</w:t>
      </w:r>
      <w:proofErr w:type="spellEnd"/>
      <w:r w:rsidRPr="001A05F4">
        <w:rPr>
          <w:rFonts w:ascii="Times New Roman" w:hAnsi="Times New Roman" w:cs="Times New Roman"/>
        </w:rPr>
        <w:t xml:space="preserve">: </w:t>
      </w:r>
    </w:p>
    <w:p w14:paraId="1BF85402" w14:textId="01C0EE09" w:rsidR="001A05F4" w:rsidRPr="00D22A76" w:rsidRDefault="00D22A76" w:rsidP="001A05F4">
      <w:pPr>
        <w:ind w:right="-427"/>
        <w:jc w:val="both"/>
        <w:rPr>
          <w:rFonts w:ascii="Times New Roman" w:hAnsi="Times New Roman" w:cs="Times New Roman"/>
          <w:i/>
          <w:iCs/>
        </w:rPr>
      </w:pPr>
      <w:r>
        <w:rPr>
          <w:rFonts w:ascii="Times New Roman" w:hAnsi="Times New Roman" w:cs="Times New Roman"/>
        </w:rPr>
        <w:t>“</w:t>
      </w:r>
      <w:r w:rsidR="001A05F4" w:rsidRPr="00D22A76">
        <w:rPr>
          <w:rFonts w:ascii="Times New Roman" w:hAnsi="Times New Roman" w:cs="Times New Roman"/>
          <w:i/>
          <w:iCs/>
        </w:rPr>
        <w:t>DIREITO PROCESSUAL CIVIL. PETIÇÃO DE HERANÇA. PRAZO PRESCRICIONAL. AGRAVO EM RECURSO ESPECIAL. FALTA DE PREQUESTIONAMENTO. SÚMULA N. 211/STJ. AGRAVO DESPROVIDO. AUSÊNCIA DE IMPUGNAÇÃO DE FUNDAMENTO DO ACÓRDÃO RECORRIDO. SÚMULA N. 283/STF. TESE RECURSAL. DISPOSITIVO</w:t>
      </w:r>
      <w:r w:rsidRPr="00D22A76">
        <w:rPr>
          <w:rFonts w:ascii="Times New Roman" w:hAnsi="Times New Roman" w:cs="Times New Roman"/>
          <w:i/>
          <w:iCs/>
        </w:rPr>
        <w:t xml:space="preserve"> </w:t>
      </w:r>
      <w:r w:rsidR="001A05F4" w:rsidRPr="00D22A76">
        <w:rPr>
          <w:rFonts w:ascii="Times New Roman" w:hAnsi="Times New Roman" w:cs="Times New Roman"/>
          <w:i/>
          <w:iCs/>
        </w:rPr>
        <w:t>LEGAL. FALTA DE CARGA NORMATIVA. SÚMULA N. 284/STF.</w:t>
      </w:r>
      <w:r>
        <w:rPr>
          <w:rFonts w:ascii="Times New Roman" w:hAnsi="Times New Roman" w:cs="Times New Roman"/>
          <w:i/>
          <w:iCs/>
        </w:rPr>
        <w:t xml:space="preserve"> </w:t>
      </w:r>
      <w:r w:rsidR="001A05F4" w:rsidRPr="00D22A76">
        <w:rPr>
          <w:rFonts w:ascii="Times New Roman" w:hAnsi="Times New Roman" w:cs="Times New Roman"/>
          <w:i/>
          <w:iCs/>
        </w:rPr>
        <w:t>I. Razões de decidir</w:t>
      </w:r>
      <w:r>
        <w:rPr>
          <w:rFonts w:ascii="Times New Roman" w:hAnsi="Times New Roman" w:cs="Times New Roman"/>
          <w:i/>
          <w:iCs/>
        </w:rPr>
        <w:t xml:space="preserve"> </w:t>
      </w:r>
      <w:r w:rsidR="001A05F4" w:rsidRPr="00D22A76">
        <w:rPr>
          <w:rFonts w:ascii="Times New Roman" w:hAnsi="Times New Roman" w:cs="Times New Roman"/>
          <w:i/>
          <w:iCs/>
        </w:rPr>
        <w:t>1. Ausente o enfrentamento da matéria pelo acórdão recorrido, mesmo após a oposição de embargos declaratórios, inviável o conhecimento do recurso especial, por falta de prequestionamento. Incidência da Súmula n. 211/STJ.</w:t>
      </w:r>
      <w:r>
        <w:rPr>
          <w:rFonts w:ascii="Times New Roman" w:hAnsi="Times New Roman" w:cs="Times New Roman"/>
          <w:i/>
          <w:iCs/>
        </w:rPr>
        <w:t xml:space="preserve"> </w:t>
      </w:r>
      <w:r w:rsidR="001A05F4" w:rsidRPr="00D22A76">
        <w:rPr>
          <w:rFonts w:ascii="Times New Roman" w:hAnsi="Times New Roman" w:cs="Times New Roman"/>
          <w:i/>
          <w:iCs/>
        </w:rPr>
        <w:t>2. O recurso especial que não impugna fundamento do acórdão recorrido independente e suficiente para mantê-lo, no ponto controvertido, não deve ser admitido, a teor da Súmula n. 283/STF.</w:t>
      </w:r>
      <w:r>
        <w:rPr>
          <w:rFonts w:ascii="Times New Roman" w:hAnsi="Times New Roman" w:cs="Times New Roman"/>
          <w:i/>
          <w:iCs/>
        </w:rPr>
        <w:t xml:space="preserve"> </w:t>
      </w:r>
      <w:r w:rsidR="001A05F4" w:rsidRPr="00D22A76">
        <w:rPr>
          <w:rFonts w:ascii="Times New Roman" w:hAnsi="Times New Roman" w:cs="Times New Roman"/>
          <w:i/>
          <w:iCs/>
        </w:rPr>
        <w:t xml:space="preserve">3. Considera-se deficiente, a teor da Súmula n. </w:t>
      </w:r>
      <w:r w:rsidR="001A05F4" w:rsidRPr="00D22A76">
        <w:rPr>
          <w:rFonts w:ascii="Times New Roman" w:hAnsi="Times New Roman" w:cs="Times New Roman"/>
          <w:i/>
          <w:iCs/>
        </w:rPr>
        <w:lastRenderedPageBreak/>
        <w:t>284/STF, a fundamentação recursal que alega violação de dispositivos legais cujo conteúdo jurídico não tem alcance normativo para amparar a tese defendida no recurso especial.</w:t>
      </w:r>
      <w:r>
        <w:rPr>
          <w:rFonts w:ascii="Times New Roman" w:hAnsi="Times New Roman" w:cs="Times New Roman"/>
          <w:i/>
          <w:iCs/>
        </w:rPr>
        <w:t xml:space="preserve"> </w:t>
      </w:r>
      <w:r w:rsidR="001A05F4" w:rsidRPr="00D22A76">
        <w:rPr>
          <w:rFonts w:ascii="Times New Roman" w:hAnsi="Times New Roman" w:cs="Times New Roman"/>
          <w:i/>
          <w:iCs/>
        </w:rPr>
        <w:t>4. "O prazo prescricional para propor ação de petição de herança conta-se da abertura da sucessão, cuja fluência não é impedida, suspensa ou interrompida pelo ajuizamento de ação de reconhecimento de filiação, independentemente do seu trânsito em julgado. Tema Repetitivo nº 1.200 do STJ". (REsp n. 2.024.780/RS, relatora Ministra Maria Isabel Gallotti, Quarta Turma, julgado em 15/9/2025, DJEN de 18/9/2025)</w:t>
      </w:r>
      <w:r>
        <w:rPr>
          <w:rFonts w:ascii="Times New Roman" w:hAnsi="Times New Roman" w:cs="Times New Roman"/>
          <w:i/>
          <w:iCs/>
        </w:rPr>
        <w:t xml:space="preserve"> </w:t>
      </w:r>
      <w:r w:rsidR="001A05F4" w:rsidRPr="00D22A76">
        <w:rPr>
          <w:rFonts w:ascii="Times New Roman" w:hAnsi="Times New Roman" w:cs="Times New Roman"/>
          <w:i/>
          <w:iCs/>
        </w:rPr>
        <w:t>II. Dispositivo</w:t>
      </w:r>
      <w:r>
        <w:rPr>
          <w:rFonts w:ascii="Times New Roman" w:hAnsi="Times New Roman" w:cs="Times New Roman"/>
          <w:i/>
          <w:iCs/>
        </w:rPr>
        <w:t xml:space="preserve"> </w:t>
      </w:r>
      <w:r w:rsidR="001A05F4" w:rsidRPr="00D22A76">
        <w:rPr>
          <w:rFonts w:ascii="Times New Roman" w:hAnsi="Times New Roman" w:cs="Times New Roman"/>
          <w:i/>
          <w:iCs/>
        </w:rPr>
        <w:t>5. Agravo em recurso especial desprovido</w:t>
      </w:r>
      <w:r w:rsidR="001A05F4" w:rsidRPr="001A05F4">
        <w:rPr>
          <w:rFonts w:ascii="Times New Roman" w:hAnsi="Times New Roman" w:cs="Times New Roman"/>
        </w:rPr>
        <w:t>.</w:t>
      </w:r>
      <w:r>
        <w:rPr>
          <w:rFonts w:ascii="Times New Roman" w:hAnsi="Times New Roman" w:cs="Times New Roman"/>
        </w:rPr>
        <w:t xml:space="preserve">” </w:t>
      </w:r>
      <w:proofErr w:type="gramStart"/>
      <w:r w:rsidR="001A05F4" w:rsidRPr="001A05F4">
        <w:rPr>
          <w:rFonts w:ascii="Times New Roman" w:hAnsi="Times New Roman" w:cs="Times New Roman"/>
        </w:rPr>
        <w:t>[</w:t>
      </w:r>
      <w:proofErr w:type="gramEnd"/>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AREsp</w:t>
      </w:r>
      <w:proofErr w:type="spellEnd"/>
      <w:r w:rsidR="001A05F4" w:rsidRPr="001A05F4">
        <w:rPr>
          <w:rFonts w:ascii="Times New Roman" w:hAnsi="Times New Roman" w:cs="Times New Roman"/>
        </w:rPr>
        <w:t xml:space="preserve"> n. 3.115.240/ES, Relator Ministro </w:t>
      </w:r>
      <w:proofErr w:type="spellStart"/>
      <w:r w:rsidR="001A05F4" w:rsidRPr="001A05F4">
        <w:rPr>
          <w:rFonts w:ascii="Times New Roman" w:hAnsi="Times New Roman" w:cs="Times New Roman"/>
        </w:rPr>
        <w:t>Antonio</w:t>
      </w:r>
      <w:proofErr w:type="spellEnd"/>
      <w:r w:rsidR="001A05F4" w:rsidRPr="001A05F4">
        <w:rPr>
          <w:rFonts w:ascii="Times New Roman" w:hAnsi="Times New Roman" w:cs="Times New Roman"/>
        </w:rPr>
        <w:t xml:space="preserve"> Carlos Ferreira, Quarta Turma, DJEN de 18.06.2026]</w:t>
      </w:r>
    </w:p>
    <w:p w14:paraId="1057AD85" w14:textId="5358B8A1" w:rsidR="001A05F4" w:rsidRPr="001A05F4" w:rsidRDefault="00D22A76" w:rsidP="001A05F4">
      <w:pPr>
        <w:ind w:right="-427"/>
        <w:jc w:val="both"/>
        <w:rPr>
          <w:rFonts w:ascii="Times New Roman" w:hAnsi="Times New Roman" w:cs="Times New Roman"/>
        </w:rPr>
      </w:pPr>
      <w:r>
        <w:rPr>
          <w:rFonts w:ascii="Times New Roman" w:hAnsi="Times New Roman" w:cs="Times New Roman"/>
        </w:rPr>
        <w:t>“</w:t>
      </w:r>
      <w:r w:rsidR="001A05F4" w:rsidRPr="00D22A76">
        <w:rPr>
          <w:rFonts w:ascii="Times New Roman" w:hAnsi="Times New Roman" w:cs="Times New Roman"/>
          <w:i/>
          <w:iCs/>
        </w:rPr>
        <w:t>CIVIL E PROCESSUAL CIVIL. AGRAVO INTERNO NO AGRAVO EM RECURSO ESPECIAL. AÇÃO DE PETIÇÃO DE HERANÇA INTENTADA APÓS RECONHECIMENTO DE PATERNIDADE. DECISÃO SINGULAR DA PRESIDÊNCIA QUE NÃO CONHECEU DO RECURSO ESPECIAL POR INTEMPESTIVIDADE. FERIADO LOCAL COMPROVADO EM MOMENTO POSTERIOR. RECONSIDERAÇÃO. PRAZO PRESCRICIONAL DA PRETENSÃO AO RECEBIMENTO DE HERANÇA QUE SE INICIA NO MOMENTO DA ABERTURA DA SUCESSÃO. TEMA 1.200/STJ. AGRAVO INTERNO PROVIDO. AGRAVO CONHECIDO. RECURSO ESPECIAL NÃO PROVIDO.</w:t>
      </w:r>
      <w:r w:rsidRPr="00D22A76">
        <w:rPr>
          <w:rFonts w:ascii="Times New Roman" w:hAnsi="Times New Roman" w:cs="Times New Roman"/>
          <w:i/>
          <w:iCs/>
        </w:rPr>
        <w:t xml:space="preserve"> </w:t>
      </w:r>
      <w:r w:rsidR="001A05F4" w:rsidRPr="00D22A76">
        <w:rPr>
          <w:rFonts w:ascii="Times New Roman" w:hAnsi="Times New Roman" w:cs="Times New Roman"/>
          <w:i/>
          <w:iCs/>
        </w:rPr>
        <w:t>1. Recurso especial não conhecido pela Presidência do Superior Tribunal de Justiça em razão de sua intempestividade. Comprovação posterior da ocorrência de feriado local. Decisão reconsiderada.</w:t>
      </w:r>
      <w:r w:rsidRPr="00D22A76">
        <w:rPr>
          <w:rFonts w:ascii="Times New Roman" w:hAnsi="Times New Roman" w:cs="Times New Roman"/>
          <w:i/>
          <w:iCs/>
        </w:rPr>
        <w:t xml:space="preserve"> </w:t>
      </w:r>
      <w:r w:rsidR="001A05F4" w:rsidRPr="00D22A76">
        <w:rPr>
          <w:rFonts w:ascii="Times New Roman" w:hAnsi="Times New Roman" w:cs="Times New Roman"/>
          <w:i/>
          <w:iCs/>
        </w:rPr>
        <w:t>2. "O prazo prescricional para propor ação de petição de herança conta-se da abertura da sucessão, cuja fluência não é impedida, suspensa ou interrompida pelo ajuizamento de ação de reconhecimento de filiação, independentemente do seu trânsito em julgado" (Tema 1.200/STJ).</w:t>
      </w:r>
      <w:r w:rsidRPr="00D22A76">
        <w:rPr>
          <w:rFonts w:ascii="Times New Roman" w:hAnsi="Times New Roman" w:cs="Times New Roman"/>
          <w:i/>
          <w:iCs/>
        </w:rPr>
        <w:t xml:space="preserve"> </w:t>
      </w:r>
      <w:r w:rsidR="001A05F4" w:rsidRPr="00D22A76">
        <w:rPr>
          <w:rFonts w:ascii="Times New Roman" w:hAnsi="Times New Roman" w:cs="Times New Roman"/>
          <w:i/>
          <w:iCs/>
        </w:rPr>
        <w:t>3. Agravo interno provido. Agravo conhecido. Recurso especial não provido</w:t>
      </w:r>
      <w:r w:rsidR="001A05F4" w:rsidRPr="001A05F4">
        <w:rPr>
          <w:rFonts w:ascii="Times New Roman" w:hAnsi="Times New Roman" w:cs="Times New Roman"/>
        </w:rPr>
        <w:t>.</w:t>
      </w:r>
      <w:r>
        <w:rPr>
          <w:rFonts w:ascii="Times New Roman" w:hAnsi="Times New Roman" w:cs="Times New Roman"/>
        </w:rPr>
        <w:t xml:space="preserve">” </w:t>
      </w:r>
      <w:proofErr w:type="gramStart"/>
      <w:r w:rsidR="001A05F4" w:rsidRPr="001A05F4">
        <w:rPr>
          <w:rFonts w:ascii="Times New Roman" w:hAnsi="Times New Roman" w:cs="Times New Roman"/>
        </w:rPr>
        <w:t>[</w:t>
      </w:r>
      <w:proofErr w:type="gramEnd"/>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AgInt</w:t>
      </w:r>
      <w:proofErr w:type="spellEnd"/>
      <w:r w:rsidR="001A05F4" w:rsidRPr="001A05F4">
        <w:rPr>
          <w:rFonts w:ascii="Times New Roman" w:hAnsi="Times New Roman" w:cs="Times New Roman"/>
        </w:rPr>
        <w:t xml:space="preserve"> no </w:t>
      </w:r>
      <w:proofErr w:type="spellStart"/>
      <w:r w:rsidR="001A05F4" w:rsidRPr="001A05F4">
        <w:rPr>
          <w:rFonts w:ascii="Times New Roman" w:hAnsi="Times New Roman" w:cs="Times New Roman"/>
        </w:rPr>
        <w:t>AREsp</w:t>
      </w:r>
      <w:proofErr w:type="spellEnd"/>
      <w:r w:rsidR="001A05F4" w:rsidRPr="001A05F4">
        <w:rPr>
          <w:rFonts w:ascii="Times New Roman" w:hAnsi="Times New Roman" w:cs="Times New Roman"/>
        </w:rPr>
        <w:t xml:space="preserve"> n. 2.612.549/SP, Relatora Ministra Maria Isabel Gallotti, Quarta Turma, DJEN de 28.05.2026]</w:t>
      </w:r>
    </w:p>
    <w:p w14:paraId="02733335" w14:textId="398101B0" w:rsidR="001A05F4" w:rsidRPr="001A05F4" w:rsidRDefault="00D22A76" w:rsidP="001A05F4">
      <w:pPr>
        <w:ind w:right="-427"/>
        <w:jc w:val="both"/>
        <w:rPr>
          <w:rFonts w:ascii="Times New Roman" w:hAnsi="Times New Roman" w:cs="Times New Roman"/>
        </w:rPr>
      </w:pPr>
      <w:r>
        <w:rPr>
          <w:rFonts w:ascii="Times New Roman" w:hAnsi="Times New Roman" w:cs="Times New Roman"/>
        </w:rPr>
        <w:t>“</w:t>
      </w:r>
      <w:r w:rsidR="001A05F4" w:rsidRPr="00D22A76">
        <w:rPr>
          <w:rFonts w:ascii="Times New Roman" w:hAnsi="Times New Roman" w:cs="Times New Roman"/>
          <w:i/>
          <w:iCs/>
        </w:rPr>
        <w:t>AGRAVO INTERNO NO AGRAVO EM RECURSO ESPECIAL. DECISÃO MONOCRÁTICA RECONSIDERADA. PETIÇÃO DE HERANÇA. PRESCRIÇÃO. TERMO INICIAL. DATA DA ABERTURA DA SUCESSÃO.</w:t>
      </w:r>
      <w:r w:rsidRPr="00D22A76">
        <w:rPr>
          <w:rFonts w:ascii="Times New Roman" w:hAnsi="Times New Roman" w:cs="Times New Roman"/>
          <w:i/>
          <w:iCs/>
        </w:rPr>
        <w:t xml:space="preserve"> </w:t>
      </w:r>
      <w:r w:rsidR="001A05F4" w:rsidRPr="00D22A76">
        <w:rPr>
          <w:rFonts w:ascii="Times New Roman" w:hAnsi="Times New Roman" w:cs="Times New Roman"/>
          <w:i/>
          <w:iCs/>
        </w:rPr>
        <w:t>1. O prazo prescricional para a ação de petição de herança é de dez anos, conforme o artigo 205 do Código Civil e o seu termo inicial é a data da abertura da sucessão. Precedentes.</w:t>
      </w:r>
      <w:r w:rsidRPr="00D22A76">
        <w:rPr>
          <w:rFonts w:ascii="Times New Roman" w:hAnsi="Times New Roman" w:cs="Times New Roman"/>
          <w:i/>
          <w:iCs/>
        </w:rPr>
        <w:t xml:space="preserve"> </w:t>
      </w:r>
      <w:r w:rsidR="001A05F4" w:rsidRPr="00D22A76">
        <w:rPr>
          <w:rFonts w:ascii="Times New Roman" w:hAnsi="Times New Roman" w:cs="Times New Roman"/>
          <w:i/>
          <w:iCs/>
        </w:rPr>
        <w:t>2. Agravo interno provido. Decisão reconsiderada para conhecer do agravo e negar provimento ao recurso especial</w:t>
      </w:r>
      <w:r w:rsidR="001A05F4" w:rsidRPr="001A05F4">
        <w:rPr>
          <w:rFonts w:ascii="Times New Roman" w:hAnsi="Times New Roman" w:cs="Times New Roman"/>
        </w:rPr>
        <w:t>.</w:t>
      </w:r>
      <w:r>
        <w:rPr>
          <w:rFonts w:ascii="Times New Roman" w:hAnsi="Times New Roman" w:cs="Times New Roman"/>
        </w:rPr>
        <w:t xml:space="preserve">” </w:t>
      </w:r>
      <w:proofErr w:type="gramStart"/>
      <w:r w:rsidR="001A05F4" w:rsidRPr="001A05F4">
        <w:rPr>
          <w:rFonts w:ascii="Times New Roman" w:hAnsi="Times New Roman" w:cs="Times New Roman"/>
        </w:rPr>
        <w:t>[</w:t>
      </w:r>
      <w:proofErr w:type="gramEnd"/>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AgInt</w:t>
      </w:r>
      <w:proofErr w:type="spellEnd"/>
      <w:r w:rsidR="001A05F4" w:rsidRPr="001A05F4">
        <w:rPr>
          <w:rFonts w:ascii="Times New Roman" w:hAnsi="Times New Roman" w:cs="Times New Roman"/>
        </w:rPr>
        <w:t xml:space="preserve"> no </w:t>
      </w:r>
      <w:proofErr w:type="spellStart"/>
      <w:r w:rsidR="001A05F4" w:rsidRPr="001A05F4">
        <w:rPr>
          <w:rFonts w:ascii="Times New Roman" w:hAnsi="Times New Roman" w:cs="Times New Roman"/>
        </w:rPr>
        <w:t>AREsp</w:t>
      </w:r>
      <w:proofErr w:type="spellEnd"/>
      <w:r w:rsidR="001A05F4" w:rsidRPr="001A05F4">
        <w:rPr>
          <w:rFonts w:ascii="Times New Roman" w:hAnsi="Times New Roman" w:cs="Times New Roman"/>
        </w:rPr>
        <w:t xml:space="preserve"> n. 2.996.206/MT, Relator Ministro Ricardo Villas Bôas </w:t>
      </w:r>
      <w:proofErr w:type="spellStart"/>
      <w:r w:rsidR="001A05F4" w:rsidRPr="001A05F4">
        <w:rPr>
          <w:rFonts w:ascii="Times New Roman" w:hAnsi="Times New Roman" w:cs="Times New Roman"/>
        </w:rPr>
        <w:t>Cueva</w:t>
      </w:r>
      <w:proofErr w:type="spellEnd"/>
      <w:r w:rsidR="001A05F4" w:rsidRPr="001A05F4">
        <w:rPr>
          <w:rFonts w:ascii="Times New Roman" w:hAnsi="Times New Roman" w:cs="Times New Roman"/>
        </w:rPr>
        <w:t>, Terceira Turma, DJEN de 19.03.2026]</w:t>
      </w:r>
    </w:p>
    <w:p w14:paraId="723B3D83" w14:textId="77777777" w:rsidR="00D22A76" w:rsidRDefault="00D22A76" w:rsidP="001A05F4">
      <w:pPr>
        <w:ind w:right="-427"/>
        <w:jc w:val="both"/>
        <w:rPr>
          <w:rFonts w:ascii="Times New Roman" w:hAnsi="Times New Roman" w:cs="Times New Roman"/>
        </w:rPr>
      </w:pPr>
      <w:r>
        <w:rPr>
          <w:rFonts w:ascii="Times New Roman" w:hAnsi="Times New Roman" w:cs="Times New Roman"/>
        </w:rPr>
        <w:t>“</w:t>
      </w:r>
      <w:r w:rsidR="001A05F4" w:rsidRPr="00D22A76">
        <w:rPr>
          <w:rFonts w:ascii="Times New Roman" w:hAnsi="Times New Roman" w:cs="Times New Roman"/>
          <w:i/>
          <w:iCs/>
        </w:rPr>
        <w:t>CIVIL E PROCESSUAL CIVIL. AGRAVO INTERNO NO AGRAVO EM RECURSO ESPECIAL. TERMO INICIAL DO PRAZO PRESCRICIONAL DA PETIÇÃO DE HERANÇA. DATA DA ABERTURA DA SUCESSÃO.</w:t>
      </w:r>
      <w:r w:rsidRPr="00D22A76">
        <w:rPr>
          <w:rFonts w:ascii="Times New Roman" w:hAnsi="Times New Roman" w:cs="Times New Roman"/>
          <w:i/>
          <w:iCs/>
        </w:rPr>
        <w:t xml:space="preserve"> </w:t>
      </w:r>
      <w:r w:rsidR="001A05F4" w:rsidRPr="00D22A76">
        <w:rPr>
          <w:rFonts w:ascii="Times New Roman" w:hAnsi="Times New Roman" w:cs="Times New Roman"/>
          <w:i/>
          <w:iCs/>
        </w:rPr>
        <w:t>A Segunda Seção desta Corte, no julgamento do REsp n. 2029809/PR, submetido à sistemática dos recursos repetitivos (Tema n. 1.200), pacificou o entendimento de que "O prazo prescricional para propor ação de petição de herança conta-se da abertura da sucessão, cuja fluência não é impedida, suspensa ou interrompida pelo ajuizamento de ação de reconhecimento de filiação, independentemente do seu trânsito em julgado".</w:t>
      </w:r>
      <w:r w:rsidRPr="00D22A76">
        <w:rPr>
          <w:rFonts w:ascii="Times New Roman" w:hAnsi="Times New Roman" w:cs="Times New Roman"/>
          <w:i/>
          <w:iCs/>
        </w:rPr>
        <w:t xml:space="preserve"> </w:t>
      </w:r>
      <w:r w:rsidR="001A05F4" w:rsidRPr="00D22A76">
        <w:rPr>
          <w:rFonts w:ascii="Times New Roman" w:hAnsi="Times New Roman" w:cs="Times New Roman"/>
          <w:i/>
          <w:iCs/>
        </w:rPr>
        <w:t>Agravo interno improvido</w:t>
      </w:r>
      <w:r w:rsidR="001A05F4" w:rsidRPr="001A05F4">
        <w:rPr>
          <w:rFonts w:ascii="Times New Roman" w:hAnsi="Times New Roman" w:cs="Times New Roman"/>
        </w:rPr>
        <w:t>.</w:t>
      </w:r>
      <w:r>
        <w:rPr>
          <w:rFonts w:ascii="Times New Roman" w:hAnsi="Times New Roman" w:cs="Times New Roman"/>
        </w:rPr>
        <w:t xml:space="preserve">” </w:t>
      </w:r>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AgInt</w:t>
      </w:r>
      <w:proofErr w:type="spellEnd"/>
      <w:r w:rsidR="001A05F4" w:rsidRPr="001A05F4">
        <w:rPr>
          <w:rFonts w:ascii="Times New Roman" w:hAnsi="Times New Roman" w:cs="Times New Roman"/>
        </w:rPr>
        <w:t xml:space="preserve"> no </w:t>
      </w:r>
      <w:proofErr w:type="spellStart"/>
      <w:r w:rsidR="001A05F4" w:rsidRPr="001A05F4">
        <w:rPr>
          <w:rFonts w:ascii="Times New Roman" w:hAnsi="Times New Roman" w:cs="Times New Roman"/>
        </w:rPr>
        <w:t>AREsp</w:t>
      </w:r>
      <w:proofErr w:type="spellEnd"/>
      <w:r w:rsidR="001A05F4" w:rsidRPr="001A05F4">
        <w:rPr>
          <w:rFonts w:ascii="Times New Roman" w:hAnsi="Times New Roman" w:cs="Times New Roman"/>
        </w:rPr>
        <w:t xml:space="preserve"> n. 2.990.426/RS, Relator Ministro Humberto Martins, Terceira Turma, DJEN de 12.02.2026]</w:t>
      </w:r>
    </w:p>
    <w:p w14:paraId="5B4481E0" w14:textId="3EB22DAF" w:rsidR="001A05F4" w:rsidRPr="00D22A76" w:rsidRDefault="00D22A76" w:rsidP="001A05F4">
      <w:pPr>
        <w:ind w:right="-427"/>
        <w:jc w:val="both"/>
        <w:rPr>
          <w:rFonts w:ascii="Times New Roman" w:hAnsi="Times New Roman" w:cs="Times New Roman"/>
          <w:i/>
          <w:iCs/>
        </w:rPr>
      </w:pPr>
      <w:r>
        <w:rPr>
          <w:rFonts w:ascii="Times New Roman" w:hAnsi="Times New Roman" w:cs="Times New Roman"/>
        </w:rPr>
        <w:lastRenderedPageBreak/>
        <w:t>“</w:t>
      </w:r>
      <w:r w:rsidR="001A05F4" w:rsidRPr="00D22A76">
        <w:rPr>
          <w:rFonts w:ascii="Times New Roman" w:hAnsi="Times New Roman" w:cs="Times New Roman"/>
          <w:i/>
          <w:iCs/>
        </w:rPr>
        <w:t>DIREITO DE FAMÍLIA. AGRAVO EM RECURSO ESPECIAL. AÇÃO DE PETIÇÃO DE HERANÇA C/C RECÁLCULO DE PARTILHA C/C AÇÃO DECLARATÓRIA DE PATERNIDADE POST MORTEM. TERMO INICIAL DO PRAZO PRESCRICIONAL DA PETIÇÃO DE HERANÇA PROPOSTA POR PRETENSO FILHO EM CUMULAÇÃO COM PEDIDO DE RECONHECIMENTO DE PATERNIDADE POST MORTEM. TEMA 1.200. DATA DA ABERTURA DA SUCESSÃO.</w:t>
      </w:r>
      <w:r w:rsidRPr="00D22A76">
        <w:rPr>
          <w:rFonts w:ascii="Times New Roman" w:hAnsi="Times New Roman" w:cs="Times New Roman"/>
          <w:i/>
          <w:iCs/>
        </w:rPr>
        <w:t xml:space="preserve"> </w:t>
      </w:r>
      <w:r w:rsidR="001A05F4" w:rsidRPr="00D22A76">
        <w:rPr>
          <w:rFonts w:ascii="Times New Roman" w:hAnsi="Times New Roman" w:cs="Times New Roman"/>
          <w:i/>
          <w:iCs/>
        </w:rPr>
        <w:t>1. Ação de petição de herança c/c recálculo de partilha c/c ação declaratória de paternidade post mortem.</w:t>
      </w:r>
      <w:r w:rsidRPr="00D22A76">
        <w:rPr>
          <w:rFonts w:ascii="Times New Roman" w:hAnsi="Times New Roman" w:cs="Times New Roman"/>
          <w:i/>
          <w:iCs/>
        </w:rPr>
        <w:t xml:space="preserve"> </w:t>
      </w:r>
      <w:r w:rsidR="001A05F4" w:rsidRPr="00D22A76">
        <w:rPr>
          <w:rFonts w:ascii="Times New Roman" w:hAnsi="Times New Roman" w:cs="Times New Roman"/>
          <w:i/>
          <w:iCs/>
        </w:rPr>
        <w:t>2. O prazo prescricional para propor ação de petição de herança conta-se da abertura da sucessão, cuja fluência não é impedida, suspensa ou interrompida pelo ajuizamento de ação de reconhecimento de filiação, independentemente do seu trânsito em julgado (Tema 1.200).</w:t>
      </w:r>
      <w:r>
        <w:rPr>
          <w:rFonts w:ascii="Times New Roman" w:hAnsi="Times New Roman" w:cs="Times New Roman"/>
          <w:i/>
          <w:iCs/>
        </w:rPr>
        <w:t xml:space="preserve"> </w:t>
      </w:r>
      <w:r w:rsidR="001A05F4" w:rsidRPr="00D22A76">
        <w:rPr>
          <w:rFonts w:ascii="Times New Roman" w:hAnsi="Times New Roman" w:cs="Times New Roman"/>
          <w:i/>
          <w:iCs/>
        </w:rPr>
        <w:t>3. Agravo conhecido. Recurso especial conhecido e provido</w:t>
      </w:r>
      <w:r w:rsidR="001A05F4" w:rsidRPr="001A05F4">
        <w:rPr>
          <w:rFonts w:ascii="Times New Roman" w:hAnsi="Times New Roman" w:cs="Times New Roman"/>
        </w:rPr>
        <w:t>.</w:t>
      </w:r>
      <w:r>
        <w:rPr>
          <w:rFonts w:ascii="Times New Roman" w:hAnsi="Times New Roman" w:cs="Times New Roman"/>
        </w:rPr>
        <w:t xml:space="preserve">” </w:t>
      </w:r>
      <w:proofErr w:type="gramStart"/>
      <w:r w:rsidR="001A05F4" w:rsidRPr="001A05F4">
        <w:rPr>
          <w:rFonts w:ascii="Times New Roman" w:hAnsi="Times New Roman" w:cs="Times New Roman"/>
        </w:rPr>
        <w:t>[</w:t>
      </w:r>
      <w:proofErr w:type="gramEnd"/>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AREsp</w:t>
      </w:r>
      <w:proofErr w:type="spellEnd"/>
      <w:r w:rsidR="001A05F4" w:rsidRPr="001A05F4">
        <w:rPr>
          <w:rFonts w:ascii="Times New Roman" w:hAnsi="Times New Roman" w:cs="Times New Roman"/>
        </w:rPr>
        <w:t xml:space="preserve"> n. 2.762.592/GO, Relatora Ministra Nancy Andrighi, Terceira Turma, DJEN de 30.10.2025]</w:t>
      </w:r>
    </w:p>
    <w:p w14:paraId="1B4D4C6D" w14:textId="548F798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Quer dizer, a identidade entre a quaestio jurídica solucionada pelo precedente qualificado -STJ, Tema 1.200 e reiterada orientação jurisprudencial- e aquela decidida pelo Tribunal de Justiça de Minas Gerais é direta. Em ambos, cuida-se de definir o termo inicial da prescrição da petição de herança deduzida por pretenso herdeiro cujo vínculo de filiação ainda depende de reconhecimento jurisdicional. </w:t>
      </w:r>
    </w:p>
    <w:p w14:paraId="7A28CB47" w14:textId="1F35F98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Não por outra razão, o v. acórdão recorrido adotou expressamente a orientação vinculante e reconheceu a prescrição da pretensão patrimonial, preservando, de modo absolutamente distinto, o prosseguimento da investigação de paternidade post mortem.</w:t>
      </w:r>
    </w:p>
    <w:p w14:paraId="6EBCC698" w14:textId="74B350F7"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Sem quebra de reverência, a tentativa recursal de afastar o precedente mediante </w:t>
      </w:r>
      <w:proofErr w:type="spellStart"/>
      <w:r w:rsidRPr="00D22A76">
        <w:rPr>
          <w:rFonts w:ascii="Times New Roman" w:hAnsi="Times New Roman" w:cs="Times New Roman"/>
          <w:i/>
          <w:iCs/>
        </w:rPr>
        <w:t>distinguishing</w:t>
      </w:r>
      <w:proofErr w:type="spellEnd"/>
      <w:r w:rsidRPr="001A05F4">
        <w:rPr>
          <w:rFonts w:ascii="Times New Roman" w:hAnsi="Times New Roman" w:cs="Times New Roman"/>
        </w:rPr>
        <w:t xml:space="preserve"> não altera essa conclusão.</w:t>
      </w:r>
    </w:p>
    <w:p w14:paraId="4CB913D9" w14:textId="1E35FD2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Segundo os recorrentes, o Tema n. 1.200 do STJ somente seria aplicável se o inventário estivesse encerrado e os quinhões já houvessem sido individualizados. A partir dessa premissa, inovaram na tentativa de sustentar que o inventário ainda em curso modificaria a natureza da pretensão, convertendo-a em “</w:t>
      </w:r>
      <w:r w:rsidRPr="00D22A76">
        <w:rPr>
          <w:rFonts w:ascii="Times New Roman" w:hAnsi="Times New Roman" w:cs="Times New Roman"/>
          <w:i/>
          <w:iCs/>
        </w:rPr>
        <w:t>habilitação incidental retardatária</w:t>
      </w:r>
      <w:r w:rsidRPr="001A05F4">
        <w:rPr>
          <w:rFonts w:ascii="Times New Roman" w:hAnsi="Times New Roman" w:cs="Times New Roman"/>
        </w:rPr>
        <w:t>” imune à prescrição.</w:t>
      </w:r>
    </w:p>
    <w:p w14:paraId="42405C6D" w14:textId="183DB0E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Ocorre que essa suposta condicionante não integra a tese repetitiva nem a sua razão determinante.</w:t>
      </w:r>
    </w:p>
    <w:p w14:paraId="7620299D" w14:textId="11B7C7A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Ao formar o precedente, a Segunda Seção do STJ foi expressa ao reconhecer que o pretenso herdeiro pode exercer seus direitos hereditários desde logo e independentemente do reconhecimento oficial da filiação, inclusive mediante ajuizamento cumulativo das duas pretensões [investigatória e petição de herança].</w:t>
      </w:r>
    </w:p>
    <w:p w14:paraId="463BC5D1" w14:textId="5272838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jurisprudência qualificada, portanto, não pressupõe que o interessado já possua sentença declaratória de filiação, muito menos que deva aguardar o encerramento da partilha. Ao contrário, reconhece expressamente a possibilidade de atuação judicial anterior ao reconhecimento formal da condição de herdeiro.</w:t>
      </w:r>
    </w:p>
    <w:p w14:paraId="4BAE290B" w14:textId="0E2C4DD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 essa foi, rigorosamente, a via processual eleita pelos próprios recorrentes: investigação de paternidade avoenga cumulada com pedido de herança.</w:t>
      </w:r>
    </w:p>
    <w:p w14:paraId="73695C97" w14:textId="77777777" w:rsidR="001A05F4" w:rsidRPr="001A05F4" w:rsidRDefault="001A05F4" w:rsidP="001A05F4">
      <w:pPr>
        <w:ind w:right="-427"/>
        <w:jc w:val="both"/>
        <w:rPr>
          <w:rFonts w:ascii="Times New Roman" w:hAnsi="Times New Roman" w:cs="Times New Roman"/>
        </w:rPr>
      </w:pPr>
    </w:p>
    <w:p w14:paraId="2C1205A4" w14:textId="2D8A93A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A tese de que a pretensão somente se tornaria exercitável após a partilha não constitui, então, verdadeira distinção. Pretende-se acrescentar ao Tema n. 1.200 uma exceção que o precedente não estabeleceu, substituindo-se o marco objetivo da abertura da sucessão pelo encerramento do inventário.</w:t>
      </w:r>
    </w:p>
    <w:p w14:paraId="279AED7A" w14:textId="384F1C3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Noutras palavras, sob a roupagem de </w:t>
      </w:r>
      <w:proofErr w:type="spellStart"/>
      <w:r w:rsidRPr="009B6C8A">
        <w:rPr>
          <w:rFonts w:ascii="Times New Roman" w:hAnsi="Times New Roman" w:cs="Times New Roman"/>
          <w:i/>
          <w:iCs/>
        </w:rPr>
        <w:t>distinguishing</w:t>
      </w:r>
      <w:proofErr w:type="spellEnd"/>
      <w:r w:rsidRPr="001A05F4">
        <w:rPr>
          <w:rFonts w:ascii="Times New Roman" w:hAnsi="Times New Roman" w:cs="Times New Roman"/>
        </w:rPr>
        <w:t>, busca-se obter precisamente a solução jurídica recusada pela Segunda Seção do STJ - postergar o termo inicial prescricional para momento posterior à abertura da sucessão.</w:t>
      </w:r>
    </w:p>
    <w:p w14:paraId="1B4F3028" w14:textId="515321A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Também por essa razão, incide na espécie vertente o enunciado da Súmula 83 do STJ, </w:t>
      </w:r>
      <w:r w:rsidRPr="009B6C8A">
        <w:rPr>
          <w:rFonts w:ascii="Times New Roman" w:hAnsi="Times New Roman" w:cs="Times New Roman"/>
          <w:i/>
          <w:iCs/>
        </w:rPr>
        <w:t>ad litteris</w:t>
      </w:r>
      <w:r w:rsidR="007F00DA">
        <w:rPr>
          <w:rStyle w:val="Refdenotaderodap"/>
          <w:rFonts w:ascii="Times New Roman" w:hAnsi="Times New Roman" w:cs="Times New Roman"/>
          <w:i/>
          <w:iCs/>
        </w:rPr>
        <w:footnoteReference w:id="1"/>
      </w:r>
      <w:r w:rsidRPr="001A05F4">
        <w:rPr>
          <w:rFonts w:ascii="Times New Roman" w:hAnsi="Times New Roman" w:cs="Times New Roman"/>
        </w:rPr>
        <w:t xml:space="preserve">: </w:t>
      </w:r>
    </w:p>
    <w:p w14:paraId="47F72F6B" w14:textId="77777777"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t>STJ, Súmula 83. Não se conhece do recurso especial pela divergência, quando a orientação do Tribunal se firmou no mesmo sentido da decisão recorrida</w:t>
      </w:r>
      <w:r w:rsidRPr="001A05F4">
        <w:rPr>
          <w:rFonts w:ascii="Times New Roman" w:hAnsi="Times New Roman" w:cs="Times New Roman"/>
        </w:rPr>
        <w:t>.</w:t>
      </w:r>
    </w:p>
    <w:p w14:paraId="3E9489EF" w14:textId="75701BF0"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Destarte, estando o pronunciamento recorrido alinhado ao Tema Repetitivo n. 1.200, não há espaço para reabrir perante o STJ discussão que a própria Corte Superior já uniformizou em precedente obrigatório, conforme exaustivamente vergastado anteriormente.</w:t>
      </w:r>
    </w:p>
    <w:p w14:paraId="53AA7ECE" w14:textId="533EDF2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Impõe-se, pois, a negativa de seguimento ao recurso especial, pois a colenda </w:t>
      </w:r>
      <w:r w:rsidR="009B6C8A">
        <w:rPr>
          <w:rFonts w:ascii="Times New Roman" w:hAnsi="Times New Roman" w:cs="Times New Roman"/>
        </w:rPr>
        <w:t>...</w:t>
      </w:r>
      <w:r w:rsidRPr="001A05F4">
        <w:rPr>
          <w:rFonts w:ascii="Times New Roman" w:hAnsi="Times New Roman" w:cs="Times New Roman"/>
        </w:rPr>
        <w:t xml:space="preserve">ª Câmara Cível Especializada do Tribunal de Justiça de </w:t>
      </w:r>
      <w:r w:rsidR="009B6C8A">
        <w:rPr>
          <w:rFonts w:ascii="Times New Roman" w:hAnsi="Times New Roman" w:cs="Times New Roman"/>
        </w:rPr>
        <w:t>...</w:t>
      </w:r>
      <w:r w:rsidRPr="001A05F4">
        <w:rPr>
          <w:rFonts w:ascii="Times New Roman" w:hAnsi="Times New Roman" w:cs="Times New Roman"/>
        </w:rPr>
        <w:t xml:space="preserve"> seguiu inteiramente a orientação firmada pelo Superior Tribunal de Justiça no julgamento do Tema Repetitivo n. 1.200, segundo a qual o “</w:t>
      </w:r>
      <w:r w:rsidRPr="009B6C8A">
        <w:rPr>
          <w:rFonts w:ascii="Times New Roman" w:hAnsi="Times New Roman" w:cs="Times New Roman"/>
          <w:i/>
          <w:iCs/>
        </w:rPr>
        <w:t>prazo prescricional para propor ação de petição de herança conta-se da abertura da sucessão, cuja fluência não é impedida, suspensa ou interrompida pelo ajuizamento de ação de reconhecimento de filiação, independentemente do seu trânsito em julgado</w:t>
      </w:r>
      <w:r w:rsidRPr="001A05F4">
        <w:rPr>
          <w:rFonts w:ascii="Times New Roman" w:hAnsi="Times New Roman" w:cs="Times New Roman"/>
        </w:rPr>
        <w:t>” [CPC, art. 1.030, I, ‘b’ c/c STJ, Tema 1.200 c/c STJ, Súmula 83].</w:t>
      </w:r>
    </w:p>
    <w:p w14:paraId="4ECF857E" w14:textId="1350FC36" w:rsidR="001A05F4" w:rsidRPr="009B6C8A" w:rsidRDefault="001A05F4" w:rsidP="001A05F4">
      <w:pPr>
        <w:ind w:right="-427"/>
        <w:jc w:val="both"/>
        <w:rPr>
          <w:rFonts w:ascii="Times New Roman" w:hAnsi="Times New Roman" w:cs="Times New Roman"/>
          <w:b/>
          <w:bCs/>
        </w:rPr>
      </w:pPr>
      <w:r w:rsidRPr="009B6C8A">
        <w:rPr>
          <w:rFonts w:ascii="Times New Roman" w:hAnsi="Times New Roman" w:cs="Times New Roman"/>
          <w:b/>
          <w:bCs/>
        </w:rPr>
        <w:t>II.2-</w:t>
      </w:r>
      <w:r w:rsidR="009B6C8A" w:rsidRPr="009B6C8A">
        <w:rPr>
          <w:rFonts w:ascii="Times New Roman" w:hAnsi="Times New Roman" w:cs="Times New Roman"/>
          <w:b/>
          <w:bCs/>
        </w:rPr>
        <w:t xml:space="preserve"> </w:t>
      </w:r>
      <w:r w:rsidRPr="009B6C8A">
        <w:rPr>
          <w:rFonts w:ascii="Times New Roman" w:hAnsi="Times New Roman" w:cs="Times New Roman"/>
          <w:b/>
          <w:bCs/>
        </w:rPr>
        <w:t>AUSÊNCIA DE PREQUESTIONAMENTO DA NOVA TESE DE “</w:t>
      </w:r>
      <w:r w:rsidRPr="009B6C8A">
        <w:rPr>
          <w:rFonts w:ascii="Times New Roman" w:hAnsi="Times New Roman" w:cs="Times New Roman"/>
          <w:b/>
          <w:bCs/>
          <w:i/>
          <w:iCs/>
        </w:rPr>
        <w:t>HABILITAÇÃO INCIDENTAL</w:t>
      </w:r>
      <w:r w:rsidRPr="009B6C8A">
        <w:rPr>
          <w:rFonts w:ascii="Times New Roman" w:hAnsi="Times New Roman" w:cs="Times New Roman"/>
          <w:b/>
          <w:bCs/>
        </w:rPr>
        <w:t>” –</w:t>
      </w:r>
    </w:p>
    <w:p w14:paraId="0A4118C1" w14:textId="0497350C" w:rsidR="001A05F4" w:rsidRPr="009B6C8A" w:rsidRDefault="001A05F4" w:rsidP="001A05F4">
      <w:pPr>
        <w:ind w:right="-427"/>
        <w:jc w:val="both"/>
        <w:rPr>
          <w:rFonts w:ascii="Times New Roman" w:hAnsi="Times New Roman" w:cs="Times New Roman"/>
          <w:b/>
          <w:bCs/>
        </w:rPr>
      </w:pPr>
      <w:r w:rsidRPr="009B6C8A">
        <w:rPr>
          <w:rFonts w:ascii="Times New Roman" w:hAnsi="Times New Roman" w:cs="Times New Roman"/>
          <w:b/>
          <w:bCs/>
        </w:rPr>
        <w:t>INCIDÊNCIA DA SÚMULA 211 DO SUPERIOR TRIBUNAL DE JUSTIÇA-</w:t>
      </w:r>
    </w:p>
    <w:p w14:paraId="7E5F5FC1" w14:textId="5E0224F7" w:rsidR="001A05F4" w:rsidRPr="009B6C8A" w:rsidRDefault="001A05F4" w:rsidP="001A05F4">
      <w:pPr>
        <w:ind w:right="-427"/>
        <w:jc w:val="both"/>
        <w:rPr>
          <w:rFonts w:ascii="Times New Roman" w:hAnsi="Times New Roman" w:cs="Times New Roman"/>
          <w:b/>
          <w:bCs/>
        </w:rPr>
      </w:pPr>
      <w:r w:rsidRPr="009B6C8A">
        <w:rPr>
          <w:rFonts w:ascii="Times New Roman" w:hAnsi="Times New Roman" w:cs="Times New Roman"/>
          <w:b/>
          <w:bCs/>
        </w:rPr>
        <w:t>INVIABILIDADE DO DISSÍDIO E DO REEXAME DAS PREMISSAS FÁTICAS</w:t>
      </w:r>
    </w:p>
    <w:p w14:paraId="32FEE397" w14:textId="24E86D59"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Há, ainda, outro obstáculo autônomo ao conhecimento do recurso especial.</w:t>
      </w:r>
    </w:p>
    <w:p w14:paraId="4F8AAF16" w14:textId="03B7BEF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Nas razões especiais, os recorrentes afirmam que os </w:t>
      </w:r>
      <w:proofErr w:type="spellStart"/>
      <w:r w:rsidRPr="001A05F4">
        <w:rPr>
          <w:rFonts w:ascii="Times New Roman" w:hAnsi="Times New Roman" w:cs="Times New Roman"/>
        </w:rPr>
        <w:t>arts</w:t>
      </w:r>
      <w:proofErr w:type="spellEnd"/>
      <w:r w:rsidRPr="001A05F4">
        <w:rPr>
          <w:rFonts w:ascii="Times New Roman" w:hAnsi="Times New Roman" w:cs="Times New Roman"/>
        </w:rPr>
        <w:t>. 48, 612 e 628 do CPC e 1.791, 1.824 e 2.035 do Código Civil teriam sido objeto de “</w:t>
      </w:r>
      <w:r w:rsidRPr="009B6C8A">
        <w:rPr>
          <w:rFonts w:ascii="Times New Roman" w:hAnsi="Times New Roman" w:cs="Times New Roman"/>
          <w:i/>
          <w:iCs/>
        </w:rPr>
        <w:t>profundo e explícito debate</w:t>
      </w:r>
      <w:r w:rsidRPr="001A05F4">
        <w:rPr>
          <w:rFonts w:ascii="Times New Roman" w:hAnsi="Times New Roman" w:cs="Times New Roman"/>
        </w:rPr>
        <w:t>” pelas instâncias ordinárias.</w:t>
      </w:r>
    </w:p>
    <w:p w14:paraId="3E39CE11" w14:textId="3B26803F"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Essa assertiva, contudo, não encontra correspondência integral no itinerário processual, </w:t>
      </w:r>
      <w:proofErr w:type="spellStart"/>
      <w:r w:rsidRPr="009B6C8A">
        <w:rPr>
          <w:rFonts w:ascii="Times New Roman" w:hAnsi="Times New Roman" w:cs="Times New Roman"/>
          <w:i/>
          <w:iCs/>
        </w:rPr>
        <w:t>concessa</w:t>
      </w:r>
      <w:proofErr w:type="spellEnd"/>
      <w:r w:rsidRPr="009B6C8A">
        <w:rPr>
          <w:rFonts w:ascii="Times New Roman" w:hAnsi="Times New Roman" w:cs="Times New Roman"/>
          <w:i/>
          <w:iCs/>
        </w:rPr>
        <w:t xml:space="preserve"> </w:t>
      </w:r>
      <w:proofErr w:type="spellStart"/>
      <w:r w:rsidRPr="009B6C8A">
        <w:rPr>
          <w:rFonts w:ascii="Times New Roman" w:hAnsi="Times New Roman" w:cs="Times New Roman"/>
          <w:i/>
          <w:iCs/>
        </w:rPr>
        <w:t>venia</w:t>
      </w:r>
      <w:proofErr w:type="spellEnd"/>
      <w:r w:rsidRPr="001A05F4">
        <w:rPr>
          <w:rFonts w:ascii="Times New Roman" w:hAnsi="Times New Roman" w:cs="Times New Roman"/>
        </w:rPr>
        <w:t>.</w:t>
      </w:r>
    </w:p>
    <w:p w14:paraId="5415BD60" w14:textId="2A04D4D3" w:rsidR="009B6C8A"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 xml:space="preserve">Nos embargos declaratórios dirigidos ao </w:t>
      </w:r>
      <w:proofErr w:type="spellStart"/>
      <w:r w:rsidRPr="001A05F4">
        <w:rPr>
          <w:rFonts w:ascii="Times New Roman" w:hAnsi="Times New Roman" w:cs="Times New Roman"/>
        </w:rPr>
        <w:t>eg</w:t>
      </w:r>
      <w:proofErr w:type="spellEnd"/>
      <w:r w:rsidRPr="001A05F4">
        <w:rPr>
          <w:rFonts w:ascii="Times New Roman" w:hAnsi="Times New Roman" w:cs="Times New Roman"/>
        </w:rPr>
        <w:t>. TJ</w:t>
      </w:r>
      <w:r w:rsidR="009B6C8A">
        <w:rPr>
          <w:rFonts w:ascii="Times New Roman" w:hAnsi="Times New Roman" w:cs="Times New Roman"/>
        </w:rPr>
        <w:t>...</w:t>
      </w:r>
      <w:r w:rsidRPr="001A05F4">
        <w:rPr>
          <w:rFonts w:ascii="Times New Roman" w:hAnsi="Times New Roman" w:cs="Times New Roman"/>
        </w:rPr>
        <w:t xml:space="preserve">, quando do julgamento do agravo de instrumento, os próprios recorrentes indicaram de forma expressa, para fins de prequestionamento, os </w:t>
      </w:r>
      <w:proofErr w:type="spellStart"/>
      <w:r w:rsidRPr="001A05F4">
        <w:rPr>
          <w:rFonts w:ascii="Times New Roman" w:hAnsi="Times New Roman" w:cs="Times New Roman"/>
        </w:rPr>
        <w:t>arts</w:t>
      </w:r>
      <w:proofErr w:type="spellEnd"/>
      <w:r w:rsidRPr="001A05F4">
        <w:rPr>
          <w:rFonts w:ascii="Times New Roman" w:hAnsi="Times New Roman" w:cs="Times New Roman"/>
        </w:rPr>
        <w:t xml:space="preserve">. 10, 48, 64, §1º, 612 e 927, §§3º e 4º, do CPC; 1.824, 2.028 e 2.035 do Código Civil; e 6º da LINDB. Não constaram daquela provocação os </w:t>
      </w:r>
      <w:proofErr w:type="spellStart"/>
      <w:r w:rsidRPr="001A05F4">
        <w:rPr>
          <w:rFonts w:ascii="Times New Roman" w:hAnsi="Times New Roman" w:cs="Times New Roman"/>
        </w:rPr>
        <w:t>arts</w:t>
      </w:r>
      <w:proofErr w:type="spellEnd"/>
      <w:r w:rsidRPr="001A05F4">
        <w:rPr>
          <w:rFonts w:ascii="Times New Roman" w:hAnsi="Times New Roman" w:cs="Times New Roman"/>
        </w:rPr>
        <w:t>. 628 do CPC e 1.791 do Código Civil</w:t>
      </w:r>
      <w:r w:rsidR="007F00DA">
        <w:rPr>
          <w:rStyle w:val="Refdenotaderodap"/>
          <w:rFonts w:ascii="Times New Roman" w:hAnsi="Times New Roman" w:cs="Times New Roman"/>
        </w:rPr>
        <w:footnoteReference w:id="2"/>
      </w:r>
      <w:r w:rsidRPr="001A05F4">
        <w:rPr>
          <w:rFonts w:ascii="Times New Roman" w:hAnsi="Times New Roman" w:cs="Times New Roman"/>
        </w:rPr>
        <w:t>, agora erigidos em pilares da tese recursal.</w:t>
      </w:r>
    </w:p>
    <w:p w14:paraId="1B918D43" w14:textId="5B4D219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relevância máxima dessa constatação não está na simples ausência de menção expressa aos referidos dispositivos anteriormente. O que efetivamente não foi submetido ao TJ</w:t>
      </w:r>
      <w:r w:rsidR="009B6C8A">
        <w:rPr>
          <w:rFonts w:ascii="Times New Roman" w:hAnsi="Times New Roman" w:cs="Times New Roman"/>
        </w:rPr>
        <w:t>...</w:t>
      </w:r>
      <w:r w:rsidRPr="001A05F4">
        <w:rPr>
          <w:rFonts w:ascii="Times New Roman" w:hAnsi="Times New Roman" w:cs="Times New Roman"/>
        </w:rPr>
        <w:t xml:space="preserve"> foi a específica construção jurídica apresentada na via especial de que a petição de herança autônoma teria sofrido uma “</w:t>
      </w:r>
      <w:r w:rsidRPr="009B6C8A">
        <w:rPr>
          <w:rFonts w:ascii="Times New Roman" w:hAnsi="Times New Roman" w:cs="Times New Roman"/>
          <w:i/>
          <w:iCs/>
        </w:rPr>
        <w:t>transposição procedimental</w:t>
      </w:r>
      <w:r w:rsidRPr="001A05F4">
        <w:rPr>
          <w:rFonts w:ascii="Times New Roman" w:hAnsi="Times New Roman" w:cs="Times New Roman"/>
        </w:rPr>
        <w:t>”, convertendo-se em “</w:t>
      </w:r>
      <w:r w:rsidRPr="009B6C8A">
        <w:rPr>
          <w:rFonts w:ascii="Times New Roman" w:hAnsi="Times New Roman" w:cs="Times New Roman"/>
          <w:i/>
          <w:iCs/>
        </w:rPr>
        <w:t>habilitação incidental retardatária</w:t>
      </w:r>
      <w:r w:rsidRPr="001A05F4">
        <w:rPr>
          <w:rFonts w:ascii="Times New Roman" w:hAnsi="Times New Roman" w:cs="Times New Roman"/>
        </w:rPr>
        <w:t>” e, em razão disso, teria se tornado “</w:t>
      </w:r>
      <w:r w:rsidRPr="009B6C8A">
        <w:rPr>
          <w:rFonts w:ascii="Times New Roman" w:hAnsi="Times New Roman" w:cs="Times New Roman"/>
          <w:i/>
          <w:iCs/>
        </w:rPr>
        <w:t>imune à prescrição</w:t>
      </w:r>
      <w:r w:rsidRPr="001A05F4">
        <w:rPr>
          <w:rFonts w:ascii="Times New Roman" w:hAnsi="Times New Roman" w:cs="Times New Roman"/>
        </w:rPr>
        <w:t>” enquanto pendente a partilha.</w:t>
      </w:r>
    </w:p>
    <w:p w14:paraId="1FAF83AB" w14:textId="390DE789"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Absurdo, não apenas pela tese jurídica inédita, mas principalmente por jamais ter sido debatida essa situação no processo!</w:t>
      </w:r>
    </w:p>
    <w:p w14:paraId="5DF75270" w14:textId="6578322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Os recorrentes se insurgiram na instância originária quanto à competência e também quanto à matéria prescricional, já o recurso especial ora contrarrazoado procura extrair da legislação infraconstitucional um regime jurídico próprio para defesa de seus interesses particulares, matéria sobre a qual o v. acórdão recorrido não emitiu juízo de valor pela verdadeira falta de provocação.</w:t>
      </w:r>
    </w:p>
    <w:p w14:paraId="726DDC85" w14:textId="7723DBF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Incide, portanto, o enunciado da Súmula 211 do STJ, obstando o conhecimento do recurso especial por flagrante inovação recursal:</w:t>
      </w:r>
    </w:p>
    <w:p w14:paraId="7BB1CD07" w14:textId="77777777"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t>STJ, Súmula 211. Inadmissível recurso especial quanto à questão que, a despeito da oposição de embargos declaratórios, não foi apreciada pelo Tribunal a quo</w:t>
      </w:r>
      <w:r w:rsidRPr="001A05F4">
        <w:rPr>
          <w:rFonts w:ascii="Times New Roman" w:hAnsi="Times New Roman" w:cs="Times New Roman"/>
        </w:rPr>
        <w:t>.</w:t>
      </w:r>
    </w:p>
    <w:p w14:paraId="5B88BBED" w14:textId="35BA031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Nem mesmo o art. 1.025 do digesto instrumental civil assiste aos recorrentes.</w:t>
      </w:r>
    </w:p>
    <w:p w14:paraId="7F1163D2" w14:textId="217AD7B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Isso porque o denominado prequestionamento ficto não transforma os embargos declaratórios em mecanismo pelo qual toda e qualquer tese posteriormente concebida possa ser submetida originariamente ao Superior Tribunal de Justiça. A jurisprudência do STJ exige requisitos cumulativos, dentre eles que a própria matéria tenha sido suscitada nos </w:t>
      </w:r>
      <w:proofErr w:type="spellStart"/>
      <w:r w:rsidRPr="001A05F4">
        <w:rPr>
          <w:rFonts w:ascii="Times New Roman" w:hAnsi="Times New Roman" w:cs="Times New Roman"/>
        </w:rPr>
        <w:t>aclaratórios</w:t>
      </w:r>
      <w:proofErr w:type="spellEnd"/>
      <w:r w:rsidRPr="001A05F4">
        <w:rPr>
          <w:rFonts w:ascii="Times New Roman" w:hAnsi="Times New Roman" w:cs="Times New Roman"/>
        </w:rPr>
        <w:t xml:space="preserve"> e que o recurso especial veicule alegação de violação ao art. 1.022 do CPC</w:t>
      </w:r>
      <w:r w:rsidR="007F00DA">
        <w:rPr>
          <w:rStyle w:val="Refdenotaderodap"/>
          <w:rFonts w:ascii="Times New Roman" w:hAnsi="Times New Roman" w:cs="Times New Roman"/>
        </w:rPr>
        <w:footnoteReference w:id="3"/>
      </w:r>
      <w:r w:rsidRPr="001A05F4">
        <w:rPr>
          <w:rFonts w:ascii="Times New Roman" w:hAnsi="Times New Roman" w:cs="Times New Roman"/>
        </w:rPr>
        <w:t xml:space="preserve">. </w:t>
      </w:r>
    </w:p>
    <w:p w14:paraId="0C92BDFD" w14:textId="7F060F5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A hipótese dos autos não satisfaz essa exigência. Os recorrentes não apenas deixaram de submeter a específica tese de “</w:t>
      </w:r>
      <w:r w:rsidRPr="009B6C8A">
        <w:rPr>
          <w:rFonts w:ascii="Times New Roman" w:hAnsi="Times New Roman" w:cs="Times New Roman"/>
          <w:i/>
          <w:iCs/>
        </w:rPr>
        <w:t>transposição procedimental</w:t>
      </w:r>
      <w:r w:rsidRPr="001A05F4">
        <w:rPr>
          <w:rFonts w:ascii="Times New Roman" w:hAnsi="Times New Roman" w:cs="Times New Roman"/>
        </w:rPr>
        <w:t>” ao julgamento do Tribunal local, como também não articularam, no recurso especial, violação ao art. 1.022 do CPC apta a possibilitar ao STJ reconhecer eventual omissão e fazer operar o art. 1.025.</w:t>
      </w:r>
    </w:p>
    <w:p w14:paraId="3287828B" w14:textId="2686B6D9"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Em miúdos, não há prequestionamento real, porque a questão não ventilada oportunamente e, evidentemente, não foi decidida; e tampouco há prequestionamento ficto, porque não estão presentes os requisitos estabelecidos pela jurisprudência do STJ.</w:t>
      </w:r>
    </w:p>
    <w:p w14:paraId="2963F59E" w14:textId="09F6791E"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Destarte, também por esse fundamento o recurso especial não ultrapassa o juízo de admissibilidade, seja pela ausência de prequestionamento da nova construção jurídica fundada nos </w:t>
      </w:r>
      <w:proofErr w:type="spellStart"/>
      <w:r w:rsidRPr="001A05F4">
        <w:rPr>
          <w:rFonts w:ascii="Times New Roman" w:hAnsi="Times New Roman" w:cs="Times New Roman"/>
        </w:rPr>
        <w:t>arts</w:t>
      </w:r>
      <w:proofErr w:type="spellEnd"/>
      <w:r w:rsidRPr="001A05F4">
        <w:rPr>
          <w:rFonts w:ascii="Times New Roman" w:hAnsi="Times New Roman" w:cs="Times New Roman"/>
        </w:rPr>
        <w:t xml:space="preserve">. 628 do CPC e 1.791 do Código Civil [STJ, Súmula 211], seja pela inviabilidade de prequestionamento ficto sem alegação de ofensa ao art. 1.022 do CPC, seja, por fim, porque eventual acolhimento das premissas fáticas utilizadas para sustentar o </w:t>
      </w:r>
      <w:proofErr w:type="spellStart"/>
      <w:r w:rsidRPr="009B6C8A">
        <w:rPr>
          <w:rFonts w:ascii="Times New Roman" w:hAnsi="Times New Roman" w:cs="Times New Roman"/>
          <w:i/>
          <w:iCs/>
        </w:rPr>
        <w:t>distinguishing</w:t>
      </w:r>
      <w:proofErr w:type="spellEnd"/>
      <w:r w:rsidRPr="009B6C8A">
        <w:rPr>
          <w:rFonts w:ascii="Times New Roman" w:hAnsi="Times New Roman" w:cs="Times New Roman"/>
          <w:i/>
          <w:iCs/>
        </w:rPr>
        <w:t xml:space="preserve"> </w:t>
      </w:r>
      <w:r w:rsidRPr="001A05F4">
        <w:rPr>
          <w:rFonts w:ascii="Times New Roman" w:hAnsi="Times New Roman" w:cs="Times New Roman"/>
        </w:rPr>
        <w:t>encontraria o óbice da Súmula 7 do STJ</w:t>
      </w:r>
      <w:r w:rsidR="007F00DA">
        <w:rPr>
          <w:rStyle w:val="Refdenotaderodap"/>
          <w:rFonts w:ascii="Times New Roman" w:hAnsi="Times New Roman" w:cs="Times New Roman"/>
        </w:rPr>
        <w:footnoteReference w:id="4"/>
      </w:r>
      <w:r w:rsidRPr="001A05F4">
        <w:rPr>
          <w:rFonts w:ascii="Times New Roman" w:hAnsi="Times New Roman" w:cs="Times New Roman"/>
        </w:rPr>
        <w:t xml:space="preserve">. </w:t>
      </w:r>
    </w:p>
    <w:p w14:paraId="1A982971" w14:textId="3AEBFA84" w:rsidR="001A05F4" w:rsidRPr="007F00DA" w:rsidRDefault="001A05F4" w:rsidP="001A05F4">
      <w:pPr>
        <w:ind w:right="-427"/>
        <w:jc w:val="both"/>
        <w:rPr>
          <w:rFonts w:ascii="Times New Roman" w:hAnsi="Times New Roman" w:cs="Times New Roman"/>
          <w:b/>
          <w:bCs/>
        </w:rPr>
      </w:pPr>
      <w:r w:rsidRPr="009B6C8A">
        <w:rPr>
          <w:rFonts w:ascii="Times New Roman" w:hAnsi="Times New Roman" w:cs="Times New Roman"/>
          <w:b/>
          <w:bCs/>
        </w:rPr>
        <w:t>III-</w:t>
      </w:r>
      <w:r w:rsidR="009B6C8A" w:rsidRPr="009B6C8A">
        <w:rPr>
          <w:rFonts w:ascii="Times New Roman" w:hAnsi="Times New Roman" w:cs="Times New Roman"/>
          <w:b/>
          <w:bCs/>
        </w:rPr>
        <w:t xml:space="preserve"> </w:t>
      </w:r>
      <w:r w:rsidRPr="009B6C8A">
        <w:rPr>
          <w:rFonts w:ascii="Times New Roman" w:hAnsi="Times New Roman" w:cs="Times New Roman"/>
          <w:b/>
          <w:bCs/>
        </w:rPr>
        <w:t>MÉRITO: DESPROVIMENTO DO RECURSO ESPECIAL</w:t>
      </w:r>
    </w:p>
    <w:p w14:paraId="5A7A84E7" w14:textId="77777777" w:rsidR="001A05F4" w:rsidRPr="009B6C8A" w:rsidRDefault="001A05F4" w:rsidP="001A05F4">
      <w:pPr>
        <w:ind w:right="-427"/>
        <w:jc w:val="both"/>
        <w:rPr>
          <w:rFonts w:ascii="Times New Roman" w:hAnsi="Times New Roman" w:cs="Times New Roman"/>
          <w:b/>
          <w:bCs/>
        </w:rPr>
      </w:pPr>
      <w:r w:rsidRPr="009B6C8A">
        <w:rPr>
          <w:rFonts w:ascii="Times New Roman" w:hAnsi="Times New Roman" w:cs="Times New Roman"/>
          <w:b/>
          <w:bCs/>
        </w:rPr>
        <w:t>III.1- O TERMO INICIAL DA PRESCRIÇÃO É A ABERTURA DA SUCESSÃO – APLICAÇÃO DIRETA DO TEMA 1200 DO SUPERIOR TRIBUNAL DE JUSTIÇA E DAS REGRAS DO DIREITO INTERTEMPORAL</w:t>
      </w:r>
    </w:p>
    <w:p w14:paraId="033026B3" w14:textId="1CE62003"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t>Prima facie</w:t>
      </w:r>
      <w:r w:rsidRPr="001A05F4">
        <w:rPr>
          <w:rFonts w:ascii="Times New Roman" w:hAnsi="Times New Roman" w:cs="Times New Roman"/>
        </w:rPr>
        <w:t xml:space="preserve">, ultrapassados os óbices de admissibilidade, as razões recursais igualmente não comportam acolhimento no mérito. </w:t>
      </w:r>
    </w:p>
    <w:p w14:paraId="3F46D300" w14:textId="4366DD3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disciplina sucessória parte de premissa elementar: pelo princípio da saisine, consagrado no art. 1.784 do Código Civil, a herança se transmite desde logo com a abertura da sucessão. É nesse momento que surge a relação jurídica sucessória e, segundo o Tema 1.200/STJ, também se estabelece o termo inicial da pretensão de petição de herança.</w:t>
      </w:r>
    </w:p>
    <w:p w14:paraId="2F4CFB50" w14:textId="5C40934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tese dos recorrentes, segundo a qual inexistiria pretensão exercitável enquanto não reconhecida judicialmente a paternidade, já foi expressamente repelida pela Segunda Seção do Superior Tribunal de Justiça. </w:t>
      </w:r>
    </w:p>
    <w:p w14:paraId="5E82FA11" w14:textId="345F6CB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O precedente qualificado reconheceu que o pretenso herdeiro pode postular seus direitos antes do reconhecimento oficial da filiação, inclusive mediante a exata técnica processual empregada nestes autos pelos recorrentes: ajuizamento de ação investigatória de paternidade cumulada com petição de herança.</w:t>
      </w:r>
    </w:p>
    <w:p w14:paraId="270F192B" w14:textId="4BDA01A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Não é juridicamente sustentável afirmar, depois de transcorrido o prazo prescricional, que inexistia possibilidade de exercício da pretensão que os próprios interessados efetivamente exerceram.</w:t>
      </w:r>
    </w:p>
    <w:p w14:paraId="25AC6D61" w14:textId="6D8532F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Essa separação entre o direito de estado e a respectiva pretensão patrimonial também encontra respaldo histórico na Súmula n. 149 do Supremo Tribunal Federal:</w:t>
      </w:r>
    </w:p>
    <w:p w14:paraId="62ECE080" w14:textId="77777777"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lastRenderedPageBreak/>
        <w:t>STF, Súmula 149. É imprescritível a ação de investigação de paternidade, mas não o é a de petição de herança</w:t>
      </w:r>
      <w:r w:rsidRPr="001A05F4">
        <w:rPr>
          <w:rFonts w:ascii="Times New Roman" w:hAnsi="Times New Roman" w:cs="Times New Roman"/>
        </w:rPr>
        <w:t>.</w:t>
      </w:r>
    </w:p>
    <w:p w14:paraId="69B504D0" w14:textId="2A01EB0E"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t xml:space="preserve">In </w:t>
      </w:r>
      <w:proofErr w:type="spellStart"/>
      <w:r w:rsidRPr="009B6C8A">
        <w:rPr>
          <w:rFonts w:ascii="Times New Roman" w:hAnsi="Times New Roman" w:cs="Times New Roman"/>
          <w:i/>
          <w:iCs/>
        </w:rPr>
        <w:t>casu</w:t>
      </w:r>
      <w:proofErr w:type="spellEnd"/>
      <w:r w:rsidRPr="001A05F4">
        <w:rPr>
          <w:rFonts w:ascii="Times New Roman" w:hAnsi="Times New Roman" w:cs="Times New Roman"/>
        </w:rPr>
        <w:t>, tanto a v. decisão de primeiro grau como também o r. acórdão recorrido observaram essa distinção essencialmente. A investigação de paternidade permanece em curso, enquanto a prescrição foi reconhecida somente quanto ao pedido patrimonial.</w:t>
      </w:r>
    </w:p>
    <w:p w14:paraId="22848F3D" w14:textId="26A3352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Definido o marco inicial para cômputo da prescrição desse direito patrimonial, resta a disciplina do direito intertemporal.</w:t>
      </w:r>
    </w:p>
    <w:p w14:paraId="5A57AD5B" w14:textId="5E3AF46E"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O art. 2.028 do Código Civil determina: “</w:t>
      </w:r>
      <w:r w:rsidRPr="009B6C8A">
        <w:rPr>
          <w:rFonts w:ascii="Times New Roman" w:hAnsi="Times New Roman" w:cs="Times New Roman"/>
          <w:i/>
          <w:iCs/>
        </w:rPr>
        <w:t>serão os da lei anterior os prazos, quando reduzidos por este Código, e se [...] já houver transcorrido mais da metade do tempo estabelecido na lei revogada</w:t>
      </w:r>
      <w:r w:rsidRPr="001A05F4">
        <w:rPr>
          <w:rFonts w:ascii="Times New Roman" w:hAnsi="Times New Roman" w:cs="Times New Roman"/>
        </w:rPr>
        <w:t>”.</w:t>
      </w:r>
    </w:p>
    <w:p w14:paraId="7D675B90" w14:textId="1791DF7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O falecimento de </w:t>
      </w:r>
      <w:r w:rsidR="009B6C8A">
        <w:rPr>
          <w:rFonts w:ascii="Times New Roman" w:hAnsi="Times New Roman" w:cs="Times New Roman"/>
        </w:rPr>
        <w:t>...</w:t>
      </w:r>
      <w:r w:rsidRPr="001A05F4">
        <w:rPr>
          <w:rFonts w:ascii="Times New Roman" w:hAnsi="Times New Roman" w:cs="Times New Roman"/>
        </w:rPr>
        <w:t xml:space="preserve"> ocorreu em </w:t>
      </w:r>
      <w:r w:rsidR="009B6C8A">
        <w:rPr>
          <w:rFonts w:ascii="Times New Roman" w:hAnsi="Times New Roman" w:cs="Times New Roman"/>
        </w:rPr>
        <w:t>..</w:t>
      </w:r>
      <w:r w:rsidRPr="001A05F4">
        <w:rPr>
          <w:rFonts w:ascii="Times New Roman" w:hAnsi="Times New Roman" w:cs="Times New Roman"/>
        </w:rPr>
        <w:t xml:space="preserve">. Assim, quando entrou em vigor o Código Civil de 2002, em </w:t>
      </w:r>
      <w:r w:rsidR="009B6C8A">
        <w:rPr>
          <w:rFonts w:ascii="Times New Roman" w:hAnsi="Times New Roman" w:cs="Times New Roman"/>
        </w:rPr>
        <w:t>...</w:t>
      </w:r>
      <w:r w:rsidRPr="001A05F4">
        <w:rPr>
          <w:rFonts w:ascii="Times New Roman" w:hAnsi="Times New Roman" w:cs="Times New Roman"/>
        </w:rPr>
        <w:t xml:space="preserve">, ainda não havia transcorrido metade do prazo </w:t>
      </w:r>
      <w:proofErr w:type="spellStart"/>
      <w:r w:rsidRPr="001A05F4">
        <w:rPr>
          <w:rFonts w:ascii="Times New Roman" w:hAnsi="Times New Roman" w:cs="Times New Roman"/>
        </w:rPr>
        <w:t>vintenário</w:t>
      </w:r>
      <w:proofErr w:type="spellEnd"/>
      <w:r w:rsidRPr="001A05F4">
        <w:rPr>
          <w:rFonts w:ascii="Times New Roman" w:hAnsi="Times New Roman" w:cs="Times New Roman"/>
        </w:rPr>
        <w:t xml:space="preserve"> previsto no diploma anterior.</w:t>
      </w:r>
    </w:p>
    <w:p w14:paraId="4B5D291C" w14:textId="7E10D17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interpretação desse tema é firme na Terceira Turma do Superior Tribunal de Justiça, no ponto:</w:t>
      </w:r>
    </w:p>
    <w:p w14:paraId="048A5995" w14:textId="0FAA4933" w:rsidR="001A05F4" w:rsidRPr="001A05F4" w:rsidRDefault="009B6C8A" w:rsidP="001A05F4">
      <w:pPr>
        <w:ind w:right="-427"/>
        <w:jc w:val="both"/>
        <w:rPr>
          <w:rFonts w:ascii="Times New Roman" w:hAnsi="Times New Roman" w:cs="Times New Roman"/>
        </w:rPr>
      </w:pPr>
      <w:r>
        <w:rPr>
          <w:rFonts w:ascii="Times New Roman" w:hAnsi="Times New Roman" w:cs="Times New Roman"/>
        </w:rPr>
        <w:t>“</w:t>
      </w:r>
      <w:r w:rsidR="001A05F4" w:rsidRPr="009B6C8A">
        <w:rPr>
          <w:rFonts w:ascii="Times New Roman" w:hAnsi="Times New Roman" w:cs="Times New Roman"/>
          <w:i/>
          <w:iCs/>
        </w:rPr>
        <w:t>A contrário senso do que dispõe o art. 2.028 do CC/2002, quando reduzidos os prazos de prescrição pelo CC/2002 e, na data da sua entrada em vigor, houver transcorrido menos da metade do prazo previsto no CC/1916, aplica-se o prazo previsto na lei nova, tendo o STJ decidido que, nessa hipótese, o marco inicial de contagem é o dia 11/01/2003, data de entrada em vigor do novo Código, e não a data do fato gerador do direito...</w:t>
      </w:r>
      <w:proofErr w:type="spellStart"/>
      <w:r w:rsidR="001A05F4" w:rsidRPr="009B6C8A">
        <w:rPr>
          <w:rFonts w:ascii="Times New Roman" w:hAnsi="Times New Roman" w:cs="Times New Roman"/>
          <w:i/>
          <w:iCs/>
        </w:rPr>
        <w:t>omissis</w:t>
      </w:r>
      <w:proofErr w:type="spellEnd"/>
      <w:r w:rsidR="001A05F4" w:rsidRPr="009B6C8A">
        <w:rPr>
          <w:rFonts w:ascii="Times New Roman" w:hAnsi="Times New Roman" w:cs="Times New Roman"/>
          <w:i/>
          <w:iCs/>
        </w:rPr>
        <w:t>...</w:t>
      </w:r>
      <w:r>
        <w:rPr>
          <w:rFonts w:ascii="Times New Roman" w:hAnsi="Times New Roman" w:cs="Times New Roman"/>
        </w:rPr>
        <w:t xml:space="preserve">” </w:t>
      </w:r>
      <w:r w:rsidR="001A05F4" w:rsidRPr="001A05F4">
        <w:rPr>
          <w:rFonts w:ascii="Times New Roman" w:hAnsi="Times New Roman" w:cs="Times New Roman"/>
        </w:rPr>
        <w:t xml:space="preserve">[STJ, REsp n. 2.001.617/PR, relatora Ministra Nancy Andrighi, Terceira Turma, </w:t>
      </w:r>
      <w:proofErr w:type="spellStart"/>
      <w:r w:rsidR="001A05F4" w:rsidRPr="001A05F4">
        <w:rPr>
          <w:rFonts w:ascii="Times New Roman" w:hAnsi="Times New Roman" w:cs="Times New Roman"/>
        </w:rPr>
        <w:t>DJe</w:t>
      </w:r>
      <w:proofErr w:type="spellEnd"/>
      <w:r w:rsidR="001A05F4" w:rsidRPr="001A05F4">
        <w:rPr>
          <w:rFonts w:ascii="Times New Roman" w:hAnsi="Times New Roman" w:cs="Times New Roman"/>
        </w:rPr>
        <w:t xml:space="preserve"> 05.08.2022]</w:t>
      </w:r>
    </w:p>
    <w:p w14:paraId="44A9DE93" w14:textId="12C6F4AF"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Consequentemente, incidiu na </w:t>
      </w:r>
      <w:proofErr w:type="spellStart"/>
      <w:r w:rsidRPr="009B6C8A">
        <w:rPr>
          <w:rFonts w:ascii="Times New Roman" w:hAnsi="Times New Roman" w:cs="Times New Roman"/>
          <w:i/>
          <w:iCs/>
        </w:rPr>
        <w:t>specie</w:t>
      </w:r>
      <w:proofErr w:type="spellEnd"/>
      <w:r w:rsidRPr="001A05F4">
        <w:rPr>
          <w:rFonts w:ascii="Times New Roman" w:hAnsi="Times New Roman" w:cs="Times New Roman"/>
        </w:rPr>
        <w:t xml:space="preserve"> o prazo decenal prescricional previsto no art. 205 do Código Civil: “</w:t>
      </w:r>
      <w:r w:rsidRPr="009B6C8A">
        <w:rPr>
          <w:rFonts w:ascii="Times New Roman" w:hAnsi="Times New Roman" w:cs="Times New Roman"/>
          <w:i/>
          <w:iCs/>
        </w:rPr>
        <w:t>A prescrição ocorre em dez anos, quando a lei não lhe haja fixado prazo menor</w:t>
      </w:r>
      <w:r w:rsidRPr="001A05F4">
        <w:rPr>
          <w:rFonts w:ascii="Times New Roman" w:hAnsi="Times New Roman" w:cs="Times New Roman"/>
        </w:rPr>
        <w:t>”.</w:t>
      </w:r>
    </w:p>
    <w:p w14:paraId="1B1C284A" w14:textId="6C073F7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Esse foi exatamente o critério adotado pela </w:t>
      </w:r>
      <w:r w:rsidR="009B6C8A">
        <w:rPr>
          <w:rFonts w:ascii="Times New Roman" w:hAnsi="Times New Roman" w:cs="Times New Roman"/>
        </w:rPr>
        <w:t>...</w:t>
      </w:r>
      <w:r w:rsidRPr="001A05F4">
        <w:rPr>
          <w:rFonts w:ascii="Times New Roman" w:hAnsi="Times New Roman" w:cs="Times New Roman"/>
        </w:rPr>
        <w:t xml:space="preserve">ª Câmara Cível Especializada do Tribunal de Justiça de </w:t>
      </w:r>
      <w:r w:rsidR="009B6C8A">
        <w:rPr>
          <w:rFonts w:ascii="Times New Roman" w:hAnsi="Times New Roman" w:cs="Times New Roman"/>
        </w:rPr>
        <w:t>...</w:t>
      </w:r>
      <w:r w:rsidRPr="001A05F4">
        <w:rPr>
          <w:rFonts w:ascii="Times New Roman" w:hAnsi="Times New Roman" w:cs="Times New Roman"/>
        </w:rPr>
        <w:t>. A c. Câmara Julgadora se atentou à data do óbito de que se pretende a partilha de bens, observando também a disciplina do direito intertemporal com a vigência de nova legislação, a fim de aplicar, com precisão, o prazo decenal do art. 205 do Código Civil, contado integralmente da vigência do novo diploma legal.</w:t>
      </w:r>
    </w:p>
    <w:p w14:paraId="672D3045" w14:textId="700A941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pretensão dos recorrentes se extinguiu, portanto, em </w:t>
      </w:r>
      <w:r w:rsidR="009B6C8A">
        <w:rPr>
          <w:rFonts w:ascii="Times New Roman" w:hAnsi="Times New Roman" w:cs="Times New Roman"/>
        </w:rPr>
        <w:t>...</w:t>
      </w:r>
      <w:r w:rsidRPr="001A05F4">
        <w:rPr>
          <w:rFonts w:ascii="Times New Roman" w:hAnsi="Times New Roman" w:cs="Times New Roman"/>
        </w:rPr>
        <w:t xml:space="preserve">, enquanto a ação somente foi distribuída em </w:t>
      </w:r>
      <w:r w:rsidR="009B6C8A">
        <w:rPr>
          <w:rFonts w:ascii="Times New Roman" w:hAnsi="Times New Roman" w:cs="Times New Roman"/>
        </w:rPr>
        <w:t>...</w:t>
      </w:r>
      <w:r w:rsidRPr="001A05F4">
        <w:rPr>
          <w:rFonts w:ascii="Times New Roman" w:hAnsi="Times New Roman" w:cs="Times New Roman"/>
        </w:rPr>
        <w:t>, razão pela qual indubitavelmente operada a prescrição do direito material.</w:t>
      </w:r>
    </w:p>
    <w:p w14:paraId="6910AC18" w14:textId="5DB4B21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Não houve, portanto, retroação do prazo decenal ao ano de </w:t>
      </w:r>
      <w:r w:rsidR="009B6C8A">
        <w:rPr>
          <w:rFonts w:ascii="Times New Roman" w:hAnsi="Times New Roman" w:cs="Times New Roman"/>
        </w:rPr>
        <w:t>...</w:t>
      </w:r>
      <w:r w:rsidRPr="001A05F4">
        <w:rPr>
          <w:rFonts w:ascii="Times New Roman" w:hAnsi="Times New Roman" w:cs="Times New Roman"/>
        </w:rPr>
        <w:t>. Houve aplicação da regra transitória, com concessão integral do prazo da lei nova a partir de sua vigência.</w:t>
      </w:r>
    </w:p>
    <w:p w14:paraId="2FEF6090" w14:textId="72D91AA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Por consequência, o pronunciamento jurisdicional recorrido não apenas respeitou a tese estabelecida no julgamento do Tema Repetitivo n. 1.200 do STJ, mantendo estável, íntegra e coerente a jurisprudência, como também coincide com a jurisprudência da Corte Superior </w:t>
      </w:r>
      <w:r w:rsidRPr="001A05F4">
        <w:rPr>
          <w:rFonts w:ascii="Times New Roman" w:hAnsi="Times New Roman" w:cs="Times New Roman"/>
        </w:rPr>
        <w:lastRenderedPageBreak/>
        <w:t>acerca da matéria intertemporal e da aplicação do art. 2.028 do Código Civil, razão pela qual haverá de ser negado provimento ao recurso neste particular</w:t>
      </w:r>
      <w:r w:rsidR="007F00DA">
        <w:rPr>
          <w:rStyle w:val="Refdenotaderodap"/>
          <w:rFonts w:ascii="Times New Roman" w:hAnsi="Times New Roman" w:cs="Times New Roman"/>
        </w:rPr>
        <w:footnoteReference w:id="5"/>
      </w:r>
      <w:r w:rsidRPr="001A05F4">
        <w:rPr>
          <w:rFonts w:ascii="Times New Roman" w:hAnsi="Times New Roman" w:cs="Times New Roman"/>
        </w:rPr>
        <w:t>.</w:t>
      </w:r>
    </w:p>
    <w:p w14:paraId="0B9EEF2D" w14:textId="7FAF4AFE" w:rsidR="001A05F4" w:rsidRPr="009B6C8A" w:rsidRDefault="001A05F4" w:rsidP="001A05F4">
      <w:pPr>
        <w:ind w:right="-427"/>
        <w:jc w:val="both"/>
        <w:rPr>
          <w:rFonts w:ascii="Times New Roman" w:hAnsi="Times New Roman" w:cs="Times New Roman"/>
          <w:b/>
          <w:bCs/>
        </w:rPr>
      </w:pPr>
      <w:r w:rsidRPr="009B6C8A">
        <w:rPr>
          <w:rFonts w:ascii="Times New Roman" w:hAnsi="Times New Roman" w:cs="Times New Roman"/>
          <w:b/>
          <w:bCs/>
        </w:rPr>
        <w:t>III.2-</w:t>
      </w:r>
      <w:r w:rsidR="009B6C8A" w:rsidRPr="009B6C8A">
        <w:rPr>
          <w:rFonts w:ascii="Times New Roman" w:hAnsi="Times New Roman" w:cs="Times New Roman"/>
          <w:b/>
          <w:bCs/>
        </w:rPr>
        <w:t xml:space="preserve"> </w:t>
      </w:r>
      <w:r w:rsidRPr="009B6C8A">
        <w:rPr>
          <w:rFonts w:ascii="Times New Roman" w:hAnsi="Times New Roman" w:cs="Times New Roman"/>
          <w:b/>
          <w:bCs/>
        </w:rPr>
        <w:t xml:space="preserve">DA COMPETÊNCIA DO JUÍZO DA </w:t>
      </w:r>
      <w:r w:rsidR="009B6C8A" w:rsidRPr="009B6C8A">
        <w:rPr>
          <w:rFonts w:ascii="Times New Roman" w:hAnsi="Times New Roman" w:cs="Times New Roman"/>
          <w:b/>
          <w:bCs/>
        </w:rPr>
        <w:t>...</w:t>
      </w:r>
      <w:r w:rsidRPr="009B6C8A">
        <w:rPr>
          <w:rFonts w:ascii="Times New Roman" w:hAnsi="Times New Roman" w:cs="Times New Roman"/>
          <w:b/>
          <w:bCs/>
        </w:rPr>
        <w:t>ª VARA DE FAMÍLIA PARA APRECIAR A MATÉRIA RELATIVA À PRESCRIÇÃO DO PEDIDO CUMULADO DE PETIÇÃO DE HERANÇA-</w:t>
      </w:r>
      <w:r w:rsidR="009B6C8A" w:rsidRPr="009B6C8A">
        <w:rPr>
          <w:rFonts w:ascii="Times New Roman" w:hAnsi="Times New Roman" w:cs="Times New Roman"/>
          <w:b/>
          <w:bCs/>
        </w:rPr>
        <w:t xml:space="preserve"> </w:t>
      </w:r>
      <w:r w:rsidRPr="009B6C8A">
        <w:rPr>
          <w:rFonts w:ascii="Times New Roman" w:hAnsi="Times New Roman" w:cs="Times New Roman"/>
          <w:b/>
          <w:bCs/>
        </w:rPr>
        <w:t>INEXISTÊNCIA DE VIOLAÇÃO AOS ARTS. 48, 612 E 628 DO CPC-</w:t>
      </w:r>
    </w:p>
    <w:p w14:paraId="14D50B19" w14:textId="03416E1E"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Neste particular, completamente precária a tese desenvolvida pelos recorrentes em afirmar que o d. Juízo da </w:t>
      </w:r>
      <w:r w:rsidR="009B6C8A">
        <w:rPr>
          <w:rFonts w:ascii="Times New Roman" w:hAnsi="Times New Roman" w:cs="Times New Roman"/>
        </w:rPr>
        <w:t>...</w:t>
      </w:r>
      <w:r w:rsidRPr="001A05F4">
        <w:rPr>
          <w:rFonts w:ascii="Times New Roman" w:hAnsi="Times New Roman" w:cs="Times New Roman"/>
        </w:rPr>
        <w:t xml:space="preserve">ª Vara de Família de </w:t>
      </w:r>
      <w:r w:rsidR="009B6C8A">
        <w:rPr>
          <w:rFonts w:ascii="Times New Roman" w:hAnsi="Times New Roman" w:cs="Times New Roman"/>
        </w:rPr>
        <w:t>...</w:t>
      </w:r>
      <w:r w:rsidRPr="001A05F4">
        <w:rPr>
          <w:rFonts w:ascii="Times New Roman" w:hAnsi="Times New Roman" w:cs="Times New Roman"/>
        </w:rPr>
        <w:t xml:space="preserve"> seria competente apenas para decidir o vínculo de filiação, cabendo exclusivamente ao d. juízo do inventário apreciar a pretensão patrimonial e, por consequência, a respectiva prescrição. É exatamente com esse fundamento que postulam a anulação da decisão recorrida.</w:t>
      </w:r>
      <w:r w:rsidR="009B6C8A">
        <w:rPr>
          <w:rFonts w:ascii="Times New Roman" w:hAnsi="Times New Roman" w:cs="Times New Roman"/>
        </w:rPr>
        <w:t xml:space="preserve"> </w:t>
      </w:r>
      <w:r w:rsidRPr="001A05F4">
        <w:rPr>
          <w:rFonts w:ascii="Times New Roman" w:hAnsi="Times New Roman" w:cs="Times New Roman"/>
        </w:rPr>
        <w:t>Não lhes assiste razão.</w:t>
      </w:r>
    </w:p>
    <w:p w14:paraId="3AFC0628" w14:textId="3A40F94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ação originária não constitui simples incidente de habilitação sucessória. Trata-se de ação autônoma de investigação de paternidade/avoenga </w:t>
      </w:r>
      <w:proofErr w:type="gramStart"/>
      <w:r w:rsidRPr="009B6C8A">
        <w:rPr>
          <w:rFonts w:ascii="Times New Roman" w:hAnsi="Times New Roman" w:cs="Times New Roman"/>
          <w:i/>
          <w:iCs/>
        </w:rPr>
        <w:t>post mortem</w:t>
      </w:r>
      <w:r w:rsidRPr="001A05F4">
        <w:rPr>
          <w:rFonts w:ascii="Times New Roman" w:hAnsi="Times New Roman" w:cs="Times New Roman"/>
        </w:rPr>
        <w:t xml:space="preserve"> cumulada</w:t>
      </w:r>
      <w:proofErr w:type="gramEnd"/>
      <w:r w:rsidRPr="001A05F4">
        <w:rPr>
          <w:rFonts w:ascii="Times New Roman" w:hAnsi="Times New Roman" w:cs="Times New Roman"/>
        </w:rPr>
        <w:t xml:space="preserve"> com petição de herança, cuja competência do Juízo de Família para processamento e julgamento foi expressamente reconhecida pela colenda </w:t>
      </w:r>
      <w:r w:rsidR="009B6C8A">
        <w:rPr>
          <w:rFonts w:ascii="Times New Roman" w:hAnsi="Times New Roman" w:cs="Times New Roman"/>
        </w:rPr>
        <w:t>...</w:t>
      </w:r>
      <w:r w:rsidRPr="001A05F4">
        <w:rPr>
          <w:rFonts w:ascii="Times New Roman" w:hAnsi="Times New Roman" w:cs="Times New Roman"/>
        </w:rPr>
        <w:t>ª Câmara Cível Especializada do TJ</w:t>
      </w:r>
      <w:r w:rsidR="009B6C8A">
        <w:rPr>
          <w:rFonts w:ascii="Times New Roman" w:hAnsi="Times New Roman" w:cs="Times New Roman"/>
        </w:rPr>
        <w:t>...</w:t>
      </w:r>
    </w:p>
    <w:p w14:paraId="151ED589" w14:textId="2DED6F32" w:rsidR="009B6C8A" w:rsidRPr="001A05F4" w:rsidRDefault="001A05F4" w:rsidP="009B6C8A">
      <w:pPr>
        <w:ind w:right="-427"/>
        <w:jc w:val="both"/>
        <w:rPr>
          <w:rFonts w:ascii="Times New Roman" w:hAnsi="Times New Roman" w:cs="Times New Roman"/>
        </w:rPr>
      </w:pPr>
      <w:r w:rsidRPr="001A05F4">
        <w:rPr>
          <w:rFonts w:ascii="Times New Roman" w:hAnsi="Times New Roman" w:cs="Times New Roman"/>
        </w:rPr>
        <w:t xml:space="preserve">Reconhecida a competência para conhecer do pedido de herança cumulativamente formulado, naturalmente lhe compete decidir as questões prejudiciais de mérito a ele inerentes, inclusive a prescrição. Registre-se por ser necessário, o d. juízo de família não realizou partilha, não administrou o espólio e tampouco praticou ato próprio do inventário; limitou-se a julgar a </w:t>
      </w:r>
    </w:p>
    <w:p w14:paraId="28A5EB75" w14:textId="55489D8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Os </w:t>
      </w:r>
      <w:proofErr w:type="spellStart"/>
      <w:r w:rsidRPr="001A05F4">
        <w:rPr>
          <w:rFonts w:ascii="Times New Roman" w:hAnsi="Times New Roman" w:cs="Times New Roman"/>
        </w:rPr>
        <w:t>arts</w:t>
      </w:r>
      <w:proofErr w:type="spellEnd"/>
      <w:r w:rsidRPr="001A05F4">
        <w:rPr>
          <w:rFonts w:ascii="Times New Roman" w:hAnsi="Times New Roman" w:cs="Times New Roman"/>
        </w:rPr>
        <w:t xml:space="preserve">. 48, 612 e 628 do CPC não conduzem a conclusão diversa, </w:t>
      </w:r>
      <w:proofErr w:type="spellStart"/>
      <w:r w:rsidRPr="009B6C8A">
        <w:rPr>
          <w:rFonts w:ascii="Times New Roman" w:hAnsi="Times New Roman" w:cs="Times New Roman"/>
          <w:i/>
          <w:iCs/>
        </w:rPr>
        <w:t>ex</w:t>
      </w:r>
      <w:proofErr w:type="spellEnd"/>
      <w:r w:rsidRPr="009B6C8A">
        <w:rPr>
          <w:rFonts w:ascii="Times New Roman" w:hAnsi="Times New Roman" w:cs="Times New Roman"/>
          <w:i/>
          <w:iCs/>
        </w:rPr>
        <w:t xml:space="preserve"> vi legis</w:t>
      </w:r>
      <w:r w:rsidRPr="001A05F4">
        <w:rPr>
          <w:rFonts w:ascii="Times New Roman" w:hAnsi="Times New Roman" w:cs="Times New Roman"/>
        </w:rPr>
        <w:t>:</w:t>
      </w:r>
    </w:p>
    <w:p w14:paraId="2BB767FE" w14:textId="3DDAD1BB" w:rsidR="001A05F4" w:rsidRPr="009B6C8A" w:rsidRDefault="009B6C8A" w:rsidP="001A05F4">
      <w:pPr>
        <w:ind w:right="-427"/>
        <w:jc w:val="both"/>
        <w:rPr>
          <w:rFonts w:ascii="Times New Roman" w:hAnsi="Times New Roman" w:cs="Times New Roman"/>
          <w:i/>
          <w:iCs/>
        </w:rPr>
      </w:pPr>
      <w:r>
        <w:rPr>
          <w:rFonts w:ascii="Times New Roman" w:hAnsi="Times New Roman" w:cs="Times New Roman"/>
        </w:rPr>
        <w:t>“</w:t>
      </w:r>
      <w:r w:rsidR="001A05F4" w:rsidRPr="009B6C8A">
        <w:rPr>
          <w:rFonts w:ascii="Times New Roman" w:hAnsi="Times New Roman" w:cs="Times New Roman"/>
          <w:i/>
          <w:iCs/>
        </w:rPr>
        <w:t>CPC, art. 48, caput. O foro de domicílio do autor da herança, no Brasil, é o competente para o inventário, a partilha, a arrecadação, o cumprimento de disposições de última vontade, a impugnação ou anulação de partilha extrajudicial e para todas as ações em que o espólio for réu, ainda que o óbito tenha ocorrido no estrangeiro.</w:t>
      </w:r>
    </w:p>
    <w:p w14:paraId="194C6547" w14:textId="43B97C1A" w:rsidR="001A05F4" w:rsidRPr="009B6C8A" w:rsidRDefault="001A05F4" w:rsidP="001A05F4">
      <w:pPr>
        <w:ind w:right="-427"/>
        <w:jc w:val="both"/>
        <w:rPr>
          <w:rFonts w:ascii="Times New Roman" w:hAnsi="Times New Roman" w:cs="Times New Roman"/>
          <w:i/>
          <w:iCs/>
        </w:rPr>
      </w:pPr>
      <w:r w:rsidRPr="009B6C8A">
        <w:rPr>
          <w:rFonts w:ascii="Times New Roman" w:hAnsi="Times New Roman" w:cs="Times New Roman"/>
          <w:i/>
          <w:iCs/>
        </w:rPr>
        <w:t>CPC, art. 612. O juiz decidirá todas as questões de direito desde que os fatos relevantes estejam provados por documento, só remetendo para as vias ordinárias as questões que dependerem de outras provas.</w:t>
      </w:r>
    </w:p>
    <w:p w14:paraId="22D610BD" w14:textId="77777777" w:rsidR="001A05F4" w:rsidRPr="009B6C8A" w:rsidRDefault="001A05F4" w:rsidP="001A05F4">
      <w:pPr>
        <w:ind w:right="-427"/>
        <w:jc w:val="both"/>
        <w:rPr>
          <w:rFonts w:ascii="Times New Roman" w:hAnsi="Times New Roman" w:cs="Times New Roman"/>
          <w:i/>
          <w:iCs/>
        </w:rPr>
      </w:pPr>
      <w:r w:rsidRPr="009B6C8A">
        <w:rPr>
          <w:rFonts w:ascii="Times New Roman" w:hAnsi="Times New Roman" w:cs="Times New Roman"/>
          <w:i/>
          <w:iCs/>
        </w:rPr>
        <w:t xml:space="preserve">CPC, art. 628. Aquele que se julgar preterido poderá demandar sua admissão no inventário, requerendo-a antes da partilha. </w:t>
      </w:r>
    </w:p>
    <w:p w14:paraId="094CE221" w14:textId="77777777" w:rsidR="001A05F4" w:rsidRPr="009B6C8A" w:rsidRDefault="001A05F4" w:rsidP="001A05F4">
      <w:pPr>
        <w:ind w:right="-427"/>
        <w:jc w:val="both"/>
        <w:rPr>
          <w:rFonts w:ascii="Times New Roman" w:hAnsi="Times New Roman" w:cs="Times New Roman"/>
          <w:i/>
          <w:iCs/>
        </w:rPr>
      </w:pPr>
      <w:r w:rsidRPr="009B6C8A">
        <w:rPr>
          <w:rFonts w:ascii="Times New Roman" w:hAnsi="Times New Roman" w:cs="Times New Roman"/>
          <w:i/>
          <w:iCs/>
        </w:rPr>
        <w:t>§1º Ouvidas as partes no prazo de 15 (quinze) dias, o juiz decidirá.</w:t>
      </w:r>
    </w:p>
    <w:p w14:paraId="658BB9B1" w14:textId="1420A729" w:rsidR="001A05F4" w:rsidRPr="001A05F4" w:rsidRDefault="001A05F4" w:rsidP="001A05F4">
      <w:pPr>
        <w:ind w:right="-427"/>
        <w:jc w:val="both"/>
        <w:rPr>
          <w:rFonts w:ascii="Times New Roman" w:hAnsi="Times New Roman" w:cs="Times New Roman"/>
        </w:rPr>
      </w:pPr>
      <w:r w:rsidRPr="009B6C8A">
        <w:rPr>
          <w:rFonts w:ascii="Times New Roman" w:hAnsi="Times New Roman" w:cs="Times New Roman"/>
          <w:i/>
          <w:iCs/>
        </w:rPr>
        <w:t>§2º Se para solução da questão for necessária a produção de provas que não a documental, o juiz remeterá o requerente às vias ordinárias, mandando reservar, em poder do inventariante, o quinhão do herdeiro excluído até que se decida o litígio</w:t>
      </w:r>
      <w:r w:rsidRPr="001A05F4">
        <w:rPr>
          <w:rFonts w:ascii="Times New Roman" w:hAnsi="Times New Roman" w:cs="Times New Roman"/>
        </w:rPr>
        <w:t>.</w:t>
      </w:r>
      <w:r w:rsidR="009B6C8A">
        <w:rPr>
          <w:rFonts w:ascii="Times New Roman" w:hAnsi="Times New Roman" w:cs="Times New Roman"/>
        </w:rPr>
        <w:t>”</w:t>
      </w:r>
    </w:p>
    <w:p w14:paraId="3E83E2BA" w14:textId="3690706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Essa sistemática, aliás, foi considerada pela própria Segunda Seção do STJ na formação do Tema n. 1200: diante de controvérsia acerca da qualidade de herdeiro, reconheceu-se a possibilidade de o interessado postular seus direitos hereditários nas vias ordinárias, inclusive </w:t>
      </w:r>
      <w:r w:rsidRPr="001A05F4">
        <w:rPr>
          <w:rFonts w:ascii="Times New Roman" w:hAnsi="Times New Roman" w:cs="Times New Roman"/>
        </w:rPr>
        <w:lastRenderedPageBreak/>
        <w:t>mediante investigação de paternidade cumulada com petição de herança, como ocorreu no caso concreto</w:t>
      </w:r>
      <w:r w:rsidR="007F00DA">
        <w:rPr>
          <w:rStyle w:val="Refdenotaderodap"/>
          <w:rFonts w:ascii="Times New Roman" w:hAnsi="Times New Roman" w:cs="Times New Roman"/>
        </w:rPr>
        <w:footnoteReference w:id="6"/>
      </w:r>
      <w:r w:rsidRPr="001A05F4">
        <w:rPr>
          <w:rFonts w:ascii="Times New Roman" w:hAnsi="Times New Roman" w:cs="Times New Roman"/>
        </w:rPr>
        <w:t xml:space="preserve">. </w:t>
      </w:r>
    </w:p>
    <w:p w14:paraId="1573B871" w14:textId="12D1A0C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Portanto, não se demonstra qualquer violação à legislação federal.</w:t>
      </w:r>
    </w:p>
    <w:p w14:paraId="699E9EF9" w14:textId="0F122D7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Nenhum dos dispositivos indicados estabelece competência funcional exclusiva do juízo sucessório para julgar a prescrição da petição de herança regularmente cumulada com ação de estado perante o juízo de família.</w:t>
      </w:r>
    </w:p>
    <w:p w14:paraId="59E877D4" w14:textId="4766FE07"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Nada obstante, por se tratar matéria de ordem pública, o pedido cumulado de direito à herança pode e deve ser apreciado a qualquer tempo e grau de jurisdição.</w:t>
      </w:r>
    </w:p>
    <w:p w14:paraId="1EE9022D" w14:textId="5B70D40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matéria prescricional pode ser alegada em qualquer grau de jurisdição, inclusive em sede recursal, pela parte a quem aproveita, conforme o art. 193 do Código Civil. Este dispositivo estabelece que a alegação da prescrição pode ser feita em qualquer fase do processo, até mesmo em recurso, sem que haja prejuízo para a parte que a alega</w:t>
      </w:r>
      <w:r w:rsidR="007F00DA">
        <w:rPr>
          <w:rStyle w:val="Refdenotaderodap"/>
          <w:rFonts w:ascii="Times New Roman" w:hAnsi="Times New Roman" w:cs="Times New Roman"/>
        </w:rPr>
        <w:footnoteReference w:id="7"/>
      </w:r>
      <w:r w:rsidRPr="001A05F4">
        <w:rPr>
          <w:rFonts w:ascii="Times New Roman" w:hAnsi="Times New Roman" w:cs="Times New Roman"/>
        </w:rPr>
        <w:t xml:space="preserve">. </w:t>
      </w:r>
    </w:p>
    <w:p w14:paraId="1DED89A3" w14:textId="1691518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Além de ser possível a prescrição ser alegada pela parte, o juiz também pode reconhecê-la de ofício por se tratar matéria for de ordem pública, com decisão resolutória do mérito</w:t>
      </w:r>
      <w:r w:rsidR="007F00DA">
        <w:rPr>
          <w:rStyle w:val="Refdenotaderodap"/>
          <w:rFonts w:ascii="Times New Roman" w:hAnsi="Times New Roman" w:cs="Times New Roman"/>
        </w:rPr>
        <w:footnoteReference w:id="8"/>
      </w:r>
      <w:r w:rsidRPr="001A05F4">
        <w:rPr>
          <w:rFonts w:ascii="Times New Roman" w:hAnsi="Times New Roman" w:cs="Times New Roman"/>
        </w:rPr>
        <w:t xml:space="preserve">. </w:t>
      </w:r>
    </w:p>
    <w:p w14:paraId="1140D2FB" w14:textId="22C067F3"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É entendimento jurisprudencial do colendo Superior Tribunal de Justiça, no ponto:</w:t>
      </w:r>
    </w:p>
    <w:p w14:paraId="09617564" w14:textId="1F69E577" w:rsidR="001A05F4" w:rsidRPr="001A05F4" w:rsidRDefault="009B6C8A" w:rsidP="001A05F4">
      <w:pPr>
        <w:ind w:right="-427"/>
        <w:jc w:val="both"/>
        <w:rPr>
          <w:rFonts w:ascii="Times New Roman" w:hAnsi="Times New Roman" w:cs="Times New Roman"/>
        </w:rPr>
      </w:pPr>
      <w:r>
        <w:rPr>
          <w:rFonts w:ascii="Times New Roman" w:hAnsi="Times New Roman" w:cs="Times New Roman"/>
        </w:rPr>
        <w:t>“</w:t>
      </w:r>
      <w:r w:rsidR="001A05F4" w:rsidRPr="009B6C8A">
        <w:rPr>
          <w:rFonts w:ascii="Times New Roman" w:hAnsi="Times New Roman" w:cs="Times New Roman"/>
          <w:i/>
          <w:iCs/>
        </w:rPr>
        <w:t>A prescrição é matéria de ordem pública, podendo ser conhecida ou revista a qualquer tempo em 1ª ou 2ª instância</w:t>
      </w:r>
      <w:r w:rsidR="001A05F4" w:rsidRPr="001A05F4">
        <w:rPr>
          <w:rFonts w:ascii="Times New Roman" w:hAnsi="Times New Roman" w:cs="Times New Roman"/>
        </w:rPr>
        <w:t>.</w:t>
      </w:r>
      <w:r>
        <w:rPr>
          <w:rFonts w:ascii="Times New Roman" w:hAnsi="Times New Roman" w:cs="Times New Roman"/>
        </w:rPr>
        <w:t xml:space="preserve">” </w:t>
      </w:r>
      <w:proofErr w:type="gramStart"/>
      <w:r w:rsidR="001A05F4" w:rsidRPr="001A05F4">
        <w:rPr>
          <w:rFonts w:ascii="Times New Roman" w:hAnsi="Times New Roman" w:cs="Times New Roman"/>
        </w:rPr>
        <w:t>[</w:t>
      </w:r>
      <w:proofErr w:type="gramEnd"/>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AgInt</w:t>
      </w:r>
      <w:proofErr w:type="spellEnd"/>
      <w:r w:rsidR="001A05F4" w:rsidRPr="001A05F4">
        <w:rPr>
          <w:rFonts w:ascii="Times New Roman" w:hAnsi="Times New Roman" w:cs="Times New Roman"/>
        </w:rPr>
        <w:t xml:space="preserve"> nos </w:t>
      </w:r>
      <w:proofErr w:type="spellStart"/>
      <w:r w:rsidR="001A05F4" w:rsidRPr="001A05F4">
        <w:rPr>
          <w:rFonts w:ascii="Times New Roman" w:hAnsi="Times New Roman" w:cs="Times New Roman"/>
        </w:rPr>
        <w:t>EDcl</w:t>
      </w:r>
      <w:proofErr w:type="spellEnd"/>
      <w:r w:rsidR="001A05F4" w:rsidRPr="001A05F4">
        <w:rPr>
          <w:rFonts w:ascii="Times New Roman" w:hAnsi="Times New Roman" w:cs="Times New Roman"/>
        </w:rPr>
        <w:t xml:space="preserve"> no REsp 1394761/DF, Relator Ministro </w:t>
      </w:r>
      <w:proofErr w:type="spellStart"/>
      <w:r w:rsidR="001A05F4" w:rsidRPr="001A05F4">
        <w:rPr>
          <w:rFonts w:ascii="Times New Roman" w:hAnsi="Times New Roman" w:cs="Times New Roman"/>
        </w:rPr>
        <w:t>Luis</w:t>
      </w:r>
      <w:proofErr w:type="spellEnd"/>
      <w:r w:rsidR="001A05F4" w:rsidRPr="001A05F4">
        <w:rPr>
          <w:rFonts w:ascii="Times New Roman" w:hAnsi="Times New Roman" w:cs="Times New Roman"/>
        </w:rPr>
        <w:t xml:space="preserve"> Felipe Salomão, Quarta Turma, </w:t>
      </w:r>
      <w:proofErr w:type="spellStart"/>
      <w:r w:rsidR="001A05F4" w:rsidRPr="001A05F4">
        <w:rPr>
          <w:rFonts w:ascii="Times New Roman" w:hAnsi="Times New Roman" w:cs="Times New Roman"/>
        </w:rPr>
        <w:t>DJe</w:t>
      </w:r>
      <w:proofErr w:type="spellEnd"/>
      <w:r w:rsidR="001A05F4" w:rsidRPr="001A05F4">
        <w:rPr>
          <w:rFonts w:ascii="Times New Roman" w:hAnsi="Times New Roman" w:cs="Times New Roman"/>
        </w:rPr>
        <w:t xml:space="preserve"> 24.09.2019]</w:t>
      </w:r>
    </w:p>
    <w:p w14:paraId="5E82B530" w14:textId="3C94BD3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Ora, o pedido de investigação de paternidade é imprescritível. Já o outro pedido de petição de herança é prescritível em qualquer juízo. </w:t>
      </w:r>
    </w:p>
    <w:p w14:paraId="2D33AF95" w14:textId="4C58D82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prescrição quanto ao pedido de herança é incontroversa, deve o magistrado resolvê-lo imediatamente, e com isso diminuindo, em relação a este, o pesado ônus decorrente da tramitação processual, sobretudo julgando antecipadamente quando não há necessidade de produção de outras provas se patente estar prescrito o direito do autor, como sucede na hipótese vertente.</w:t>
      </w:r>
    </w:p>
    <w:p w14:paraId="6588C61C" w14:textId="076837C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 mais, beira o disparate e a litigância de má-fé os recorrentes alegarem “</w:t>
      </w:r>
      <w:r w:rsidRPr="002C20C5">
        <w:rPr>
          <w:rFonts w:ascii="Times New Roman" w:hAnsi="Times New Roman" w:cs="Times New Roman"/>
          <w:i/>
          <w:iCs/>
        </w:rPr>
        <w:t>incompetência</w:t>
      </w:r>
      <w:r w:rsidRPr="001A05F4">
        <w:rPr>
          <w:rFonts w:ascii="Times New Roman" w:hAnsi="Times New Roman" w:cs="Times New Roman"/>
        </w:rPr>
        <w:t>” apenas nessa quadra recursal!</w:t>
      </w:r>
    </w:p>
    <w:p w14:paraId="67F0B038" w14:textId="307A5C5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 xml:space="preserve">Destarte, correto o v. acórdão recorrido ao reconhecer a competência do d. juízo da </w:t>
      </w:r>
      <w:r w:rsidR="002C20C5">
        <w:rPr>
          <w:rFonts w:ascii="Times New Roman" w:hAnsi="Times New Roman" w:cs="Times New Roman"/>
        </w:rPr>
        <w:t>...</w:t>
      </w:r>
      <w:r w:rsidRPr="001A05F4">
        <w:rPr>
          <w:rFonts w:ascii="Times New Roman" w:hAnsi="Times New Roman" w:cs="Times New Roman"/>
        </w:rPr>
        <w:t xml:space="preserve">ª Vara de Família para apreciar a prejudicial de prescrição, não havendo ofensa aos dispositivos infraconstitucionais suscitados pelos recorrentes, </w:t>
      </w:r>
      <w:proofErr w:type="spellStart"/>
      <w:r w:rsidRPr="002C20C5">
        <w:rPr>
          <w:rFonts w:ascii="Times New Roman" w:hAnsi="Times New Roman" w:cs="Times New Roman"/>
          <w:i/>
          <w:iCs/>
        </w:rPr>
        <w:t>ex</w:t>
      </w:r>
      <w:proofErr w:type="spellEnd"/>
      <w:r w:rsidRPr="002C20C5">
        <w:rPr>
          <w:rFonts w:ascii="Times New Roman" w:hAnsi="Times New Roman" w:cs="Times New Roman"/>
          <w:i/>
          <w:iCs/>
        </w:rPr>
        <w:t xml:space="preserve"> vi</w:t>
      </w:r>
      <w:r w:rsidRPr="001A05F4">
        <w:rPr>
          <w:rFonts w:ascii="Times New Roman" w:hAnsi="Times New Roman" w:cs="Times New Roman"/>
        </w:rPr>
        <w:t xml:space="preserve"> CPC, art. 48, 612 e 628.</w:t>
      </w:r>
    </w:p>
    <w:p w14:paraId="1B489092" w14:textId="08740F98" w:rsidR="001A05F4" w:rsidRPr="002C20C5" w:rsidRDefault="001A05F4" w:rsidP="001A05F4">
      <w:pPr>
        <w:ind w:right="-427"/>
        <w:jc w:val="both"/>
        <w:rPr>
          <w:rFonts w:ascii="Times New Roman" w:hAnsi="Times New Roman" w:cs="Times New Roman"/>
          <w:b/>
          <w:bCs/>
        </w:rPr>
      </w:pPr>
      <w:r w:rsidRPr="002C20C5">
        <w:rPr>
          <w:rFonts w:ascii="Times New Roman" w:hAnsi="Times New Roman" w:cs="Times New Roman"/>
          <w:b/>
          <w:bCs/>
        </w:rPr>
        <w:t>III.3- INEXISTÊNCIA DE RETROATIVIDADE INDEVIDA –</w:t>
      </w:r>
      <w:r w:rsidR="002C20C5" w:rsidRPr="002C20C5">
        <w:rPr>
          <w:rFonts w:ascii="Times New Roman" w:hAnsi="Times New Roman" w:cs="Times New Roman"/>
          <w:b/>
          <w:bCs/>
        </w:rPr>
        <w:t xml:space="preserve"> </w:t>
      </w:r>
      <w:r w:rsidRPr="002C20C5">
        <w:rPr>
          <w:rFonts w:ascii="Times New Roman" w:hAnsi="Times New Roman" w:cs="Times New Roman"/>
          <w:b/>
          <w:bCs/>
        </w:rPr>
        <w:t xml:space="preserve">AUSÊNCIA DE MODULAÇÃO DO TEMA N. 1200 PELO SUPERIOR TRIBUNAL DE JUSTIÇA </w:t>
      </w:r>
      <w:proofErr w:type="gramStart"/>
      <w:r w:rsidRPr="002C20C5">
        <w:rPr>
          <w:rFonts w:ascii="Times New Roman" w:hAnsi="Times New Roman" w:cs="Times New Roman"/>
          <w:b/>
          <w:bCs/>
        </w:rPr>
        <w:t xml:space="preserve">– </w:t>
      </w:r>
      <w:r w:rsidR="002C20C5" w:rsidRPr="002C20C5">
        <w:rPr>
          <w:rFonts w:ascii="Times New Roman" w:hAnsi="Times New Roman" w:cs="Times New Roman"/>
          <w:b/>
          <w:bCs/>
        </w:rPr>
        <w:t xml:space="preserve"> </w:t>
      </w:r>
      <w:r w:rsidRPr="002C20C5">
        <w:rPr>
          <w:rFonts w:ascii="Times New Roman" w:hAnsi="Times New Roman" w:cs="Times New Roman"/>
          <w:b/>
          <w:bCs/>
        </w:rPr>
        <w:t>CORRETA</w:t>
      </w:r>
      <w:proofErr w:type="gramEnd"/>
      <w:r w:rsidRPr="002C20C5">
        <w:rPr>
          <w:rFonts w:ascii="Times New Roman" w:hAnsi="Times New Roman" w:cs="Times New Roman"/>
          <w:b/>
          <w:bCs/>
        </w:rPr>
        <w:t xml:space="preserve"> APLICAÇÃO DO DIREITO INTERTEMPORAL-</w:t>
      </w:r>
    </w:p>
    <w:p w14:paraId="076D0811" w14:textId="3654F41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Também não merece acolhida a alegação de que o Tema n. 1.200 do STJ seria inaplicável porque a ação foi ajuizada em </w:t>
      </w:r>
      <w:r w:rsidR="002C20C5">
        <w:rPr>
          <w:rFonts w:ascii="Times New Roman" w:hAnsi="Times New Roman" w:cs="Times New Roman"/>
        </w:rPr>
        <w:t>...</w:t>
      </w:r>
      <w:r w:rsidRPr="001A05F4">
        <w:rPr>
          <w:rFonts w:ascii="Times New Roman" w:hAnsi="Times New Roman" w:cs="Times New Roman"/>
        </w:rPr>
        <w:t xml:space="preserve"> e o precedente repetitivo somente veio a ser formado em </w:t>
      </w:r>
      <w:r w:rsidR="002C20C5">
        <w:rPr>
          <w:rFonts w:ascii="Times New Roman" w:hAnsi="Times New Roman" w:cs="Times New Roman"/>
        </w:rPr>
        <w:t>...</w:t>
      </w:r>
    </w:p>
    <w:p w14:paraId="00AC4AE7" w14:textId="7425120F"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O raciocínio confunde aplicação de precedente a processo ainda pendente com retroatividade normativa. O Tema n. 1.200 do STJ não criou novo prazo prescricional, mas uniformizou a interpretação da legislação federal já existente acerca do termo inicial da petição de herança. </w:t>
      </w:r>
    </w:p>
    <w:p w14:paraId="7F995534" w14:textId="4D32C56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De outro lado, a modulação prevista no art. 927, §3º, do CPC não decorre automaticamente da formação do precedente. Tanto assim que a Corte Especial recentemente reafirmou que “</w:t>
      </w:r>
      <w:r w:rsidRPr="002C20C5">
        <w:rPr>
          <w:rFonts w:ascii="Times New Roman" w:hAnsi="Times New Roman" w:cs="Times New Roman"/>
          <w:i/>
          <w:iCs/>
        </w:rPr>
        <w:t>a modulação é uma faculdade conferida ao órgão julgador</w:t>
      </w:r>
      <w:r w:rsidRPr="001A05F4">
        <w:rPr>
          <w:rFonts w:ascii="Times New Roman" w:hAnsi="Times New Roman" w:cs="Times New Roman"/>
        </w:rPr>
        <w:t xml:space="preserve">”, segundo as peculiaridades da controvérsia [STJ, </w:t>
      </w:r>
      <w:proofErr w:type="spellStart"/>
      <w:r w:rsidRPr="001A05F4">
        <w:rPr>
          <w:rFonts w:ascii="Times New Roman" w:hAnsi="Times New Roman" w:cs="Times New Roman"/>
        </w:rPr>
        <w:t>AgInt</w:t>
      </w:r>
      <w:proofErr w:type="spellEnd"/>
      <w:r w:rsidRPr="001A05F4">
        <w:rPr>
          <w:rFonts w:ascii="Times New Roman" w:hAnsi="Times New Roman" w:cs="Times New Roman"/>
        </w:rPr>
        <w:t xml:space="preserve"> nos </w:t>
      </w:r>
      <w:proofErr w:type="spellStart"/>
      <w:r w:rsidRPr="001A05F4">
        <w:rPr>
          <w:rFonts w:ascii="Times New Roman" w:hAnsi="Times New Roman" w:cs="Times New Roman"/>
        </w:rPr>
        <w:t>EREsp</w:t>
      </w:r>
      <w:proofErr w:type="spellEnd"/>
      <w:r w:rsidRPr="001A05F4">
        <w:rPr>
          <w:rFonts w:ascii="Times New Roman" w:hAnsi="Times New Roman" w:cs="Times New Roman"/>
        </w:rPr>
        <w:t xml:space="preserve"> n. 1.905.870/PR, Relatora Ministra Maria Thereza de Assis Moura, Corte Especial, DJEN 03.06.2026].</w:t>
      </w:r>
    </w:p>
    <w:p w14:paraId="5685DF39" w14:textId="2FCB04D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Nesse particular, o próprio v. acórdão integrativo registrou expressamente que a Segunda Seção do STJ não modulou os efeitos do Tema n. 1.200, inexistindo ressalva que excluísse de sua aplicação os processos em curso.</w:t>
      </w:r>
    </w:p>
    <w:p w14:paraId="45614D51" w14:textId="7A91268F"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Logo, obviamente não cabia ao Tribunal de Justiça de </w:t>
      </w:r>
      <w:r w:rsidR="002C20C5">
        <w:rPr>
          <w:rFonts w:ascii="Times New Roman" w:hAnsi="Times New Roman" w:cs="Times New Roman"/>
        </w:rPr>
        <w:t>...</w:t>
      </w:r>
      <w:r w:rsidRPr="001A05F4">
        <w:rPr>
          <w:rFonts w:ascii="Times New Roman" w:hAnsi="Times New Roman" w:cs="Times New Roman"/>
        </w:rPr>
        <w:t xml:space="preserve"> instruir limitação temporal que o próprio órgão responsável pela formação do precedente qualificado não estabeleceu. A aplicação do Tema 1.200 do STJ à demanda ainda pendente representa observância da sistemática dos precedentes qualificados, e não violação à segurança jurídica, </w:t>
      </w:r>
      <w:r w:rsidRPr="002C20C5">
        <w:rPr>
          <w:rFonts w:ascii="Times New Roman" w:hAnsi="Times New Roman" w:cs="Times New Roman"/>
          <w:i/>
          <w:iCs/>
        </w:rPr>
        <w:t xml:space="preserve">data </w:t>
      </w:r>
      <w:proofErr w:type="spellStart"/>
      <w:r w:rsidRPr="002C20C5">
        <w:rPr>
          <w:rFonts w:ascii="Times New Roman" w:hAnsi="Times New Roman" w:cs="Times New Roman"/>
          <w:i/>
          <w:iCs/>
        </w:rPr>
        <w:t>venia</w:t>
      </w:r>
      <w:proofErr w:type="spellEnd"/>
      <w:r w:rsidRPr="001A05F4">
        <w:rPr>
          <w:rFonts w:ascii="Times New Roman" w:hAnsi="Times New Roman" w:cs="Times New Roman"/>
        </w:rPr>
        <w:t>.</w:t>
      </w:r>
    </w:p>
    <w:p w14:paraId="681A615A" w14:textId="2D8140C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Igualmente não socorre os recorrentes o precedente por eles indicado como o REsp n. 2.208.255/MG. Conforme as próprias razões especiais, aquele julgamento versa sobre ação anulatória de doação inoficiosa -matéria completamente diferente à discutida nestes autos-, em que se teria admitido excepcionalmente a vertente subjetiva da </w:t>
      </w:r>
      <w:proofErr w:type="spellStart"/>
      <w:r w:rsidRPr="002C20C5">
        <w:rPr>
          <w:rFonts w:ascii="Times New Roman" w:hAnsi="Times New Roman" w:cs="Times New Roman"/>
          <w:i/>
          <w:iCs/>
        </w:rPr>
        <w:t>actio</w:t>
      </w:r>
      <w:proofErr w:type="spellEnd"/>
      <w:r w:rsidRPr="002C20C5">
        <w:rPr>
          <w:rFonts w:ascii="Times New Roman" w:hAnsi="Times New Roman" w:cs="Times New Roman"/>
          <w:i/>
          <w:iCs/>
        </w:rPr>
        <w:t xml:space="preserve"> nata</w:t>
      </w:r>
      <w:r w:rsidRPr="001A05F4">
        <w:rPr>
          <w:rFonts w:ascii="Times New Roman" w:hAnsi="Times New Roman" w:cs="Times New Roman"/>
        </w:rPr>
        <w:t xml:space="preserve">. </w:t>
      </w:r>
    </w:p>
    <w:p w14:paraId="73FA4738" w14:textId="529FADE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distinto é suficiente para rechaçar na inteireza a adoção do mencionado entendimento à hipótese vertente. Naquela demanda se discutia pretensão anulatória, para a qual a Segunda Seção do Superior Tribunal de Justiça, em precedente repetitivo específico, já afastou a </w:t>
      </w:r>
      <w:proofErr w:type="spellStart"/>
      <w:r w:rsidRPr="002C20C5">
        <w:rPr>
          <w:rFonts w:ascii="Times New Roman" w:hAnsi="Times New Roman" w:cs="Times New Roman"/>
          <w:i/>
          <w:iCs/>
        </w:rPr>
        <w:t>actio</w:t>
      </w:r>
      <w:proofErr w:type="spellEnd"/>
      <w:r w:rsidRPr="002C20C5">
        <w:rPr>
          <w:rFonts w:ascii="Times New Roman" w:hAnsi="Times New Roman" w:cs="Times New Roman"/>
          <w:i/>
          <w:iCs/>
        </w:rPr>
        <w:t xml:space="preserve"> nata </w:t>
      </w:r>
      <w:r w:rsidRPr="001A05F4">
        <w:rPr>
          <w:rFonts w:ascii="Times New Roman" w:hAnsi="Times New Roman" w:cs="Times New Roman"/>
        </w:rPr>
        <w:t>subjetiva e fixou a abertura da sucessão como termo inicial [Tema 1.200].</w:t>
      </w:r>
    </w:p>
    <w:p w14:paraId="47CEDE7C" w14:textId="52DF1796"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Posto isso, não há “</w:t>
      </w:r>
      <w:r w:rsidRPr="002C20C5">
        <w:rPr>
          <w:rFonts w:ascii="Times New Roman" w:hAnsi="Times New Roman" w:cs="Times New Roman"/>
          <w:i/>
          <w:iCs/>
        </w:rPr>
        <w:t>retroatividade indevida</w:t>
      </w:r>
      <w:r w:rsidRPr="001A05F4">
        <w:rPr>
          <w:rFonts w:ascii="Times New Roman" w:hAnsi="Times New Roman" w:cs="Times New Roman"/>
        </w:rPr>
        <w:t>” nem modulação a ser presumida. O v. acórdão recorrido apenas aplicou, a processo ainda em curso, precedente obrigatório cuja eficácia temporal não foi restringida pelo Superior Tribunal de Justiça, justificando a necessidade de manutenção da decisão hostilizada, negando-se provimento ao recurso especial.</w:t>
      </w:r>
    </w:p>
    <w:p w14:paraId="762E771B" w14:textId="0A01648A" w:rsidR="001A05F4" w:rsidRPr="002C20C5" w:rsidRDefault="001A05F4" w:rsidP="001A05F4">
      <w:pPr>
        <w:ind w:right="-427"/>
        <w:jc w:val="both"/>
        <w:rPr>
          <w:rFonts w:ascii="Times New Roman" w:hAnsi="Times New Roman" w:cs="Times New Roman"/>
          <w:b/>
          <w:bCs/>
        </w:rPr>
      </w:pPr>
      <w:r w:rsidRPr="002C20C5">
        <w:rPr>
          <w:rFonts w:ascii="Times New Roman" w:hAnsi="Times New Roman" w:cs="Times New Roman"/>
          <w:b/>
          <w:bCs/>
        </w:rPr>
        <w:t xml:space="preserve">III.4- O INVENTÁRIO EM CURSO NÃO CONVERTE A PETIÇÃO DE HERANÇA EM PRETENSÃO IMPRESCRITÍVEL </w:t>
      </w:r>
      <w:proofErr w:type="gramStart"/>
      <w:r w:rsidRPr="002C20C5">
        <w:rPr>
          <w:rFonts w:ascii="Times New Roman" w:hAnsi="Times New Roman" w:cs="Times New Roman"/>
          <w:b/>
          <w:bCs/>
        </w:rPr>
        <w:t xml:space="preserve">– </w:t>
      </w:r>
      <w:r w:rsidR="002C20C5" w:rsidRPr="002C20C5">
        <w:rPr>
          <w:rFonts w:ascii="Times New Roman" w:hAnsi="Times New Roman" w:cs="Times New Roman"/>
          <w:b/>
          <w:bCs/>
        </w:rPr>
        <w:t xml:space="preserve"> </w:t>
      </w:r>
      <w:r w:rsidRPr="002C20C5">
        <w:rPr>
          <w:rFonts w:ascii="Times New Roman" w:hAnsi="Times New Roman" w:cs="Times New Roman"/>
          <w:b/>
          <w:bCs/>
        </w:rPr>
        <w:t>ARTS</w:t>
      </w:r>
      <w:proofErr w:type="gramEnd"/>
      <w:r w:rsidRPr="002C20C5">
        <w:rPr>
          <w:rFonts w:ascii="Times New Roman" w:hAnsi="Times New Roman" w:cs="Times New Roman"/>
          <w:b/>
          <w:bCs/>
        </w:rPr>
        <w:t>. 628 DO CPC, 1.791 E 1.824 DO CÓDIGO CIVIL</w:t>
      </w:r>
    </w:p>
    <w:p w14:paraId="57F89FDF" w14:textId="4B75472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O principal esforço argumentativo dos recorrentes consiste em sustentar que a pendência do inventário constituiria elemento suficiente para retirar a controvérsia do âmbito de incidência do Tema Repetitivo n. 1.200 do Superior Tribunal de Justiça.</w:t>
      </w:r>
    </w:p>
    <w:p w14:paraId="1C806748" w14:textId="6D371681"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Segundo defendem, enquanto não ultimada a partilha, a herança permaneceria indivisível, inexistindo posse individualizada dos sucessores e, por consequência, pretensão hereditária suscetível de prescrição. A partir dessa premissa, procuram requalificar a petição de herança deduzida na ação originária como simples “</w:t>
      </w:r>
      <w:r w:rsidRPr="002C20C5">
        <w:rPr>
          <w:rFonts w:ascii="Times New Roman" w:hAnsi="Times New Roman" w:cs="Times New Roman"/>
          <w:i/>
          <w:iCs/>
        </w:rPr>
        <w:t>habilitação incidental retardatária</w:t>
      </w:r>
      <w:r w:rsidRPr="001A05F4">
        <w:rPr>
          <w:rFonts w:ascii="Times New Roman" w:hAnsi="Times New Roman" w:cs="Times New Roman"/>
        </w:rPr>
        <w:t>”, pretensamente imune à prescrição.</w:t>
      </w:r>
    </w:p>
    <w:p w14:paraId="74A465B2" w14:textId="75673850"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Mesmo que se trate ineditismo recursal, a construção argumentativa não encontra suporte na legislação federal invocada.</w:t>
      </w:r>
    </w:p>
    <w:p w14:paraId="26A7CEBB" w14:textId="13E8532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Efetivamente, o art. 1.791 do Código Civil estabelece que “</w:t>
      </w:r>
      <w:r w:rsidRPr="002C20C5">
        <w:rPr>
          <w:rFonts w:ascii="Times New Roman" w:hAnsi="Times New Roman" w:cs="Times New Roman"/>
          <w:i/>
          <w:iCs/>
        </w:rPr>
        <w:t xml:space="preserve">a herança </w:t>
      </w:r>
      <w:proofErr w:type="gramStart"/>
      <w:r w:rsidRPr="002C20C5">
        <w:rPr>
          <w:rFonts w:ascii="Times New Roman" w:hAnsi="Times New Roman" w:cs="Times New Roman"/>
          <w:i/>
          <w:iCs/>
        </w:rPr>
        <w:t>defere-se</w:t>
      </w:r>
      <w:proofErr w:type="gramEnd"/>
      <w:r w:rsidRPr="002C20C5">
        <w:rPr>
          <w:rFonts w:ascii="Times New Roman" w:hAnsi="Times New Roman" w:cs="Times New Roman"/>
          <w:i/>
          <w:iCs/>
        </w:rPr>
        <w:t xml:space="preserve"> como um todo unitário, ainda que vários sejam os herdeiros</w:t>
      </w:r>
      <w:r w:rsidRPr="001A05F4">
        <w:rPr>
          <w:rFonts w:ascii="Times New Roman" w:hAnsi="Times New Roman" w:cs="Times New Roman"/>
        </w:rPr>
        <w:t>”, dispondo seu parágrafo único que, até a partilha, o direito dos coerdeiros quanto à propriedade e à posse permanecerá indivisível.</w:t>
      </w:r>
    </w:p>
    <w:p w14:paraId="74791349" w14:textId="52CB671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norma disciplina, portanto, a forma pela qual o patrimônio hereditário é titularizado antes da partilha. Não posterga, contudo, a transmissão sucessória, que se opera desde a abertura da sucessão por força do art. 1.784 do Código Civil, nem estabelece qualquer causa de impedimento, suspensão ou interrupção da prescrição.</w:t>
      </w:r>
    </w:p>
    <w:p w14:paraId="045DD3C7" w14:textId="603DFE3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Noutras palavras, a indivisibilidade do acervo não significa inexistência do direito hereditário. Significa apenas que, até a partilha, esse direito recai sobre a universalidade, mediante frações ideais, e não sobre bens singularmente individualizados.</w:t>
      </w:r>
    </w:p>
    <w:p w14:paraId="6A8F9EEF" w14:textId="454DAA2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Outrossim, o art. 1.824 do Código Civil também não contém a condicionante pretendida pelos recorrentes, </w:t>
      </w:r>
      <w:proofErr w:type="spellStart"/>
      <w:r w:rsidRPr="002C20C5">
        <w:rPr>
          <w:rFonts w:ascii="Times New Roman" w:hAnsi="Times New Roman" w:cs="Times New Roman"/>
          <w:i/>
          <w:iCs/>
        </w:rPr>
        <w:t>ex</w:t>
      </w:r>
      <w:proofErr w:type="spellEnd"/>
      <w:r w:rsidRPr="002C20C5">
        <w:rPr>
          <w:rFonts w:ascii="Times New Roman" w:hAnsi="Times New Roman" w:cs="Times New Roman"/>
          <w:i/>
          <w:iCs/>
        </w:rPr>
        <w:t xml:space="preserve"> vi legis</w:t>
      </w:r>
      <w:r w:rsidRPr="001A05F4">
        <w:rPr>
          <w:rFonts w:ascii="Times New Roman" w:hAnsi="Times New Roman" w:cs="Times New Roman"/>
        </w:rPr>
        <w:t>: “</w:t>
      </w:r>
      <w:r w:rsidRPr="002C20C5">
        <w:rPr>
          <w:rFonts w:ascii="Times New Roman" w:hAnsi="Times New Roman" w:cs="Times New Roman"/>
          <w:i/>
          <w:iCs/>
        </w:rPr>
        <w:t>o herdeiro pode, em ação de petição de herança, demandar o reconhecimento de seu direito sucessório, para obter a restituição da herança, ou de parte dela, contra quem, na qualidade de herdeiro, ou mesmo sem título, a possua</w:t>
      </w:r>
      <w:r w:rsidRPr="001A05F4">
        <w:rPr>
          <w:rFonts w:ascii="Times New Roman" w:hAnsi="Times New Roman" w:cs="Times New Roman"/>
        </w:rPr>
        <w:t>”.</w:t>
      </w:r>
    </w:p>
    <w:p w14:paraId="69723376" w14:textId="3DBA5AF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legislação não condiciona a petição de herança à existência de partilha anterior, tampouco determina que, enquanto pendente o inventário, a ação perca sua autonomia e se converta em incidente processual. O art. 1.824 acima transcrito disciplina justamente o instrumento destinado ao reconhecimento da posição sucessória e à recuperação da herança ou da fração correspondente.</w:t>
      </w:r>
    </w:p>
    <w:p w14:paraId="5D2D1BB1" w14:textId="313FDA78"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Também o art. 628 do CPC conduz a conclusão oposta àquela sustentada no recurso especial:</w:t>
      </w:r>
    </w:p>
    <w:p w14:paraId="268C4FBC" w14:textId="77777777" w:rsidR="001A05F4" w:rsidRPr="001A05F4" w:rsidRDefault="001A05F4" w:rsidP="001A05F4">
      <w:pPr>
        <w:ind w:right="-427"/>
        <w:jc w:val="both"/>
        <w:rPr>
          <w:rFonts w:ascii="Times New Roman" w:hAnsi="Times New Roman" w:cs="Times New Roman"/>
        </w:rPr>
      </w:pPr>
    </w:p>
    <w:p w14:paraId="6FDBB17E" w14:textId="77777777" w:rsidR="001A05F4" w:rsidRPr="002C20C5" w:rsidRDefault="001A05F4" w:rsidP="001A05F4">
      <w:pPr>
        <w:ind w:right="-427"/>
        <w:jc w:val="both"/>
        <w:rPr>
          <w:rFonts w:ascii="Times New Roman" w:hAnsi="Times New Roman" w:cs="Times New Roman"/>
          <w:i/>
          <w:iCs/>
        </w:rPr>
      </w:pPr>
      <w:r w:rsidRPr="002C20C5">
        <w:rPr>
          <w:rFonts w:ascii="Times New Roman" w:hAnsi="Times New Roman" w:cs="Times New Roman"/>
          <w:i/>
          <w:iCs/>
        </w:rPr>
        <w:t>CPC, art. 628. Aquele que se julgar preterido poderá demandar sua admissão no inventário, requerendo-a antes da partilha...</w:t>
      </w:r>
    </w:p>
    <w:p w14:paraId="5A351294" w14:textId="77777777" w:rsidR="001A05F4" w:rsidRPr="001A05F4" w:rsidRDefault="001A05F4" w:rsidP="001A05F4">
      <w:pPr>
        <w:ind w:right="-427"/>
        <w:jc w:val="both"/>
        <w:rPr>
          <w:rFonts w:ascii="Times New Roman" w:hAnsi="Times New Roman" w:cs="Times New Roman"/>
        </w:rPr>
      </w:pPr>
      <w:r w:rsidRPr="002C20C5">
        <w:rPr>
          <w:rFonts w:ascii="Times New Roman" w:hAnsi="Times New Roman" w:cs="Times New Roman"/>
          <w:i/>
          <w:iCs/>
        </w:rPr>
        <w:t>§2º. Se para solução da questão for necessária a produção de provas que não a documental, o juiz remeterá o requerente às vias ordinárias, mandando reservar, em poder do inventariante, o quinhão do herdeiro excluído até que se decida o litígio</w:t>
      </w:r>
      <w:r w:rsidRPr="001A05F4">
        <w:rPr>
          <w:rFonts w:ascii="Times New Roman" w:hAnsi="Times New Roman" w:cs="Times New Roman"/>
        </w:rPr>
        <w:t>.</w:t>
      </w:r>
    </w:p>
    <w:p w14:paraId="198C3C9B" w14:textId="79ACFE4A"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leitura do dispositivo evidencia duas realidades processuais distintas. </w:t>
      </w:r>
    </w:p>
    <w:p w14:paraId="27C765F4" w14:textId="7CA44EC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lastRenderedPageBreak/>
        <w:t>De um lado, admite-se que o pretenso herdeiro requeira sua admissão no próprio inventário; de outro, sendo necessária dilação probatória incompatível com aquele procedimento, a própria lei determina a remessa da controvérsia às vias ordinárias, preservando-se o eventual quinhão mediante reserva.</w:t>
      </w:r>
    </w:p>
    <w:p w14:paraId="19594420" w14:textId="466EDF5D"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 reserva de quinhão possui, portanto, função eminentemente conservatória, impedindo que a partilha torne inútil a futura definição da qualidade sucessória. Porém, não cria novo direito material, não altera a natureza da pretensão deduzida nas vias ordinárias e, muito menos, institui causa de imprescritibilidade.</w:t>
      </w:r>
    </w:p>
    <w:p w14:paraId="12820A47" w14:textId="267BE01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E aqui se encontra aspecto decisivo que afasta o </w:t>
      </w:r>
      <w:proofErr w:type="spellStart"/>
      <w:r w:rsidRPr="002C20C5">
        <w:rPr>
          <w:rFonts w:ascii="Times New Roman" w:hAnsi="Times New Roman" w:cs="Times New Roman"/>
          <w:i/>
          <w:iCs/>
        </w:rPr>
        <w:t>distinguishing</w:t>
      </w:r>
      <w:proofErr w:type="spellEnd"/>
      <w:r w:rsidRPr="001A05F4">
        <w:rPr>
          <w:rFonts w:ascii="Times New Roman" w:hAnsi="Times New Roman" w:cs="Times New Roman"/>
        </w:rPr>
        <w:t xml:space="preserve"> pretendido pelos recorrentes.</w:t>
      </w:r>
    </w:p>
    <w:p w14:paraId="6976180C" w14:textId="7951462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disciplina do art. 628, §2º, do CPC já foi expressamente considerada pela Segunda Seção do Superior Tribunal de Justiça no </w:t>
      </w:r>
      <w:proofErr w:type="spellStart"/>
      <w:r w:rsidRPr="001A05F4">
        <w:rPr>
          <w:rFonts w:ascii="Times New Roman" w:hAnsi="Times New Roman" w:cs="Times New Roman"/>
        </w:rPr>
        <w:t>EAREsp</w:t>
      </w:r>
      <w:proofErr w:type="spellEnd"/>
      <w:r w:rsidRPr="001A05F4">
        <w:rPr>
          <w:rFonts w:ascii="Times New Roman" w:hAnsi="Times New Roman" w:cs="Times New Roman"/>
        </w:rPr>
        <w:t xml:space="preserve"> n. 1.260.418/MG, precedente que antecedeu e serviu de fundamento à posterior consolidação do Tema n. 1.200.</w:t>
      </w:r>
    </w:p>
    <w:p w14:paraId="02FCCAE0" w14:textId="3DFDE212"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Naquela oportunidade, o STJ assentou que, havendo questão de alta indagação acerca da qualidade de herdeiro, a controvérsia deve ser remetida às vias ordinárias, com reserva do respectivo quinhão, nos termos dos </w:t>
      </w:r>
      <w:proofErr w:type="spellStart"/>
      <w:r w:rsidRPr="001A05F4">
        <w:rPr>
          <w:rFonts w:ascii="Times New Roman" w:hAnsi="Times New Roman" w:cs="Times New Roman"/>
        </w:rPr>
        <w:t>arts</w:t>
      </w:r>
      <w:proofErr w:type="spellEnd"/>
      <w:r w:rsidRPr="001A05F4">
        <w:rPr>
          <w:rFonts w:ascii="Times New Roman" w:hAnsi="Times New Roman" w:cs="Times New Roman"/>
        </w:rPr>
        <w:t>. 627, §3º, e 628, §2º, do CPC. Apesar disso, concluiu que a abertura da sucessão permite ao pretenso herdeiro exercer imediatamente seus direitos hereditários, no ponto:</w:t>
      </w:r>
    </w:p>
    <w:p w14:paraId="682D8DC8" w14:textId="297D025A" w:rsidR="001A05F4" w:rsidRPr="001A05F4" w:rsidRDefault="002C20C5" w:rsidP="001A05F4">
      <w:pPr>
        <w:ind w:right="-427"/>
        <w:jc w:val="both"/>
        <w:rPr>
          <w:rFonts w:ascii="Times New Roman" w:hAnsi="Times New Roman" w:cs="Times New Roman"/>
        </w:rPr>
      </w:pPr>
      <w:r>
        <w:rPr>
          <w:rFonts w:ascii="Times New Roman" w:hAnsi="Times New Roman" w:cs="Times New Roman"/>
        </w:rPr>
        <w:t>“</w:t>
      </w:r>
      <w:r w:rsidR="001A05F4" w:rsidRPr="001A05F4">
        <w:rPr>
          <w:rFonts w:ascii="Times New Roman" w:hAnsi="Times New Roman" w:cs="Times New Roman"/>
        </w:rPr>
        <w:t xml:space="preserve">O prazo prescricional para propor ação de petição de herança conta-se da abertura da sucessão, aplicada a corrente objetiva acerca do princípio da </w:t>
      </w:r>
      <w:proofErr w:type="spellStart"/>
      <w:r w:rsidR="001A05F4" w:rsidRPr="002C20C5">
        <w:rPr>
          <w:rFonts w:ascii="Times New Roman" w:hAnsi="Times New Roman" w:cs="Times New Roman"/>
          <w:i/>
          <w:iCs/>
        </w:rPr>
        <w:t>actio</w:t>
      </w:r>
      <w:proofErr w:type="spellEnd"/>
      <w:r w:rsidR="001A05F4" w:rsidRPr="002C20C5">
        <w:rPr>
          <w:rFonts w:ascii="Times New Roman" w:hAnsi="Times New Roman" w:cs="Times New Roman"/>
          <w:i/>
          <w:iCs/>
        </w:rPr>
        <w:t xml:space="preserve"> nata</w:t>
      </w:r>
      <w:r w:rsidR="001A05F4" w:rsidRPr="001A05F4">
        <w:rPr>
          <w:rFonts w:ascii="Times New Roman" w:hAnsi="Times New Roman" w:cs="Times New Roman"/>
        </w:rPr>
        <w:t xml:space="preserve"> (</w:t>
      </w:r>
      <w:proofErr w:type="spellStart"/>
      <w:r w:rsidR="001A05F4" w:rsidRPr="001A05F4">
        <w:rPr>
          <w:rFonts w:ascii="Times New Roman" w:hAnsi="Times New Roman" w:cs="Times New Roman"/>
        </w:rPr>
        <w:t>arts</w:t>
      </w:r>
      <w:proofErr w:type="spellEnd"/>
      <w:r w:rsidR="001A05F4" w:rsidRPr="001A05F4">
        <w:rPr>
          <w:rFonts w:ascii="Times New Roman" w:hAnsi="Times New Roman" w:cs="Times New Roman"/>
        </w:rPr>
        <w:t>. 177 do CC/1916 e 189 do CC/</w:t>
      </w:r>
      <w:proofErr w:type="gramStart"/>
      <w:r w:rsidR="001A05F4" w:rsidRPr="001A05F4">
        <w:rPr>
          <w:rFonts w:ascii="Times New Roman" w:hAnsi="Times New Roman" w:cs="Times New Roman"/>
        </w:rPr>
        <w:t>2002)...</w:t>
      </w:r>
      <w:proofErr w:type="spellStart"/>
      <w:proofErr w:type="gramEnd"/>
      <w:r w:rsidR="001A05F4" w:rsidRPr="002C20C5">
        <w:rPr>
          <w:rFonts w:ascii="Times New Roman" w:hAnsi="Times New Roman" w:cs="Times New Roman"/>
          <w:i/>
          <w:iCs/>
        </w:rPr>
        <w:t>omissis</w:t>
      </w:r>
      <w:proofErr w:type="spellEnd"/>
      <w:r w:rsidR="001A05F4" w:rsidRPr="002C20C5">
        <w:rPr>
          <w:rFonts w:ascii="Times New Roman" w:hAnsi="Times New Roman" w:cs="Times New Roman"/>
          <w:i/>
          <w:iCs/>
        </w:rPr>
        <w:t>...</w:t>
      </w:r>
      <w:r>
        <w:rPr>
          <w:rFonts w:ascii="Times New Roman" w:hAnsi="Times New Roman" w:cs="Times New Roman"/>
        </w:rPr>
        <w:t xml:space="preserve">” </w:t>
      </w:r>
      <w:r w:rsidR="001A05F4" w:rsidRPr="001A05F4">
        <w:rPr>
          <w:rFonts w:ascii="Times New Roman" w:hAnsi="Times New Roman" w:cs="Times New Roman"/>
        </w:rPr>
        <w:t xml:space="preserve">[STJ, </w:t>
      </w:r>
      <w:proofErr w:type="spellStart"/>
      <w:r w:rsidR="001A05F4" w:rsidRPr="001A05F4">
        <w:rPr>
          <w:rFonts w:ascii="Times New Roman" w:hAnsi="Times New Roman" w:cs="Times New Roman"/>
        </w:rPr>
        <w:t>EAREsp</w:t>
      </w:r>
      <w:proofErr w:type="spellEnd"/>
      <w:r w:rsidR="001A05F4" w:rsidRPr="001A05F4">
        <w:rPr>
          <w:rFonts w:ascii="Times New Roman" w:hAnsi="Times New Roman" w:cs="Times New Roman"/>
        </w:rPr>
        <w:t xml:space="preserve"> n. 1.260.418/MG, Relator Ministro </w:t>
      </w:r>
      <w:proofErr w:type="spellStart"/>
      <w:r w:rsidR="001A05F4" w:rsidRPr="001A05F4">
        <w:rPr>
          <w:rFonts w:ascii="Times New Roman" w:hAnsi="Times New Roman" w:cs="Times New Roman"/>
        </w:rPr>
        <w:t>Antonio</w:t>
      </w:r>
      <w:proofErr w:type="spellEnd"/>
      <w:r w:rsidR="001A05F4" w:rsidRPr="001A05F4">
        <w:rPr>
          <w:rFonts w:ascii="Times New Roman" w:hAnsi="Times New Roman" w:cs="Times New Roman"/>
        </w:rPr>
        <w:t xml:space="preserve"> Carlos Ferreira, Segunda Seção, </w:t>
      </w:r>
      <w:proofErr w:type="spellStart"/>
      <w:r w:rsidR="001A05F4" w:rsidRPr="001A05F4">
        <w:rPr>
          <w:rFonts w:ascii="Times New Roman" w:hAnsi="Times New Roman" w:cs="Times New Roman"/>
        </w:rPr>
        <w:t>DJe</w:t>
      </w:r>
      <w:proofErr w:type="spellEnd"/>
      <w:r w:rsidR="001A05F4" w:rsidRPr="001A05F4">
        <w:rPr>
          <w:rFonts w:ascii="Times New Roman" w:hAnsi="Times New Roman" w:cs="Times New Roman"/>
        </w:rPr>
        <w:t xml:space="preserve"> 24.11.2022]</w:t>
      </w:r>
    </w:p>
    <w:p w14:paraId="1BA399C4" w14:textId="3BD005AC"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Portanto, o art. 628 do CPC, apresentado no recurso especial como elemento supostamente capaz de distinguir a hipótese dos autos, já integrou a construção jurídica adotada pela Segunda Seção, sem que daí se extraísse qualquer regra de imprescritibilidade.</w:t>
      </w:r>
    </w:p>
    <w:p w14:paraId="1164C9E9" w14:textId="75BBB34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Ademais, a jurisprudência do STJ também esclarece que a ausência de individualização dos bens não impede o exercício da petição de herança, justamente porque se trata de ação de natureza universal, no ponto:</w:t>
      </w:r>
    </w:p>
    <w:p w14:paraId="1933EBB3" w14:textId="77777777" w:rsidR="002C20C5" w:rsidRDefault="002C20C5" w:rsidP="001A05F4">
      <w:pPr>
        <w:ind w:right="-427"/>
        <w:jc w:val="both"/>
        <w:rPr>
          <w:rFonts w:ascii="Times New Roman" w:hAnsi="Times New Roman" w:cs="Times New Roman"/>
        </w:rPr>
      </w:pPr>
      <w:r>
        <w:rPr>
          <w:rFonts w:ascii="Times New Roman" w:hAnsi="Times New Roman" w:cs="Times New Roman"/>
        </w:rPr>
        <w:t>“</w:t>
      </w:r>
      <w:r w:rsidR="001A05F4" w:rsidRPr="002C20C5">
        <w:rPr>
          <w:rFonts w:ascii="Times New Roman" w:hAnsi="Times New Roman" w:cs="Times New Roman"/>
          <w:i/>
          <w:iCs/>
        </w:rPr>
        <w:t>Por ser uma ação universal, a ação de petição de herança visa ao reconhecimento do direito sucessório e o recebimento de quota-parte pelo herdeiro, e não o recebimento de bens singularmente considerados, motivo pelo qual não haverá alteração na situação fática dos bens, que permanecerão em condomínio pro indiviso</w:t>
      </w:r>
      <w:r w:rsidR="001A05F4" w:rsidRPr="001A05F4">
        <w:rPr>
          <w:rFonts w:ascii="Times New Roman" w:hAnsi="Times New Roman" w:cs="Times New Roman"/>
        </w:rPr>
        <w:t>.</w:t>
      </w:r>
      <w:r>
        <w:rPr>
          <w:rFonts w:ascii="Times New Roman" w:hAnsi="Times New Roman" w:cs="Times New Roman"/>
        </w:rPr>
        <w:t xml:space="preserve">” </w:t>
      </w:r>
      <w:r w:rsidR="001A05F4" w:rsidRPr="001A05F4">
        <w:rPr>
          <w:rFonts w:ascii="Times New Roman" w:hAnsi="Times New Roman" w:cs="Times New Roman"/>
        </w:rPr>
        <w:t xml:space="preserve">[STJ, REsp n. 1.500.756/GO, Relatora Ministra Maria Isabel Gallotti, Quarta Turma, </w:t>
      </w:r>
      <w:proofErr w:type="spellStart"/>
      <w:r w:rsidR="001A05F4" w:rsidRPr="001A05F4">
        <w:rPr>
          <w:rFonts w:ascii="Times New Roman" w:hAnsi="Times New Roman" w:cs="Times New Roman"/>
        </w:rPr>
        <w:t>DJe</w:t>
      </w:r>
      <w:proofErr w:type="spellEnd"/>
      <w:r w:rsidR="001A05F4" w:rsidRPr="001A05F4">
        <w:rPr>
          <w:rFonts w:ascii="Times New Roman" w:hAnsi="Times New Roman" w:cs="Times New Roman"/>
        </w:rPr>
        <w:t xml:space="preserve"> 02.03.2016]</w:t>
      </w:r>
    </w:p>
    <w:p w14:paraId="0E779093" w14:textId="27EBB964"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A pendência do inventário e a indivisibilidade do acervo, assim, não eliminam a pretensão hereditária nem postergam seu nascimento para a partilha. O art. 628 apenas disciplina a preservação do quinhão enquanto a controvérsia é solucionada nas vias ordinárias; não institui causa de suspensão, interrupção ou impedimento da prescrição. </w:t>
      </w:r>
    </w:p>
    <w:p w14:paraId="2E9856EC" w14:textId="77E5F89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 xml:space="preserve">Tampouco se pode admitir que a ação autônoma efetivamente proposta pelos recorrentes — investigação de paternidade/avoenga cumulada com petição de herança — seja, depois de </w:t>
      </w:r>
      <w:r w:rsidRPr="001A05F4">
        <w:rPr>
          <w:rFonts w:ascii="Times New Roman" w:hAnsi="Times New Roman" w:cs="Times New Roman"/>
        </w:rPr>
        <w:lastRenderedPageBreak/>
        <w:t>reconhecida a prescrição, retroativamente transformada em mero incidente de habilitação para escapar do regime prescricional.</w:t>
      </w:r>
    </w:p>
    <w:p w14:paraId="585257F3" w14:textId="4C7F568E"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Não há, pois</w:t>
      </w:r>
      <w:r w:rsidRPr="002C20C5">
        <w:rPr>
          <w:rFonts w:ascii="Times New Roman" w:hAnsi="Times New Roman" w:cs="Times New Roman"/>
          <w:i/>
          <w:iCs/>
        </w:rPr>
        <w:t xml:space="preserve">, </w:t>
      </w:r>
      <w:proofErr w:type="spellStart"/>
      <w:r w:rsidRPr="002C20C5">
        <w:rPr>
          <w:rFonts w:ascii="Times New Roman" w:hAnsi="Times New Roman" w:cs="Times New Roman"/>
          <w:i/>
          <w:iCs/>
        </w:rPr>
        <w:t>distinguishing</w:t>
      </w:r>
      <w:proofErr w:type="spellEnd"/>
      <w:r w:rsidRPr="001A05F4">
        <w:rPr>
          <w:rFonts w:ascii="Times New Roman" w:hAnsi="Times New Roman" w:cs="Times New Roman"/>
        </w:rPr>
        <w:t xml:space="preserve">. A tese recursal pretende criar exceção que não se encontra nos </w:t>
      </w:r>
      <w:proofErr w:type="spellStart"/>
      <w:r w:rsidRPr="001A05F4">
        <w:rPr>
          <w:rFonts w:ascii="Times New Roman" w:hAnsi="Times New Roman" w:cs="Times New Roman"/>
        </w:rPr>
        <w:t>arts</w:t>
      </w:r>
      <w:proofErr w:type="spellEnd"/>
      <w:r w:rsidRPr="001A05F4">
        <w:rPr>
          <w:rFonts w:ascii="Times New Roman" w:hAnsi="Times New Roman" w:cs="Times New Roman"/>
        </w:rPr>
        <w:t>. 628 do CPC, 1.791 e 1.824 do Código Civil e que, sobretudo, é incompatível com a própria fundamentação que conduziu à fixação do Tema Repetitivo n. 1.200/STJ, razão pela qual também haverá de ser negado provimento ao recurso pelas razões expostas.</w:t>
      </w:r>
    </w:p>
    <w:p w14:paraId="37FB1A79" w14:textId="475142B2" w:rsidR="001A05F4" w:rsidRPr="002C20C5" w:rsidRDefault="001A05F4" w:rsidP="001A05F4">
      <w:pPr>
        <w:ind w:right="-427"/>
        <w:jc w:val="both"/>
        <w:rPr>
          <w:rFonts w:ascii="Times New Roman" w:hAnsi="Times New Roman" w:cs="Times New Roman"/>
          <w:b/>
          <w:bCs/>
        </w:rPr>
      </w:pPr>
      <w:r w:rsidRPr="002C20C5">
        <w:rPr>
          <w:rFonts w:ascii="Times New Roman" w:hAnsi="Times New Roman" w:cs="Times New Roman"/>
          <w:b/>
          <w:bCs/>
        </w:rPr>
        <w:t>IV-</w:t>
      </w:r>
      <w:r w:rsidR="002C20C5" w:rsidRPr="002C20C5">
        <w:rPr>
          <w:rFonts w:ascii="Times New Roman" w:hAnsi="Times New Roman" w:cs="Times New Roman"/>
          <w:b/>
          <w:bCs/>
        </w:rPr>
        <w:t xml:space="preserve"> </w:t>
      </w:r>
      <w:r w:rsidRPr="002C20C5">
        <w:rPr>
          <w:rFonts w:ascii="Times New Roman" w:hAnsi="Times New Roman" w:cs="Times New Roman"/>
          <w:b/>
          <w:bCs/>
        </w:rPr>
        <w:t>PEDIDOS</w:t>
      </w:r>
    </w:p>
    <w:p w14:paraId="4BC4263A" w14:textId="11931EC7" w:rsidR="001A05F4" w:rsidRPr="001A05F4" w:rsidRDefault="001A05F4" w:rsidP="001A05F4">
      <w:pPr>
        <w:ind w:right="-427"/>
        <w:jc w:val="both"/>
        <w:rPr>
          <w:rFonts w:ascii="Times New Roman" w:hAnsi="Times New Roman" w:cs="Times New Roman"/>
        </w:rPr>
      </w:pPr>
      <w:proofErr w:type="spellStart"/>
      <w:r w:rsidRPr="002C20C5">
        <w:rPr>
          <w:rFonts w:ascii="Times New Roman" w:hAnsi="Times New Roman" w:cs="Times New Roman"/>
          <w:b/>
          <w:bCs/>
          <w:i/>
          <w:iCs/>
        </w:rPr>
        <w:t>Ex</w:t>
      </w:r>
      <w:proofErr w:type="spellEnd"/>
      <w:r w:rsidRPr="002C20C5">
        <w:rPr>
          <w:rFonts w:ascii="Times New Roman" w:hAnsi="Times New Roman" w:cs="Times New Roman"/>
          <w:b/>
          <w:bCs/>
          <w:i/>
          <w:iCs/>
        </w:rPr>
        <w:t xml:space="preserve"> positis</w:t>
      </w:r>
      <w:r w:rsidRPr="001A05F4">
        <w:rPr>
          <w:rFonts w:ascii="Times New Roman" w:hAnsi="Times New Roman" w:cs="Times New Roman"/>
        </w:rPr>
        <w:t>, a recorrida requer:</w:t>
      </w:r>
    </w:p>
    <w:p w14:paraId="4D0183A2" w14:textId="559CE06C" w:rsidR="001A05F4" w:rsidRPr="001A05F4" w:rsidRDefault="002C20C5" w:rsidP="001A05F4">
      <w:pPr>
        <w:ind w:right="-427"/>
        <w:jc w:val="both"/>
        <w:rPr>
          <w:rFonts w:ascii="Times New Roman" w:hAnsi="Times New Roman" w:cs="Times New Roman"/>
        </w:rPr>
      </w:pPr>
      <w:r w:rsidRPr="002C20C5">
        <w:rPr>
          <w:rFonts w:ascii="Times New Roman" w:hAnsi="Times New Roman" w:cs="Times New Roman"/>
        </w:rPr>
        <w:t>a)</w:t>
      </w:r>
      <w:r>
        <w:rPr>
          <w:rFonts w:ascii="Times New Roman" w:hAnsi="Times New Roman" w:cs="Times New Roman"/>
        </w:rPr>
        <w:t xml:space="preserve"> </w:t>
      </w:r>
      <w:r w:rsidR="001A05F4" w:rsidRPr="002C20C5">
        <w:rPr>
          <w:rFonts w:ascii="Times New Roman" w:hAnsi="Times New Roman" w:cs="Times New Roman"/>
        </w:rPr>
        <w:t>seja NEGADO SEGUIMENTO AO RECURSO ESPECIAL, com fundamento no art. 1.030, I, “</w:t>
      </w:r>
      <w:r w:rsidR="001A05F4" w:rsidRPr="002C20C5">
        <w:rPr>
          <w:rFonts w:ascii="Times New Roman" w:hAnsi="Times New Roman" w:cs="Times New Roman"/>
          <w:i/>
          <w:iCs/>
        </w:rPr>
        <w:t>b</w:t>
      </w:r>
      <w:r w:rsidR="001A05F4" w:rsidRPr="002C20C5">
        <w:rPr>
          <w:rFonts w:ascii="Times New Roman" w:hAnsi="Times New Roman" w:cs="Times New Roman"/>
        </w:rPr>
        <w:t>”, do Código de Processo Civil, no que concerne aos capítulos destinados a afastar a prescrição reconhecida em consonância com o Tema Repetitivo n. 1.200 do Superior Tribunal de Justiça;</w:t>
      </w:r>
    </w:p>
    <w:p w14:paraId="4C0B6A4F" w14:textId="1FAF1885"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b)</w:t>
      </w:r>
      <w:r w:rsidR="002C20C5">
        <w:rPr>
          <w:rFonts w:ascii="Times New Roman" w:hAnsi="Times New Roman" w:cs="Times New Roman"/>
        </w:rPr>
        <w:t xml:space="preserve"> </w:t>
      </w:r>
      <w:r w:rsidRPr="001A05F4">
        <w:rPr>
          <w:rFonts w:ascii="Times New Roman" w:hAnsi="Times New Roman" w:cs="Times New Roman"/>
        </w:rPr>
        <w:t xml:space="preserve">em relação às demais matérias delimitadas pelos recorrentes, seja o recurso especial INADMITIDO, diante dos óbices específicos demonstrados nestas contrarrazões, notadamente a ausência de prequestionamento da nova tese edificada sobre os </w:t>
      </w:r>
      <w:proofErr w:type="spellStart"/>
      <w:r w:rsidRPr="001A05F4">
        <w:rPr>
          <w:rFonts w:ascii="Times New Roman" w:hAnsi="Times New Roman" w:cs="Times New Roman"/>
        </w:rPr>
        <w:t>arts</w:t>
      </w:r>
      <w:proofErr w:type="spellEnd"/>
      <w:r w:rsidRPr="001A05F4">
        <w:rPr>
          <w:rFonts w:ascii="Times New Roman" w:hAnsi="Times New Roman" w:cs="Times New Roman"/>
        </w:rPr>
        <w:t>. 628 do CPC e 1.791 do Código Civil, a incidência das Súmulas 83 e 211 do STJ e, nos limites acima delimitados, da Súmula 7/STJ;</w:t>
      </w:r>
    </w:p>
    <w:p w14:paraId="543E17A4" w14:textId="2F7C8CFB" w:rsidR="001A05F4" w:rsidRPr="001A05F4" w:rsidRDefault="001A05F4" w:rsidP="001A05F4">
      <w:pPr>
        <w:ind w:right="-427"/>
        <w:jc w:val="both"/>
        <w:rPr>
          <w:rFonts w:ascii="Times New Roman" w:hAnsi="Times New Roman" w:cs="Times New Roman"/>
        </w:rPr>
      </w:pPr>
      <w:r w:rsidRPr="001A05F4">
        <w:rPr>
          <w:rFonts w:ascii="Times New Roman" w:hAnsi="Times New Roman" w:cs="Times New Roman"/>
        </w:rPr>
        <w:t>c)</w:t>
      </w:r>
      <w:r w:rsidR="007F00DA">
        <w:rPr>
          <w:rFonts w:ascii="Times New Roman" w:hAnsi="Times New Roman" w:cs="Times New Roman"/>
        </w:rPr>
        <w:t xml:space="preserve"> </w:t>
      </w:r>
      <w:r w:rsidRPr="001A05F4">
        <w:rPr>
          <w:rFonts w:ascii="Times New Roman" w:hAnsi="Times New Roman" w:cs="Times New Roman"/>
        </w:rPr>
        <w:t xml:space="preserve">subsidiariamente, acaso adentrado ao mérito, seja negado provimento ao recurso especial, mantendo-se incólume o v. acórdão proferido pela colenda </w:t>
      </w:r>
      <w:r w:rsidR="007F00DA">
        <w:rPr>
          <w:rFonts w:ascii="Times New Roman" w:hAnsi="Times New Roman" w:cs="Times New Roman"/>
        </w:rPr>
        <w:t>...</w:t>
      </w:r>
      <w:r w:rsidRPr="001A05F4">
        <w:rPr>
          <w:rFonts w:ascii="Times New Roman" w:hAnsi="Times New Roman" w:cs="Times New Roman"/>
        </w:rPr>
        <w:t xml:space="preserve">ª Câmara Cível Especializada do Tribunal de Justiça de </w:t>
      </w:r>
      <w:r w:rsidR="007F00DA">
        <w:rPr>
          <w:rFonts w:ascii="Times New Roman" w:hAnsi="Times New Roman" w:cs="Times New Roman"/>
        </w:rPr>
        <w:t>...</w:t>
      </w:r>
      <w:r w:rsidRPr="001A05F4">
        <w:rPr>
          <w:rFonts w:ascii="Times New Roman" w:hAnsi="Times New Roman" w:cs="Times New Roman"/>
        </w:rPr>
        <w:t>, inclusive quanto ao reconhecimento da prescrição da pretensão de petição de herança e à competência do d. Juízo de Família.</w:t>
      </w:r>
    </w:p>
    <w:p w14:paraId="6D1DDAFF" w14:textId="4CC47E92" w:rsidR="001A05F4" w:rsidRPr="001A05F4" w:rsidRDefault="001A05F4" w:rsidP="007F00DA">
      <w:pPr>
        <w:spacing w:after="0" w:line="240" w:lineRule="auto"/>
        <w:ind w:right="-425"/>
        <w:jc w:val="center"/>
        <w:rPr>
          <w:rFonts w:ascii="Times New Roman" w:hAnsi="Times New Roman" w:cs="Times New Roman"/>
        </w:rPr>
      </w:pPr>
      <w:r w:rsidRPr="001A05F4">
        <w:rPr>
          <w:rFonts w:ascii="Times New Roman" w:hAnsi="Times New Roman" w:cs="Times New Roman"/>
        </w:rPr>
        <w:t>P</w:t>
      </w:r>
      <w:r w:rsidR="007F00DA">
        <w:rPr>
          <w:rFonts w:ascii="Times New Roman" w:hAnsi="Times New Roman" w:cs="Times New Roman"/>
        </w:rPr>
        <w:t>ede</w:t>
      </w:r>
      <w:r w:rsidRPr="001A05F4">
        <w:rPr>
          <w:rFonts w:ascii="Times New Roman" w:hAnsi="Times New Roman" w:cs="Times New Roman"/>
        </w:rPr>
        <w:t xml:space="preserve"> Deferimento.</w:t>
      </w:r>
    </w:p>
    <w:p w14:paraId="0C36CF12" w14:textId="2EC641F0" w:rsidR="001A05F4" w:rsidRDefault="007F00DA" w:rsidP="007F00DA">
      <w:pPr>
        <w:spacing w:after="0" w:line="240" w:lineRule="auto"/>
        <w:ind w:right="-425"/>
        <w:jc w:val="center"/>
        <w:rPr>
          <w:rFonts w:ascii="Times New Roman" w:hAnsi="Times New Roman" w:cs="Times New Roman"/>
        </w:rPr>
      </w:pPr>
      <w:r>
        <w:rPr>
          <w:rFonts w:ascii="Times New Roman" w:hAnsi="Times New Roman" w:cs="Times New Roman"/>
        </w:rPr>
        <w:t>(Local e data)</w:t>
      </w:r>
    </w:p>
    <w:p w14:paraId="50116440" w14:textId="7DFBF098" w:rsidR="007F00DA" w:rsidRPr="001A05F4" w:rsidRDefault="007F00DA" w:rsidP="007F00DA">
      <w:pPr>
        <w:spacing w:after="0" w:line="240" w:lineRule="auto"/>
        <w:ind w:right="-425"/>
        <w:jc w:val="center"/>
        <w:rPr>
          <w:rFonts w:ascii="Times New Roman" w:hAnsi="Times New Roman" w:cs="Times New Roman"/>
        </w:rPr>
      </w:pPr>
      <w:r>
        <w:rPr>
          <w:rFonts w:ascii="Times New Roman" w:hAnsi="Times New Roman" w:cs="Times New Roman"/>
        </w:rPr>
        <w:t>(Assinatura e OAB do Advogado)</w:t>
      </w:r>
    </w:p>
    <w:sectPr w:rsidR="007F00DA" w:rsidRPr="001A05F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561A" w14:textId="77777777" w:rsidR="00EE3757" w:rsidRDefault="00EE3757" w:rsidP="001A05F4">
      <w:pPr>
        <w:spacing w:after="0" w:line="240" w:lineRule="auto"/>
      </w:pPr>
      <w:r>
        <w:separator/>
      </w:r>
    </w:p>
  </w:endnote>
  <w:endnote w:type="continuationSeparator" w:id="0">
    <w:p w14:paraId="66575D8A" w14:textId="77777777" w:rsidR="00EE3757" w:rsidRDefault="00EE3757" w:rsidP="001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5D25" w14:textId="77777777" w:rsidR="00EE3757" w:rsidRDefault="00EE3757" w:rsidP="001A05F4">
      <w:pPr>
        <w:spacing w:after="0" w:line="240" w:lineRule="auto"/>
      </w:pPr>
      <w:r>
        <w:separator/>
      </w:r>
    </w:p>
  </w:footnote>
  <w:footnote w:type="continuationSeparator" w:id="0">
    <w:p w14:paraId="7D125A1A" w14:textId="77777777" w:rsidR="00EE3757" w:rsidRDefault="00EE3757" w:rsidP="001A05F4">
      <w:pPr>
        <w:spacing w:after="0" w:line="240" w:lineRule="auto"/>
      </w:pPr>
      <w:r>
        <w:continuationSeparator/>
      </w:r>
    </w:p>
  </w:footnote>
  <w:footnote w:id="1">
    <w:p w14:paraId="7D3EC18E" w14:textId="2E6FF3AA"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 xml:space="preserve">Nesse sentido: “...Verifica-se que o Tribunal de origem decidiu a matéria em conformidade com a jurisprudência desta Corte. Incide, portanto, o disposto no enunciado n. 83 da Súmula do STJ, segundo o qual: "Não se conhece do recurso especial pela divergência, quando a orientação do Tribunal se firmou no mesmo sentido da decisão recorrida". Neste sentido: REsp n. 2.091.202/SP, relator Ministro Paulo Sérgio Domingues, Primeira Seção, julgado em 11/12/2024, DJEN de 16/12/2024” [STJ, </w:t>
      </w:r>
      <w:proofErr w:type="spellStart"/>
      <w:r w:rsidRPr="007F00DA">
        <w:rPr>
          <w:rFonts w:ascii="Times New Roman" w:hAnsi="Times New Roman" w:cs="Times New Roman"/>
        </w:rPr>
        <w:t>AREsp</w:t>
      </w:r>
      <w:proofErr w:type="spellEnd"/>
      <w:r w:rsidRPr="007F00DA">
        <w:rPr>
          <w:rFonts w:ascii="Times New Roman" w:hAnsi="Times New Roman" w:cs="Times New Roman"/>
        </w:rPr>
        <w:t xml:space="preserve"> n. 3.185.888/SP, Relator Ministro Francisco Falcão, Segunda Turma, DJEN de 05.08.2026].</w:t>
      </w:r>
    </w:p>
  </w:footnote>
  <w:footnote w:id="2">
    <w:p w14:paraId="2E9BFFDA" w14:textId="77777777"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CPC, art. 628. Aquele que se julgar preterido poderá demandar sua admissão no inventário, requerendo-a antes da partilha. §1º Ouvidas as partes no prazo de 15 (quinze) dias, o juiz decidirá. §2º Se para solução da questão for necessária a produção de provas que não a documental, o juiz remeterá o requerente às vias ordinárias, mandando reservar, em poder do inventariante, o quinhão do herdeiro excluído até que se decida o litígio.</w:t>
      </w:r>
    </w:p>
    <w:p w14:paraId="166577A0" w14:textId="31B3177A" w:rsidR="007F00DA" w:rsidRPr="007F00DA" w:rsidRDefault="007F00DA" w:rsidP="007F00DA">
      <w:pPr>
        <w:pStyle w:val="Textodenotaderodap"/>
        <w:ind w:right="-568"/>
        <w:jc w:val="both"/>
        <w:rPr>
          <w:rFonts w:ascii="Times New Roman" w:hAnsi="Times New Roman" w:cs="Times New Roman"/>
        </w:rPr>
      </w:pPr>
      <w:r w:rsidRPr="007F00DA">
        <w:rPr>
          <w:rFonts w:ascii="Times New Roman" w:hAnsi="Times New Roman" w:cs="Times New Roman"/>
        </w:rPr>
        <w:t xml:space="preserve">CC, art. 1.791. A herança defere-se como um todo unitário, ainda que vários sejam os herdeiros. Parágrafo único. Até a partilha, o direito dos </w:t>
      </w:r>
      <w:proofErr w:type="spellStart"/>
      <w:r w:rsidRPr="007F00DA">
        <w:rPr>
          <w:rFonts w:ascii="Times New Roman" w:hAnsi="Times New Roman" w:cs="Times New Roman"/>
        </w:rPr>
        <w:t>co-herdeiros</w:t>
      </w:r>
      <w:proofErr w:type="spellEnd"/>
      <w:r w:rsidRPr="007F00DA">
        <w:rPr>
          <w:rFonts w:ascii="Times New Roman" w:hAnsi="Times New Roman" w:cs="Times New Roman"/>
        </w:rPr>
        <w:t>, quanto à propriedade e posse da herança, será indivisível, e regular-se-á pelas normas relativas ao condomínio</w:t>
      </w:r>
    </w:p>
  </w:footnote>
  <w:footnote w:id="3">
    <w:p w14:paraId="00B3324C" w14:textId="2DA797AC"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 xml:space="preserve">Nesse sentido: “Para que o art. 1.025 do CPC/2015 seja aplicado, e permita-se o conhecimento das alegações da parte recorrente, é necessário não só que haja a oposição dos embargos de declaração na Corte de origem (e. 211/STJ) e indicação de violação do art. 1.022 do CPC/2015, no recurso especial (REsp n. 1.764.914/SP, relator Ministro Herman Benjamin, Segunda Turma, julgado em 8/11/2018,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23/11/2018). A matéria deve ser: i) alegada nos embargos de declaração opostos (</w:t>
      </w:r>
      <w:proofErr w:type="spellStart"/>
      <w:r w:rsidRPr="007F00DA">
        <w:rPr>
          <w:rFonts w:ascii="Times New Roman" w:hAnsi="Times New Roman" w:cs="Times New Roman"/>
        </w:rPr>
        <w:t>AgInt</w:t>
      </w:r>
      <w:proofErr w:type="spellEnd"/>
      <w:r w:rsidRPr="007F00DA">
        <w:rPr>
          <w:rFonts w:ascii="Times New Roman" w:hAnsi="Times New Roman" w:cs="Times New Roman"/>
        </w:rPr>
        <w:t xml:space="preserve"> no REsp n. 1.443.520/RS, relator Ministro Napoleão Nunes Maia Filho, Primeira Turma, julgado em 1º/4/2019,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10/4/2019); </w:t>
      </w:r>
      <w:proofErr w:type="spellStart"/>
      <w:r w:rsidRPr="007F00DA">
        <w:rPr>
          <w:rFonts w:ascii="Times New Roman" w:hAnsi="Times New Roman" w:cs="Times New Roman"/>
        </w:rPr>
        <w:t>ii</w:t>
      </w:r>
      <w:proofErr w:type="spellEnd"/>
      <w:r w:rsidRPr="007F00DA">
        <w:rPr>
          <w:rFonts w:ascii="Times New Roman" w:hAnsi="Times New Roman" w:cs="Times New Roman"/>
        </w:rPr>
        <w:t>) devolvida a julgamento ao Tribunal a quo (</w:t>
      </w:r>
      <w:proofErr w:type="spellStart"/>
      <w:r w:rsidRPr="007F00DA">
        <w:rPr>
          <w:rFonts w:ascii="Times New Roman" w:hAnsi="Times New Roman" w:cs="Times New Roman"/>
        </w:rPr>
        <w:t>AgRg</w:t>
      </w:r>
      <w:proofErr w:type="spellEnd"/>
      <w:r w:rsidRPr="007F00DA">
        <w:rPr>
          <w:rFonts w:ascii="Times New Roman" w:hAnsi="Times New Roman" w:cs="Times New Roman"/>
        </w:rPr>
        <w:t xml:space="preserve"> no REsp n. 1.459.940/SP, relatora Ministra Assusete Magalhães, Segunda Turma, julgado em 24/5/2016,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2/6/2016) e; </w:t>
      </w:r>
      <w:proofErr w:type="spellStart"/>
      <w:r w:rsidRPr="007F00DA">
        <w:rPr>
          <w:rFonts w:ascii="Times New Roman" w:hAnsi="Times New Roman" w:cs="Times New Roman"/>
        </w:rPr>
        <w:t>iii</w:t>
      </w:r>
      <w:proofErr w:type="spellEnd"/>
      <w:r w:rsidRPr="007F00DA">
        <w:rPr>
          <w:rFonts w:ascii="Times New Roman" w:hAnsi="Times New Roman" w:cs="Times New Roman"/>
        </w:rPr>
        <w:t>) relevante e pertinente com a matéria (</w:t>
      </w:r>
      <w:proofErr w:type="spellStart"/>
      <w:r w:rsidRPr="007F00DA">
        <w:rPr>
          <w:rFonts w:ascii="Times New Roman" w:hAnsi="Times New Roman" w:cs="Times New Roman"/>
        </w:rPr>
        <w:t>AgInt</w:t>
      </w:r>
      <w:proofErr w:type="spellEnd"/>
      <w:r w:rsidRPr="007F00DA">
        <w:rPr>
          <w:rFonts w:ascii="Times New Roman" w:hAnsi="Times New Roman" w:cs="Times New Roman"/>
        </w:rPr>
        <w:t xml:space="preserve"> no </w:t>
      </w:r>
      <w:proofErr w:type="spellStart"/>
      <w:r w:rsidRPr="007F00DA">
        <w:rPr>
          <w:rFonts w:ascii="Times New Roman" w:hAnsi="Times New Roman" w:cs="Times New Roman"/>
        </w:rPr>
        <w:t>AREsp</w:t>
      </w:r>
      <w:proofErr w:type="spellEnd"/>
      <w:r w:rsidRPr="007F00DA">
        <w:rPr>
          <w:rFonts w:ascii="Times New Roman" w:hAnsi="Times New Roman" w:cs="Times New Roman"/>
        </w:rPr>
        <w:t xml:space="preserve"> n. 1.433.961/SP, relator Ministro Mauro Campbell Marques, Segunda Turma, julgado em 17/9/2019,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24/9/2019)...</w:t>
      </w:r>
      <w:proofErr w:type="spellStart"/>
      <w:r w:rsidRPr="007F00DA">
        <w:rPr>
          <w:rFonts w:ascii="Times New Roman" w:hAnsi="Times New Roman" w:cs="Times New Roman"/>
        </w:rPr>
        <w:t>omissis</w:t>
      </w:r>
      <w:proofErr w:type="spellEnd"/>
      <w:r w:rsidRPr="007F00DA">
        <w:rPr>
          <w:rFonts w:ascii="Times New Roman" w:hAnsi="Times New Roman" w:cs="Times New Roman"/>
        </w:rPr>
        <w:t xml:space="preserve">...” [STJ, </w:t>
      </w:r>
      <w:proofErr w:type="spellStart"/>
      <w:r w:rsidRPr="007F00DA">
        <w:rPr>
          <w:rFonts w:ascii="Times New Roman" w:hAnsi="Times New Roman" w:cs="Times New Roman"/>
        </w:rPr>
        <w:t>EDcl</w:t>
      </w:r>
      <w:proofErr w:type="spellEnd"/>
      <w:r w:rsidRPr="007F00DA">
        <w:rPr>
          <w:rFonts w:ascii="Times New Roman" w:hAnsi="Times New Roman" w:cs="Times New Roman"/>
        </w:rPr>
        <w:t xml:space="preserve"> no </w:t>
      </w:r>
      <w:proofErr w:type="spellStart"/>
      <w:r w:rsidRPr="007F00DA">
        <w:rPr>
          <w:rFonts w:ascii="Times New Roman" w:hAnsi="Times New Roman" w:cs="Times New Roman"/>
        </w:rPr>
        <w:t>AgInt</w:t>
      </w:r>
      <w:proofErr w:type="spellEnd"/>
      <w:r w:rsidRPr="007F00DA">
        <w:rPr>
          <w:rFonts w:ascii="Times New Roman" w:hAnsi="Times New Roman" w:cs="Times New Roman"/>
        </w:rPr>
        <w:t xml:space="preserve"> no </w:t>
      </w:r>
      <w:proofErr w:type="spellStart"/>
      <w:r w:rsidRPr="007F00DA">
        <w:rPr>
          <w:rFonts w:ascii="Times New Roman" w:hAnsi="Times New Roman" w:cs="Times New Roman"/>
        </w:rPr>
        <w:t>AREsp</w:t>
      </w:r>
      <w:proofErr w:type="spellEnd"/>
      <w:r w:rsidRPr="007F00DA">
        <w:rPr>
          <w:rFonts w:ascii="Times New Roman" w:hAnsi="Times New Roman" w:cs="Times New Roman"/>
        </w:rPr>
        <w:t xml:space="preserve"> n. 2.222.062/DF, Relator Ministro Francisco Falcão, Segunda Turma,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23.08.2023].</w:t>
      </w:r>
    </w:p>
  </w:footnote>
  <w:footnote w:id="4">
    <w:p w14:paraId="4F911B3C" w14:textId="548C4C42"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STJ, Súmula 7. A pretensão de simples reexame de prova não enseja recurso especial.</w:t>
      </w:r>
    </w:p>
  </w:footnote>
  <w:footnote w:id="5">
    <w:p w14:paraId="0DE151B7" w14:textId="4AFE76DA"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CPC, art. 926, caput. Os tribunais devem uniformizar sua jurisprudência e mantê-la estável, íntegra e coerente.</w:t>
      </w:r>
    </w:p>
  </w:footnote>
  <w:footnote w:id="6">
    <w:p w14:paraId="5E350685" w14:textId="6DA8731A"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 xml:space="preserve">“o pretenso herdeiro poderá, desde logo e independentemente do reconhecimento oficial desta condição (a de herdeiro), postular seus direitos hereditários, nos seguintes moldes: "i) propor ação de investigação de paternidade cumulada com petição de herança; </w:t>
      </w:r>
      <w:proofErr w:type="spellStart"/>
      <w:r w:rsidRPr="007F00DA">
        <w:rPr>
          <w:rFonts w:ascii="Times New Roman" w:hAnsi="Times New Roman" w:cs="Times New Roman"/>
        </w:rPr>
        <w:t>ii</w:t>
      </w:r>
      <w:proofErr w:type="spellEnd"/>
      <w:r w:rsidRPr="007F00DA">
        <w:rPr>
          <w:rFonts w:ascii="Times New Roman" w:hAnsi="Times New Roman" w:cs="Times New Roman"/>
        </w:rPr>
        <w:t xml:space="preserve">) propor concomitantemente, mas em processos distintos, ação de investigação de paternidade e ação de petição de herança, caso em que ambas poderão tramitar simultaneamente, ou se poderá suspender a petição de herança até o julgamento da investigatória; e </w:t>
      </w:r>
      <w:proofErr w:type="spellStart"/>
      <w:r w:rsidRPr="007F00DA">
        <w:rPr>
          <w:rFonts w:ascii="Times New Roman" w:hAnsi="Times New Roman" w:cs="Times New Roman"/>
        </w:rPr>
        <w:t>iii</w:t>
      </w:r>
      <w:proofErr w:type="spellEnd"/>
      <w:r w:rsidRPr="007F00DA">
        <w:rPr>
          <w:rFonts w:ascii="Times New Roman" w:hAnsi="Times New Roman" w:cs="Times New Roman"/>
        </w:rPr>
        <w:t xml:space="preserve">) propor ação de petição de herança, na qual deverão </w:t>
      </w:r>
      <w:proofErr w:type="spellStart"/>
      <w:r w:rsidRPr="007F00DA">
        <w:rPr>
          <w:rFonts w:ascii="Times New Roman" w:hAnsi="Times New Roman" w:cs="Times New Roman"/>
        </w:rPr>
        <w:t>se</w:t>
      </w:r>
      <w:proofErr w:type="spellEnd"/>
      <w:r w:rsidRPr="007F00DA">
        <w:rPr>
          <w:rFonts w:ascii="Times New Roman" w:hAnsi="Times New Roman" w:cs="Times New Roman"/>
        </w:rPr>
        <w:t xml:space="preserve"> discutidas, na esfera das causas de pedir, a efetiva paternidade do falecido e a violação do direito hereditário...” [STJ, REsp n. 2.029.809/MG, Relator Ministro Marco Aurélio </w:t>
      </w:r>
      <w:proofErr w:type="spellStart"/>
      <w:r w:rsidRPr="007F00DA">
        <w:rPr>
          <w:rFonts w:ascii="Times New Roman" w:hAnsi="Times New Roman" w:cs="Times New Roman"/>
        </w:rPr>
        <w:t>Bellizze</w:t>
      </w:r>
      <w:proofErr w:type="spellEnd"/>
      <w:r w:rsidRPr="007F00DA">
        <w:rPr>
          <w:rFonts w:ascii="Times New Roman" w:hAnsi="Times New Roman" w:cs="Times New Roman"/>
        </w:rPr>
        <w:t xml:space="preserve">, Segunda Seção, </w:t>
      </w:r>
      <w:proofErr w:type="spellStart"/>
      <w:r w:rsidRPr="007F00DA">
        <w:rPr>
          <w:rFonts w:ascii="Times New Roman" w:hAnsi="Times New Roman" w:cs="Times New Roman"/>
        </w:rPr>
        <w:t>DJe</w:t>
      </w:r>
      <w:proofErr w:type="spellEnd"/>
      <w:r w:rsidRPr="007F00DA">
        <w:rPr>
          <w:rFonts w:ascii="Times New Roman" w:hAnsi="Times New Roman" w:cs="Times New Roman"/>
        </w:rPr>
        <w:t xml:space="preserve"> de 28.05.2024].)</w:t>
      </w:r>
    </w:p>
  </w:footnote>
  <w:footnote w:id="7">
    <w:p w14:paraId="1283BC69" w14:textId="78B8D643"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CC, art. 193. A prescrição pode ser alegada em qualquer grau de jurisdição, pela parte a quem aproveita.</w:t>
      </w:r>
    </w:p>
  </w:footnote>
  <w:footnote w:id="8">
    <w:p w14:paraId="5FF1D74C" w14:textId="33AF7A09" w:rsidR="007F00DA" w:rsidRPr="007F00DA" w:rsidRDefault="007F00DA" w:rsidP="007F00DA">
      <w:pPr>
        <w:pStyle w:val="Textodenotaderodap"/>
        <w:ind w:right="-568"/>
        <w:jc w:val="both"/>
        <w:rPr>
          <w:rFonts w:ascii="Times New Roman" w:hAnsi="Times New Roman" w:cs="Times New Roman"/>
        </w:rPr>
      </w:pPr>
      <w:r w:rsidRPr="007F00DA">
        <w:rPr>
          <w:rStyle w:val="Refdenotaderodap"/>
          <w:rFonts w:ascii="Times New Roman" w:hAnsi="Times New Roman" w:cs="Times New Roman"/>
        </w:rPr>
        <w:footnoteRef/>
      </w:r>
      <w:r w:rsidRPr="007F00DA">
        <w:rPr>
          <w:rFonts w:ascii="Times New Roman" w:hAnsi="Times New Roman" w:cs="Times New Roman"/>
        </w:rPr>
        <w:t xml:space="preserve"> </w:t>
      </w:r>
      <w:r w:rsidRPr="007F00DA">
        <w:rPr>
          <w:rFonts w:ascii="Times New Roman" w:hAnsi="Times New Roman" w:cs="Times New Roman"/>
        </w:rPr>
        <w:t xml:space="preserve">CPC, art. 487. Haverá resolução de mérito quando o </w:t>
      </w:r>
      <w:proofErr w:type="gramStart"/>
      <w:r w:rsidRPr="007F00DA">
        <w:rPr>
          <w:rFonts w:ascii="Times New Roman" w:hAnsi="Times New Roman" w:cs="Times New Roman"/>
        </w:rPr>
        <w:t>juiz:...</w:t>
      </w:r>
      <w:proofErr w:type="gramEnd"/>
      <w:r w:rsidRPr="007F00DA">
        <w:rPr>
          <w:rFonts w:ascii="Times New Roman" w:hAnsi="Times New Roman" w:cs="Times New Roman"/>
        </w:rPr>
        <w:t>II- decidir, de ofício ou a requerimento, sobre a ocorrência de decadência ou prescrição;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1546B"/>
    <w:multiLevelType w:val="hybridMultilevel"/>
    <w:tmpl w:val="DCF05DFC"/>
    <w:lvl w:ilvl="0" w:tplc="184EC5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3AC376E"/>
    <w:multiLevelType w:val="hybridMultilevel"/>
    <w:tmpl w:val="5BD42F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65564285">
    <w:abstractNumId w:val="0"/>
  </w:num>
  <w:num w:numId="2" w16cid:durableId="1416826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F4"/>
    <w:rsid w:val="001A05F4"/>
    <w:rsid w:val="002B384C"/>
    <w:rsid w:val="002C20C5"/>
    <w:rsid w:val="007F00DA"/>
    <w:rsid w:val="00981C5D"/>
    <w:rsid w:val="009B6C8A"/>
    <w:rsid w:val="00D22A76"/>
    <w:rsid w:val="00EE37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67FB"/>
  <w15:chartTrackingRefBased/>
  <w15:docId w15:val="{789611F9-75FF-4B5A-9BCA-F38B4F53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A05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A05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A05F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A05F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A05F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A05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05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05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05F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A05F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A05F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A05F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A05F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A05F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A05F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05F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05F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05F4"/>
    <w:rPr>
      <w:rFonts w:eastAsiaTheme="majorEastAsia" w:cstheme="majorBidi"/>
      <w:color w:val="272727" w:themeColor="text1" w:themeTint="D8"/>
    </w:rPr>
  </w:style>
  <w:style w:type="paragraph" w:styleId="Ttulo">
    <w:name w:val="Title"/>
    <w:basedOn w:val="Normal"/>
    <w:next w:val="Normal"/>
    <w:link w:val="TtuloChar"/>
    <w:uiPriority w:val="10"/>
    <w:qFormat/>
    <w:rsid w:val="001A0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05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A05F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05F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05F4"/>
    <w:pPr>
      <w:spacing w:before="160"/>
      <w:jc w:val="center"/>
    </w:pPr>
    <w:rPr>
      <w:i/>
      <w:iCs/>
      <w:color w:val="404040" w:themeColor="text1" w:themeTint="BF"/>
    </w:rPr>
  </w:style>
  <w:style w:type="character" w:customStyle="1" w:styleId="CitaoChar">
    <w:name w:val="Citação Char"/>
    <w:basedOn w:val="Fontepargpadro"/>
    <w:link w:val="Citao"/>
    <w:uiPriority w:val="29"/>
    <w:rsid w:val="001A05F4"/>
    <w:rPr>
      <w:i/>
      <w:iCs/>
      <w:color w:val="404040" w:themeColor="text1" w:themeTint="BF"/>
    </w:rPr>
  </w:style>
  <w:style w:type="paragraph" w:styleId="PargrafodaLista">
    <w:name w:val="List Paragraph"/>
    <w:basedOn w:val="Normal"/>
    <w:uiPriority w:val="34"/>
    <w:qFormat/>
    <w:rsid w:val="001A05F4"/>
    <w:pPr>
      <w:ind w:left="720"/>
      <w:contextualSpacing/>
    </w:pPr>
  </w:style>
  <w:style w:type="character" w:styleId="nfaseIntensa">
    <w:name w:val="Intense Emphasis"/>
    <w:basedOn w:val="Fontepargpadro"/>
    <w:uiPriority w:val="21"/>
    <w:qFormat/>
    <w:rsid w:val="001A05F4"/>
    <w:rPr>
      <w:i/>
      <w:iCs/>
      <w:color w:val="2F5496" w:themeColor="accent1" w:themeShade="BF"/>
    </w:rPr>
  </w:style>
  <w:style w:type="paragraph" w:styleId="CitaoIntensa">
    <w:name w:val="Intense Quote"/>
    <w:basedOn w:val="Normal"/>
    <w:next w:val="Normal"/>
    <w:link w:val="CitaoIntensaChar"/>
    <w:uiPriority w:val="30"/>
    <w:qFormat/>
    <w:rsid w:val="001A05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A05F4"/>
    <w:rPr>
      <w:i/>
      <w:iCs/>
      <w:color w:val="2F5496" w:themeColor="accent1" w:themeShade="BF"/>
    </w:rPr>
  </w:style>
  <w:style w:type="character" w:styleId="RefernciaIntensa">
    <w:name w:val="Intense Reference"/>
    <w:basedOn w:val="Fontepargpadro"/>
    <w:uiPriority w:val="32"/>
    <w:qFormat/>
    <w:rsid w:val="001A05F4"/>
    <w:rPr>
      <w:b/>
      <w:bCs/>
      <w:smallCaps/>
      <w:color w:val="2F5496" w:themeColor="accent1" w:themeShade="BF"/>
      <w:spacing w:val="5"/>
    </w:rPr>
  </w:style>
  <w:style w:type="paragraph" w:styleId="Textodenotaderodap">
    <w:name w:val="footnote text"/>
    <w:basedOn w:val="Normal"/>
    <w:link w:val="TextodenotaderodapChar"/>
    <w:uiPriority w:val="99"/>
    <w:unhideWhenUsed/>
    <w:rsid w:val="007F00DA"/>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7F00DA"/>
    <w:rPr>
      <w:sz w:val="20"/>
      <w:szCs w:val="20"/>
    </w:rPr>
  </w:style>
  <w:style w:type="character" w:styleId="Refdenotaderodap">
    <w:name w:val="footnote reference"/>
    <w:basedOn w:val="Fontepargpadro"/>
    <w:uiPriority w:val="99"/>
    <w:semiHidden/>
    <w:unhideWhenUsed/>
    <w:rsid w:val="007F00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369A0-DDE2-4D41-9E01-1E4A1181B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15</Pages>
  <Words>6041</Words>
  <Characters>32626</Characters>
  <Application>Microsoft Office Word</Application>
  <DocSecurity>0</DocSecurity>
  <Lines>271</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2026-08-24T20:19:00Z</dcterms:created>
  <dcterms:modified xsi:type="dcterms:W3CDTF">2026-08-24T21:25:00Z</dcterms:modified>
</cp:coreProperties>
</file>