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114B6" w14:textId="77777777" w:rsidR="00716AF1" w:rsidRPr="00716AF1" w:rsidRDefault="00716AF1" w:rsidP="00716AF1">
      <w:pPr>
        <w:spacing w:after="0" w:line="240" w:lineRule="auto"/>
        <w:ind w:right="-567"/>
        <w:jc w:val="center"/>
        <w:rPr>
          <w:rFonts w:ascii="Arial Black" w:hAnsi="Arial Black" w:cs="Times New Roman"/>
        </w:rPr>
      </w:pPr>
      <w:r w:rsidRPr="00716AF1">
        <w:rPr>
          <w:rFonts w:ascii="Arial Black" w:hAnsi="Arial Black" w:cs="Times New Roman"/>
        </w:rPr>
        <w:t>MODELO DE PETIÇÃO</w:t>
      </w:r>
    </w:p>
    <w:p w14:paraId="248BEB81" w14:textId="07439B95" w:rsidR="00716AF1" w:rsidRPr="00716AF1" w:rsidRDefault="00716AF1" w:rsidP="00716AF1">
      <w:pPr>
        <w:spacing w:after="0" w:line="240" w:lineRule="auto"/>
        <w:ind w:right="-567"/>
        <w:jc w:val="center"/>
        <w:rPr>
          <w:rFonts w:ascii="Arial Black" w:hAnsi="Arial Black" w:cs="Times New Roman"/>
        </w:rPr>
      </w:pPr>
      <w:r w:rsidRPr="00716AF1">
        <w:rPr>
          <w:rFonts w:ascii="Arial Black" w:hAnsi="Arial Black" w:cs="Times New Roman"/>
        </w:rPr>
        <w:t>RECUPERAÇÃO JUDICIA</w:t>
      </w:r>
      <w:r>
        <w:rPr>
          <w:rFonts w:ascii="Arial Black" w:hAnsi="Arial Black" w:cs="Times New Roman"/>
        </w:rPr>
        <w:t>L</w:t>
      </w:r>
      <w:r w:rsidRPr="00716AF1">
        <w:rPr>
          <w:rFonts w:ascii="Arial Black" w:hAnsi="Arial Black" w:cs="Times New Roman"/>
        </w:rPr>
        <w:t>. COOPERATIVA HABITACIONAL. LEGITIMIDADE.</w:t>
      </w:r>
      <w:r>
        <w:rPr>
          <w:rFonts w:ascii="Arial Black" w:hAnsi="Arial Black" w:cs="Times New Roman"/>
        </w:rPr>
        <w:t xml:space="preserve"> </w:t>
      </w:r>
      <w:r w:rsidRPr="00716AF1">
        <w:rPr>
          <w:rFonts w:ascii="Arial Black" w:hAnsi="Arial Black" w:cs="Times New Roman"/>
        </w:rPr>
        <w:t>INEXISTÊNCIA DE ARBITRAMENTO REGULATÓRIO.</w:t>
      </w:r>
    </w:p>
    <w:p w14:paraId="26D6702F" w14:textId="77777777" w:rsidR="00716AF1" w:rsidRPr="00716AF1" w:rsidRDefault="00716AF1" w:rsidP="00716AF1">
      <w:pPr>
        <w:spacing w:after="0" w:line="240" w:lineRule="auto"/>
        <w:ind w:right="-567"/>
        <w:jc w:val="center"/>
        <w:rPr>
          <w:rFonts w:ascii="Arial Black" w:hAnsi="Arial Black" w:cs="Times New Roman"/>
        </w:rPr>
      </w:pPr>
      <w:r w:rsidRPr="00716AF1">
        <w:rPr>
          <w:rFonts w:ascii="Arial Black" w:hAnsi="Arial Black" w:cs="Times New Roman"/>
        </w:rPr>
        <w:t>FUNÇÃO SOCIAL. CONTRARRAZÕES</w:t>
      </w:r>
    </w:p>
    <w:p w14:paraId="0B9A7705" w14:textId="77777777" w:rsidR="00716AF1" w:rsidRPr="00716AF1" w:rsidRDefault="00716AF1" w:rsidP="00716AF1">
      <w:pPr>
        <w:spacing w:after="0" w:line="240" w:lineRule="auto"/>
        <w:ind w:right="-567"/>
        <w:jc w:val="right"/>
        <w:rPr>
          <w:rFonts w:ascii="Times New Roman" w:hAnsi="Times New Roman" w:cs="Times New Roman"/>
        </w:rPr>
      </w:pPr>
      <w:proofErr w:type="spellStart"/>
      <w:r w:rsidRPr="00716AF1">
        <w:rPr>
          <w:rFonts w:ascii="Arial Black" w:hAnsi="Arial Black" w:cs="Times New Roman"/>
        </w:rPr>
        <w:t>Rénan</w:t>
      </w:r>
      <w:proofErr w:type="spellEnd"/>
      <w:r w:rsidRPr="00716AF1">
        <w:rPr>
          <w:rFonts w:ascii="Arial Black" w:hAnsi="Arial Black" w:cs="Times New Roman"/>
        </w:rPr>
        <w:t xml:space="preserve"> </w:t>
      </w:r>
      <w:proofErr w:type="spellStart"/>
      <w:r w:rsidRPr="00716AF1">
        <w:rPr>
          <w:rFonts w:ascii="Arial Black" w:hAnsi="Arial Black" w:cs="Times New Roman"/>
        </w:rPr>
        <w:t>Kfuri</w:t>
      </w:r>
      <w:proofErr w:type="spellEnd"/>
      <w:r w:rsidRPr="00716AF1">
        <w:rPr>
          <w:rFonts w:ascii="Arial Black" w:hAnsi="Arial Black" w:cs="Times New Roman"/>
        </w:rPr>
        <w:t xml:space="preserve"> Lopes</w:t>
      </w:r>
    </w:p>
    <w:p w14:paraId="6B06DA04" w14:textId="77777777" w:rsidR="00716AF1" w:rsidRDefault="00716AF1" w:rsidP="00716AF1">
      <w:pPr>
        <w:ind w:right="-568"/>
        <w:jc w:val="both"/>
        <w:rPr>
          <w:rFonts w:ascii="Times New Roman" w:hAnsi="Times New Roman" w:cs="Times New Roman"/>
        </w:rPr>
      </w:pPr>
    </w:p>
    <w:p w14:paraId="6724358B" w14:textId="3CA9DA4E"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E</w:t>
      </w:r>
      <w:r>
        <w:rPr>
          <w:rFonts w:ascii="Times New Roman" w:hAnsi="Times New Roman" w:cs="Times New Roman"/>
        </w:rPr>
        <w:t xml:space="preserve">xmo. Sr. Des. ... – DD Relator do Agravo de Instrumento n. ...- ... ª Câmara Cível </w:t>
      </w:r>
      <w:proofErr w:type="gramStart"/>
      <w:r>
        <w:rPr>
          <w:rFonts w:ascii="Times New Roman" w:hAnsi="Times New Roman" w:cs="Times New Roman"/>
        </w:rPr>
        <w:t>do  do</w:t>
      </w:r>
      <w:proofErr w:type="gramEnd"/>
      <w:r>
        <w:rPr>
          <w:rFonts w:ascii="Times New Roman" w:hAnsi="Times New Roman" w:cs="Times New Roman"/>
        </w:rPr>
        <w:t xml:space="preserve"> Egrégio Tribunal de Justiça de ...</w:t>
      </w:r>
    </w:p>
    <w:p w14:paraId="7326F627" w14:textId="05673FAE" w:rsidR="00716AF1" w:rsidRPr="00716AF1" w:rsidRDefault="00716AF1" w:rsidP="00716AF1">
      <w:pPr>
        <w:ind w:right="-568"/>
        <w:jc w:val="both"/>
        <w:rPr>
          <w:rFonts w:ascii="Times New Roman" w:hAnsi="Times New Roman" w:cs="Times New Roman"/>
        </w:rPr>
      </w:pPr>
      <w:r>
        <w:rPr>
          <w:rFonts w:ascii="Times New Roman" w:hAnsi="Times New Roman" w:cs="Times New Roman"/>
        </w:rPr>
        <w:t>(nome)</w:t>
      </w:r>
      <w:r w:rsidRPr="00716AF1">
        <w:rPr>
          <w:rFonts w:ascii="Times New Roman" w:hAnsi="Times New Roman" w:cs="Times New Roman"/>
        </w:rPr>
        <w:t xml:space="preserve">, já qualificada nos autos, por meio de seus advogados </w:t>
      </w:r>
      <w:r w:rsidRPr="00716AF1">
        <w:rPr>
          <w:rFonts w:ascii="Times New Roman" w:hAnsi="Times New Roman" w:cs="Times New Roman"/>
          <w:i/>
          <w:iCs/>
        </w:rPr>
        <w:t>in</w:t>
      </w:r>
      <w:r w:rsidRPr="00716AF1">
        <w:rPr>
          <w:rFonts w:ascii="Times New Roman" w:hAnsi="Times New Roman" w:cs="Times New Roman"/>
          <w:i/>
          <w:iCs/>
        </w:rPr>
        <w:t xml:space="preserve"> fine</w:t>
      </w:r>
      <w:r>
        <w:rPr>
          <w:rFonts w:ascii="Times New Roman" w:hAnsi="Times New Roman" w:cs="Times New Roman"/>
        </w:rPr>
        <w:t xml:space="preserve"> </w:t>
      </w:r>
      <w:r w:rsidRPr="00716AF1">
        <w:rPr>
          <w:rFonts w:ascii="Times New Roman" w:hAnsi="Times New Roman" w:cs="Times New Roman"/>
        </w:rPr>
        <w:t xml:space="preserve">assinados, respeitosamente vem perante Vossa Excelência, nos autos do Agravo de Instrumento interposto pelo MINISTÉRIO PÚBLICO DO ESTADO DE </w:t>
      </w:r>
      <w:r>
        <w:rPr>
          <w:rFonts w:ascii="Times New Roman" w:hAnsi="Times New Roman" w:cs="Times New Roman"/>
        </w:rPr>
        <w:t>...</w:t>
      </w:r>
      <w:r w:rsidRPr="00716AF1">
        <w:rPr>
          <w:rFonts w:ascii="Times New Roman" w:hAnsi="Times New Roman" w:cs="Times New Roman"/>
        </w:rPr>
        <w:t>, apresentar suas CONTRARRAZÕES RECURSAIS, fazendo-o pelos fatos e fundamentos a seguir articulados, requerendo, ao final, o não conhecimento do recurso ou, subsidiariamente, o seu integral desprovimento.</w:t>
      </w:r>
    </w:p>
    <w:p w14:paraId="704A9985" w14:textId="7E4D7BAD"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Agravo de Instrumento n. </w:t>
      </w:r>
      <w:r>
        <w:rPr>
          <w:rFonts w:ascii="Times New Roman" w:hAnsi="Times New Roman" w:cs="Times New Roman"/>
        </w:rPr>
        <w:t>...</w:t>
      </w:r>
    </w:p>
    <w:p w14:paraId="78F07A99" w14:textId="1FE22DC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Origem: Recuperação Judicial n. </w:t>
      </w:r>
      <w:r>
        <w:rPr>
          <w:rFonts w:ascii="Times New Roman" w:hAnsi="Times New Roman" w:cs="Times New Roman"/>
        </w:rPr>
        <w:t>...</w:t>
      </w:r>
      <w:r w:rsidRPr="00716AF1">
        <w:rPr>
          <w:rFonts w:ascii="Times New Roman" w:hAnsi="Times New Roman" w:cs="Times New Roman"/>
        </w:rPr>
        <w:t xml:space="preserve"> — </w:t>
      </w:r>
      <w:r>
        <w:rPr>
          <w:rFonts w:ascii="Times New Roman" w:hAnsi="Times New Roman" w:cs="Times New Roman"/>
        </w:rPr>
        <w:t>...</w:t>
      </w:r>
      <w:r w:rsidRPr="00716AF1">
        <w:rPr>
          <w:rFonts w:ascii="Times New Roman" w:hAnsi="Times New Roman" w:cs="Times New Roman"/>
        </w:rPr>
        <w:t xml:space="preserve">ª Vara de Falências e Recuperações Judiciais do Foro Central de </w:t>
      </w:r>
      <w:r>
        <w:rPr>
          <w:rFonts w:ascii="Times New Roman" w:hAnsi="Times New Roman" w:cs="Times New Roman"/>
        </w:rPr>
        <w:t>...</w:t>
      </w:r>
    </w:p>
    <w:p w14:paraId="3C9C4661" w14:textId="3CB9B49A"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Agravante: Ministério Público do Estado de </w:t>
      </w:r>
      <w:r>
        <w:rPr>
          <w:rFonts w:ascii="Times New Roman" w:hAnsi="Times New Roman" w:cs="Times New Roman"/>
        </w:rPr>
        <w:t>...</w:t>
      </w:r>
    </w:p>
    <w:p w14:paraId="33C84CF1" w14:textId="2F003F54"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Agravada: </w:t>
      </w:r>
      <w:r>
        <w:rPr>
          <w:rFonts w:ascii="Times New Roman" w:hAnsi="Times New Roman" w:cs="Times New Roman"/>
        </w:rPr>
        <w:t>...</w:t>
      </w:r>
    </w:p>
    <w:p w14:paraId="79C49977" w14:textId="342C2503"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Egrégio Tribunal, Colenda Câmara, Eminentes Desembargadores.</w:t>
      </w:r>
    </w:p>
    <w:p w14:paraId="0640753A"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 – SÍNTESE RECURSAL E DELIMITAÇÃO DA CONTROVÉRSIA</w:t>
      </w:r>
    </w:p>
    <w:p w14:paraId="71DDE372" w14:textId="134F1DFD"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Cuida-se de agravo de instrumento por meio do qual o Agravante impugna, com pedido de efeito suspensivo já concedido em cognição sumária, a legitimidade ativa da Agravada para requerer recuperação judicial — não obstante a Agravada seja qualificada, em centenas de decisões judiciais proferidas pelo e. Tribunal de Justiça de </w:t>
      </w:r>
      <w:r>
        <w:rPr>
          <w:rFonts w:ascii="Times New Roman" w:hAnsi="Times New Roman" w:cs="Times New Roman"/>
        </w:rPr>
        <w:t>...</w:t>
      </w:r>
      <w:r w:rsidRPr="00716AF1">
        <w:rPr>
          <w:rFonts w:ascii="Times New Roman" w:hAnsi="Times New Roman" w:cs="Times New Roman"/>
        </w:rPr>
        <w:t xml:space="preserve"> e pelo e. Superior Tribunal de Justiça, como incorporadora ou construtora, na condição de fornecedora de produtos ou prestadora de serviços, nos termos da Súmula n. 602 do e. STJ.</w:t>
      </w:r>
    </w:p>
    <w:p w14:paraId="686B8126" w14:textId="52EF083C"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O Agravante sustenta, em síntese, (i) a inexistência de recuperação judicial de cooperativa no ordenamento jurídico brasileiro; (</w:t>
      </w:r>
      <w:proofErr w:type="spellStart"/>
      <w:r w:rsidRPr="00716AF1">
        <w:rPr>
          <w:rFonts w:ascii="Times New Roman" w:hAnsi="Times New Roman" w:cs="Times New Roman"/>
        </w:rPr>
        <w:t>ii</w:t>
      </w:r>
      <w:proofErr w:type="spellEnd"/>
      <w:r w:rsidRPr="00716AF1">
        <w:rPr>
          <w:rFonts w:ascii="Times New Roman" w:hAnsi="Times New Roman" w:cs="Times New Roman"/>
        </w:rPr>
        <w:t>) a ilegitimidade ativa decorrente do princípio da tipicidade estrita do direito concursal; (</w:t>
      </w:r>
      <w:proofErr w:type="spellStart"/>
      <w:r w:rsidRPr="00716AF1">
        <w:rPr>
          <w:rFonts w:ascii="Times New Roman" w:hAnsi="Times New Roman" w:cs="Times New Roman"/>
        </w:rPr>
        <w:t>iii</w:t>
      </w:r>
      <w:proofErr w:type="spellEnd"/>
      <w:r w:rsidRPr="00716AF1">
        <w:rPr>
          <w:rFonts w:ascii="Times New Roman" w:hAnsi="Times New Roman" w:cs="Times New Roman"/>
        </w:rPr>
        <w:t>) o risco de criação pretoriana de um "</w:t>
      </w:r>
      <w:r w:rsidRPr="00716AF1">
        <w:rPr>
          <w:rFonts w:ascii="Times New Roman" w:hAnsi="Times New Roman" w:cs="Times New Roman"/>
          <w:i/>
          <w:iCs/>
        </w:rPr>
        <w:t>terceiro regime</w:t>
      </w:r>
      <w:r w:rsidRPr="00716AF1">
        <w:rPr>
          <w:rFonts w:ascii="Times New Roman" w:hAnsi="Times New Roman" w:cs="Times New Roman"/>
        </w:rPr>
        <w:t>" híbrido, com aproveitamento seletivo dos benefícios de dois regimes incompatíveis ("</w:t>
      </w:r>
      <w:r w:rsidRPr="00716AF1">
        <w:rPr>
          <w:rFonts w:ascii="Times New Roman" w:hAnsi="Times New Roman" w:cs="Times New Roman"/>
          <w:i/>
          <w:iCs/>
        </w:rPr>
        <w:t xml:space="preserve">cherry </w:t>
      </w:r>
      <w:proofErr w:type="spellStart"/>
      <w:r w:rsidRPr="00716AF1">
        <w:rPr>
          <w:rFonts w:ascii="Times New Roman" w:hAnsi="Times New Roman" w:cs="Times New Roman"/>
          <w:i/>
          <w:iCs/>
        </w:rPr>
        <w:t>picking</w:t>
      </w:r>
      <w:proofErr w:type="spellEnd"/>
      <w:r w:rsidRPr="00716AF1">
        <w:rPr>
          <w:rFonts w:ascii="Times New Roman" w:hAnsi="Times New Roman" w:cs="Times New Roman"/>
          <w:i/>
          <w:iCs/>
        </w:rPr>
        <w:t xml:space="preserve"> normativo</w:t>
      </w:r>
      <w:r w:rsidRPr="00716AF1">
        <w:rPr>
          <w:rFonts w:ascii="Times New Roman" w:hAnsi="Times New Roman" w:cs="Times New Roman"/>
        </w:rPr>
        <w:t>"); (</w:t>
      </w:r>
      <w:proofErr w:type="spellStart"/>
      <w:r w:rsidRPr="00716AF1">
        <w:rPr>
          <w:rFonts w:ascii="Times New Roman" w:hAnsi="Times New Roman" w:cs="Times New Roman"/>
        </w:rPr>
        <w:t>iv</w:t>
      </w:r>
      <w:proofErr w:type="spellEnd"/>
      <w:r w:rsidRPr="00716AF1">
        <w:rPr>
          <w:rFonts w:ascii="Times New Roman" w:hAnsi="Times New Roman" w:cs="Times New Roman"/>
        </w:rPr>
        <w:t xml:space="preserve">) a inadequação da estruturação da atividade da Agravada por meio de sociedades de propósito específico; (v) a existência de precedente da própria </w:t>
      </w:r>
      <w:r>
        <w:rPr>
          <w:rFonts w:ascii="Times New Roman" w:hAnsi="Times New Roman" w:cs="Times New Roman"/>
        </w:rPr>
        <w:t>...</w:t>
      </w:r>
      <w:r w:rsidRPr="00716AF1">
        <w:rPr>
          <w:rFonts w:ascii="Times New Roman" w:hAnsi="Times New Roman" w:cs="Times New Roman"/>
        </w:rPr>
        <w:t xml:space="preserve">ª Câmara Reservada de Direito Empresarial deste </w:t>
      </w:r>
      <w:proofErr w:type="spellStart"/>
      <w:r w:rsidRPr="00716AF1">
        <w:rPr>
          <w:rFonts w:ascii="Times New Roman" w:hAnsi="Times New Roman" w:cs="Times New Roman"/>
        </w:rPr>
        <w:t>Eg</w:t>
      </w:r>
      <w:proofErr w:type="spellEnd"/>
      <w:r w:rsidRPr="00716AF1">
        <w:rPr>
          <w:rFonts w:ascii="Times New Roman" w:hAnsi="Times New Roman" w:cs="Times New Roman"/>
        </w:rPr>
        <w:t>. Tribunal em sentido contrário; e (vi) a inaplicabilidade dos precedentes do e. STJ sobre cooperativas médicas ao presente caso.</w:t>
      </w:r>
    </w:p>
    <w:p w14:paraId="0F767DC4" w14:textId="77777777" w:rsidR="00716AF1" w:rsidRDefault="00716AF1" w:rsidP="00716AF1">
      <w:pPr>
        <w:ind w:right="-568"/>
        <w:jc w:val="both"/>
        <w:rPr>
          <w:rFonts w:ascii="Times New Roman" w:hAnsi="Times New Roman" w:cs="Times New Roman"/>
        </w:rPr>
      </w:pPr>
      <w:r w:rsidRPr="00716AF1">
        <w:rPr>
          <w:rFonts w:ascii="Times New Roman" w:hAnsi="Times New Roman" w:cs="Times New Roman"/>
        </w:rPr>
        <w:t>Como se demonstrará, item a item, nenhuma dessas teses subsiste ao exame do conjunto probatório e da própria coerência do sistema jurídico. Mais do que isso: cada uma delas, corretamente compreendida à luz dos fatos e da jurisprudência específica envolvendo a própria Agravada, conduz exatamente à conclusão oposta à pretendida pelo Agravante.</w:t>
      </w:r>
    </w:p>
    <w:p w14:paraId="50E91166" w14:textId="5BBBB0B5"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lastRenderedPageBreak/>
        <w:t xml:space="preserve">Antes de adentrar o mérito, é indispensável destacar — e será desenvolvido na preliminar abaixo — que o recurso interposto não impugna especificamente os fundamentos da decisão agravada, tampouco enfrenta a extensa e específica jurisprudência que qualifica a própria </w:t>
      </w:r>
      <w:r>
        <w:rPr>
          <w:rFonts w:ascii="Times New Roman" w:hAnsi="Times New Roman" w:cs="Times New Roman"/>
        </w:rPr>
        <w:t>...</w:t>
      </w:r>
      <w:r w:rsidRPr="00716AF1">
        <w:rPr>
          <w:rFonts w:ascii="Times New Roman" w:hAnsi="Times New Roman" w:cs="Times New Roman"/>
        </w:rPr>
        <w:t xml:space="preserve"> nominalmente, como incorporadora ou construtora, o que já bastaria, por si, ao não conhecimento do recurso.</w:t>
      </w:r>
    </w:p>
    <w:p w14:paraId="68F35661" w14:textId="4A76F402"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Superada essa questão processual, contudo, a Agravada enfrentará, com igual firmeza, cada um dos fundamentos de mérito deduzidos, de modo a não deixar margem para qualquer dúvida quanto à correção da r. decisão agravada.</w:t>
      </w:r>
    </w:p>
    <w:p w14:paraId="5A45B11C"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II – PRELIMINAR: VIOLAÇÃO AO PRINCÍPIO DA DIALETICIDADE RECURSAL — NÃO CONHECIMENTO DO RECURSO</w:t>
      </w:r>
    </w:p>
    <w:p w14:paraId="3EA87243"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O recurso não comporta conhecimento, na forma dos artigos 932, III, e 1.010, III, do Código de Processo Civil, por manifesta violação ao princípio da dialeticidade recursal.</w:t>
      </w:r>
    </w:p>
    <w:p w14:paraId="5F344E2D" w14:textId="7034B2EA"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 legitimidade ativa da Agravada foi examinada e reconhecida pelo i. Juízo de 1ª instância em duas oportunidades: primeiro, na decisão que determinou a constatação prévia (Ev. </w:t>
      </w:r>
      <w:r>
        <w:rPr>
          <w:rFonts w:ascii="Times New Roman" w:hAnsi="Times New Roman" w:cs="Times New Roman"/>
        </w:rPr>
        <w:t>...</w:t>
      </w:r>
      <w:r w:rsidRPr="00716AF1">
        <w:rPr>
          <w:rFonts w:ascii="Times New Roman" w:hAnsi="Times New Roman" w:cs="Times New Roman"/>
        </w:rPr>
        <w:t xml:space="preserve">), na qual se assentou, de forma pormenorizada, a existência de lacuna normativa e a necessidade de sua integração; e, depois, na própria decisão agravada (Ev. </w:t>
      </w:r>
      <w:r>
        <w:rPr>
          <w:rFonts w:ascii="Times New Roman" w:hAnsi="Times New Roman" w:cs="Times New Roman"/>
        </w:rPr>
        <w:t>...</w:t>
      </w:r>
      <w:r w:rsidRPr="00716AF1">
        <w:rPr>
          <w:rFonts w:ascii="Times New Roman" w:hAnsi="Times New Roman" w:cs="Times New Roman"/>
        </w:rPr>
        <w:t>), que reafirmou tais fundamentos à luz do laudo pericial produzido nos autos.</w:t>
      </w:r>
    </w:p>
    <w:p w14:paraId="74A80C61" w14:textId="1F8496AE"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Pois bem: em nenhum trecho da minuta recursal o Agravante enfrenta, especificamente, (i) a Súmula n. 602 do e. STJ; (</w:t>
      </w:r>
      <w:proofErr w:type="spellStart"/>
      <w:r w:rsidRPr="00716AF1">
        <w:rPr>
          <w:rFonts w:ascii="Times New Roman" w:hAnsi="Times New Roman" w:cs="Times New Roman"/>
        </w:rPr>
        <w:t>ii</w:t>
      </w:r>
      <w:proofErr w:type="spellEnd"/>
      <w:r w:rsidRPr="00716AF1">
        <w:rPr>
          <w:rFonts w:ascii="Times New Roman" w:hAnsi="Times New Roman" w:cs="Times New Roman"/>
        </w:rPr>
        <w:t>) os artigos 2º e 3º do Código de Defesa do Consumidor, cuja incidência sobre a Agravada foi reconhecida judicialmente de forma reiterada; (</w:t>
      </w:r>
      <w:proofErr w:type="spellStart"/>
      <w:r w:rsidRPr="00716AF1">
        <w:rPr>
          <w:rFonts w:ascii="Times New Roman" w:hAnsi="Times New Roman" w:cs="Times New Roman"/>
        </w:rPr>
        <w:t>iii</w:t>
      </w:r>
      <w:proofErr w:type="spellEnd"/>
      <w:r w:rsidRPr="00716AF1">
        <w:rPr>
          <w:rFonts w:ascii="Times New Roman" w:hAnsi="Times New Roman" w:cs="Times New Roman"/>
        </w:rPr>
        <w:t xml:space="preserve">) as Súmulas n. 1 e 2 deste e. Tribunal de Justiça de </w:t>
      </w:r>
      <w:r>
        <w:rPr>
          <w:rFonts w:ascii="Times New Roman" w:hAnsi="Times New Roman" w:cs="Times New Roman"/>
        </w:rPr>
        <w:t>...</w:t>
      </w:r>
      <w:r w:rsidRPr="00716AF1">
        <w:rPr>
          <w:rFonts w:ascii="Times New Roman" w:hAnsi="Times New Roman" w:cs="Times New Roman"/>
        </w:rPr>
        <w:t xml:space="preserve"> e a Súmula n. 543 do e. STJ, todas aplicadas especificamente contra a </w:t>
      </w:r>
      <w:r>
        <w:rPr>
          <w:rFonts w:ascii="Times New Roman" w:hAnsi="Times New Roman" w:cs="Times New Roman"/>
        </w:rPr>
        <w:t>...</w:t>
      </w:r>
      <w:r w:rsidRPr="00716AF1">
        <w:rPr>
          <w:rFonts w:ascii="Times New Roman" w:hAnsi="Times New Roman" w:cs="Times New Roman"/>
        </w:rPr>
        <w:t xml:space="preserve"> em centenas de processos; ou (</w:t>
      </w:r>
      <w:proofErr w:type="spellStart"/>
      <w:r w:rsidRPr="00716AF1">
        <w:rPr>
          <w:rFonts w:ascii="Times New Roman" w:hAnsi="Times New Roman" w:cs="Times New Roman"/>
        </w:rPr>
        <w:t>iv</w:t>
      </w:r>
      <w:proofErr w:type="spellEnd"/>
      <w:r w:rsidRPr="00716AF1">
        <w:rPr>
          <w:rFonts w:ascii="Times New Roman" w:hAnsi="Times New Roman" w:cs="Times New Roman"/>
        </w:rPr>
        <w:t>) as conclusões do laudo de constatação prévia (Ev. 16), que atestou tecnicamente a natureza empresarial da atividade desenvolvida.</w:t>
      </w:r>
    </w:p>
    <w:p w14:paraId="6DEFE4FD" w14:textId="35364E31"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O Agravante limita-se a reproduzir a literalidade dos artigos 1º da LFR e 982 do Código Civil, como se a qualificação da cooperativa fosse uma questão puramente abstrata e desvinculada do histórico fático-processual da própria Agravada — quando, na verdade, o cerne da decisão agravada está exatamente na coerência sistêmica entre o tratamento dado à </w:t>
      </w:r>
      <w:r>
        <w:rPr>
          <w:rFonts w:ascii="Times New Roman" w:hAnsi="Times New Roman" w:cs="Times New Roman"/>
        </w:rPr>
        <w:t>...</w:t>
      </w:r>
      <w:r w:rsidRPr="00716AF1">
        <w:rPr>
          <w:rFonts w:ascii="Times New Roman" w:hAnsi="Times New Roman" w:cs="Times New Roman"/>
        </w:rPr>
        <w:t xml:space="preserve"> nas ações individuais e o tratamento que se lhe pretende negar no processo coletivo. Ignorar esse argumento central, que é o fio condutor de toda a fundamentação recorrida, não é impugnação: é fuga do debate.</w:t>
      </w:r>
    </w:p>
    <w:p w14:paraId="123F8434" w14:textId="7F6277C0"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Nestes termos, requer-se o não conhecimento do recurso, por inobservância do ônus de impugnação específica.</w:t>
      </w:r>
    </w:p>
    <w:p w14:paraId="29BF675B"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III – DOS FATOS E DO ITER PROCESSUAL</w:t>
      </w:r>
    </w:p>
    <w:p w14:paraId="2EECC4D5" w14:textId="4A356103"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 xml:space="preserve">III.1 – A </w:t>
      </w:r>
      <w:r>
        <w:rPr>
          <w:rFonts w:ascii="Times New Roman" w:hAnsi="Times New Roman" w:cs="Times New Roman"/>
          <w:b/>
          <w:bCs/>
        </w:rPr>
        <w:t>...</w:t>
      </w:r>
      <w:r w:rsidRPr="00716AF1">
        <w:rPr>
          <w:rFonts w:ascii="Times New Roman" w:hAnsi="Times New Roman" w:cs="Times New Roman"/>
          <w:b/>
          <w:bCs/>
        </w:rPr>
        <w:t>: quase duas décadas de atividade econômica organizada</w:t>
      </w:r>
    </w:p>
    <w:p w14:paraId="4C47F0C0" w14:textId="55397F3A"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 </w:t>
      </w:r>
      <w:r>
        <w:rPr>
          <w:rFonts w:ascii="Times New Roman" w:hAnsi="Times New Roman" w:cs="Times New Roman"/>
        </w:rPr>
        <w:t xml:space="preserve">... </w:t>
      </w:r>
      <w:r w:rsidRPr="00716AF1">
        <w:rPr>
          <w:rFonts w:ascii="Times New Roman" w:hAnsi="Times New Roman" w:cs="Times New Roman"/>
        </w:rPr>
        <w:t xml:space="preserve">Cooperativa Habitacional é sociedade constituída em </w:t>
      </w:r>
      <w:r>
        <w:rPr>
          <w:rFonts w:ascii="Times New Roman" w:hAnsi="Times New Roman" w:cs="Times New Roman"/>
        </w:rPr>
        <w:t>...</w:t>
      </w:r>
      <w:r w:rsidRPr="00716AF1">
        <w:rPr>
          <w:rFonts w:ascii="Times New Roman" w:hAnsi="Times New Roman" w:cs="Times New Roman"/>
        </w:rPr>
        <w:t xml:space="preserve">, com sede na Capital </w:t>
      </w:r>
      <w:r>
        <w:rPr>
          <w:rFonts w:ascii="Times New Roman" w:hAnsi="Times New Roman" w:cs="Times New Roman"/>
        </w:rPr>
        <w:t>...</w:t>
      </w:r>
      <w:r w:rsidRPr="00716AF1">
        <w:rPr>
          <w:rFonts w:ascii="Times New Roman" w:hAnsi="Times New Roman" w:cs="Times New Roman"/>
        </w:rPr>
        <w:t xml:space="preserve">, que opera com mais de </w:t>
      </w:r>
      <w:r>
        <w:rPr>
          <w:rFonts w:ascii="Times New Roman" w:hAnsi="Times New Roman" w:cs="Times New Roman"/>
        </w:rPr>
        <w:t>...</w:t>
      </w:r>
      <w:r w:rsidRPr="00716AF1">
        <w:rPr>
          <w:rFonts w:ascii="Times New Roman" w:hAnsi="Times New Roman" w:cs="Times New Roman"/>
        </w:rPr>
        <w:t xml:space="preserve"> (</w:t>
      </w:r>
      <w:r>
        <w:rPr>
          <w:rFonts w:ascii="Times New Roman" w:hAnsi="Times New Roman" w:cs="Times New Roman"/>
        </w:rPr>
        <w:t>...</w:t>
      </w:r>
      <w:r w:rsidRPr="00716AF1">
        <w:rPr>
          <w:rFonts w:ascii="Times New Roman" w:hAnsi="Times New Roman" w:cs="Times New Roman"/>
        </w:rPr>
        <w:t xml:space="preserve">) sócios cooperados ativos, tendo já entregado centenas de imóveis residenciais e gerado centenas de empregos diretos e indiretos, mediante aquisição de terrenos </w:t>
      </w:r>
      <w:r w:rsidRPr="00716AF1">
        <w:rPr>
          <w:rFonts w:ascii="Times New Roman" w:hAnsi="Times New Roman" w:cs="Times New Roman"/>
        </w:rPr>
        <w:lastRenderedPageBreak/>
        <w:t>e contratação de construtoras e empreiteiros — modelo de negócio destinado a viabilizar a casa própria a famílias sem acesso ao Sistema Financeiro de Habitação.</w:t>
      </w:r>
    </w:p>
    <w:p w14:paraId="7EEBD9A0"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A atividade é sustentada pelos aportes mensais de seus cooperados, destinados a Fundo Habitacional/Capital Social, Fundo Administrativo e Fundo de Contingência, conforme regramento estatutário (art. 7º e 9º do Estatuto Social). Para eficiência de gestão, a Agravada figura como única sócia de sete sociedades de propósito específico vinculadas a empreendimentos já entregues ou em construção — circunstância que será retomada, com resposta específica ao agravo, no item IV.5 abaixo.</w:t>
      </w:r>
    </w:p>
    <w:p w14:paraId="3908D433" w14:textId="3AD829F2"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 xml:space="preserve">III.2 – O reconhecimento da legitimidade ativa já na decisão do Evento </w:t>
      </w:r>
      <w:r>
        <w:rPr>
          <w:rFonts w:ascii="Times New Roman" w:hAnsi="Times New Roman" w:cs="Times New Roman"/>
          <w:b/>
          <w:bCs/>
        </w:rPr>
        <w:t>...</w:t>
      </w:r>
    </w:p>
    <w:p w14:paraId="22C172C9"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Antes mesmo da decisão que ora se agrava, o i. Juízo de 1ª instância já havia enfrentado a questão da legitimidade ativa, ao determinar a realização de constatação prévia (art. 51-A da LFR). Naquela oportunidade, fixou-se a premissa central que sustenta toda a lide: a de que a limitação subjetiva do art. 1º da LFR "</w:t>
      </w:r>
      <w:r w:rsidRPr="00716AF1">
        <w:rPr>
          <w:rFonts w:ascii="Times New Roman" w:hAnsi="Times New Roman" w:cs="Times New Roman"/>
          <w:i/>
          <w:iCs/>
        </w:rPr>
        <w:t>não pode ser tomada como cláusula de exclusão absoluta</w:t>
      </w:r>
      <w:r w:rsidRPr="00716AF1">
        <w:rPr>
          <w:rFonts w:ascii="Times New Roman" w:hAnsi="Times New Roman" w:cs="Times New Roman"/>
        </w:rPr>
        <w:t>" de entidade que, "</w:t>
      </w:r>
      <w:r w:rsidRPr="00716AF1">
        <w:rPr>
          <w:rFonts w:ascii="Times New Roman" w:hAnsi="Times New Roman" w:cs="Times New Roman"/>
          <w:i/>
          <w:iCs/>
        </w:rPr>
        <w:t>embora formalmente constituída sob forma não empresarial, exerce atividade econômica organizada de produção ou circulação de bens, assume obrigações com terceiros e ostenta estrutura patrimonial e operacional complexa</w:t>
      </w:r>
      <w:r w:rsidRPr="00716AF1">
        <w:rPr>
          <w:rFonts w:ascii="Times New Roman" w:hAnsi="Times New Roman" w:cs="Times New Roman"/>
        </w:rPr>
        <w:t>".</w:t>
      </w:r>
    </w:p>
    <w:p w14:paraId="725D3CB8"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III.3 – O laudo de constatação prévia (art. 51-A da LFR)</w:t>
      </w:r>
    </w:p>
    <w:p w14:paraId="7DEF456B" w14:textId="7B1A89C8"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Realizada diligência in loco na sede administrativa da Agravada e nos empreendimentos de </w:t>
      </w:r>
      <w:r>
        <w:rPr>
          <w:rFonts w:ascii="Times New Roman" w:hAnsi="Times New Roman" w:cs="Times New Roman"/>
        </w:rPr>
        <w:t>...</w:t>
      </w:r>
      <w:r w:rsidRPr="00716AF1">
        <w:rPr>
          <w:rFonts w:ascii="Times New Roman" w:hAnsi="Times New Roman" w:cs="Times New Roman"/>
        </w:rPr>
        <w:t xml:space="preserve">, </w:t>
      </w:r>
      <w:r>
        <w:rPr>
          <w:rFonts w:ascii="Times New Roman" w:hAnsi="Times New Roman" w:cs="Times New Roman"/>
        </w:rPr>
        <w:t>...</w:t>
      </w:r>
      <w:r w:rsidRPr="00716AF1">
        <w:rPr>
          <w:rFonts w:ascii="Times New Roman" w:hAnsi="Times New Roman" w:cs="Times New Roman"/>
        </w:rPr>
        <w:t xml:space="preserve"> e </w:t>
      </w:r>
      <w:r>
        <w:rPr>
          <w:rFonts w:ascii="Times New Roman" w:hAnsi="Times New Roman" w:cs="Times New Roman"/>
        </w:rPr>
        <w:t>...</w:t>
      </w:r>
      <w:r w:rsidRPr="00716AF1">
        <w:rPr>
          <w:rFonts w:ascii="Times New Roman" w:hAnsi="Times New Roman" w:cs="Times New Roman"/>
        </w:rPr>
        <w:t>, a perícia confirmou o integral atendimento dos requisitos dos artigos 48 e 51 da LFR, a regularidade da atividade, a inexistência de condenações dos administradores e a viabilidade econômica, tendo concluído, tecnicamente, que a Agravada "</w:t>
      </w:r>
      <w:r w:rsidRPr="00716AF1">
        <w:rPr>
          <w:rFonts w:ascii="Times New Roman" w:hAnsi="Times New Roman" w:cs="Times New Roman"/>
          <w:i/>
          <w:iCs/>
        </w:rPr>
        <w:t>desempenha atividade econômica organizada, dotada de habitualidade, profissionalidade e finalidade produtiva voltada à circulação de bens, com presença dos elementos caracterizadores da empresa</w:t>
      </w:r>
      <w:r w:rsidRPr="00716AF1">
        <w:rPr>
          <w:rFonts w:ascii="Times New Roman" w:hAnsi="Times New Roman" w:cs="Times New Roman"/>
        </w:rPr>
        <w:t>".</w:t>
      </w:r>
    </w:p>
    <w:p w14:paraId="5F470D56" w14:textId="22ECBAD4"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 xml:space="preserve">III.4 – A decisão agravada (Evento </w:t>
      </w:r>
      <w:r>
        <w:rPr>
          <w:rFonts w:ascii="Times New Roman" w:hAnsi="Times New Roman" w:cs="Times New Roman"/>
          <w:b/>
          <w:bCs/>
        </w:rPr>
        <w:t>...</w:t>
      </w:r>
      <w:r w:rsidRPr="00716AF1">
        <w:rPr>
          <w:rFonts w:ascii="Times New Roman" w:hAnsi="Times New Roman" w:cs="Times New Roman"/>
          <w:b/>
          <w:bCs/>
        </w:rPr>
        <w:t>)</w:t>
      </w:r>
    </w:p>
    <w:p w14:paraId="43D772A2" w14:textId="439E2E6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Com base nesses elementos, a r. decisão agravada deferiu o processamento da recuperação judicial, reconhecendo, em síntese, que (i) há lacuna normativa insuprimível pelo silêncio; (</w:t>
      </w:r>
      <w:proofErr w:type="spellStart"/>
      <w:r w:rsidRPr="00716AF1">
        <w:rPr>
          <w:rFonts w:ascii="Times New Roman" w:hAnsi="Times New Roman" w:cs="Times New Roman"/>
        </w:rPr>
        <w:t>ii</w:t>
      </w:r>
      <w:proofErr w:type="spellEnd"/>
      <w:r w:rsidRPr="00716AF1">
        <w:rPr>
          <w:rFonts w:ascii="Times New Roman" w:hAnsi="Times New Roman" w:cs="Times New Roman"/>
        </w:rPr>
        <w:t>) o art. 47 da LFR tutela a atividade econômica organizada em sentido funcional; e, sobretudo, (</w:t>
      </w:r>
      <w:proofErr w:type="spellStart"/>
      <w:r w:rsidRPr="00716AF1">
        <w:rPr>
          <w:rFonts w:ascii="Times New Roman" w:hAnsi="Times New Roman" w:cs="Times New Roman"/>
        </w:rPr>
        <w:t>iii</w:t>
      </w:r>
      <w:proofErr w:type="spellEnd"/>
      <w:r w:rsidRPr="00716AF1">
        <w:rPr>
          <w:rFonts w:ascii="Times New Roman" w:hAnsi="Times New Roman" w:cs="Times New Roman"/>
        </w:rPr>
        <w:t xml:space="preserve">) o próprio comportamento sistemático do Poder Judiciário — inclusive do e. STJ, em processo nominalmente movido pela Agravada — impõe a conclusão de que não é lícito qualificar a </w:t>
      </w:r>
      <w:r>
        <w:rPr>
          <w:rFonts w:ascii="Times New Roman" w:hAnsi="Times New Roman" w:cs="Times New Roman"/>
        </w:rPr>
        <w:t>...</w:t>
      </w:r>
      <w:r w:rsidRPr="00716AF1">
        <w:rPr>
          <w:rFonts w:ascii="Times New Roman" w:hAnsi="Times New Roman" w:cs="Times New Roman"/>
        </w:rPr>
        <w:t xml:space="preserve"> como agente empresarial para fins de responsabilização e, simultaneamente, negar-lhe a natureza empresarial para fins de acesso aos instrumentos de superação de crise.</w:t>
      </w:r>
    </w:p>
    <w:p w14:paraId="3B559B40"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III.5 – O efeito suspensivo concedido em cognição sumária</w:t>
      </w:r>
    </w:p>
    <w:p w14:paraId="353B88AF" w14:textId="1ACBCF6C"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Em </w:t>
      </w:r>
      <w:r>
        <w:rPr>
          <w:rFonts w:ascii="Times New Roman" w:hAnsi="Times New Roman" w:cs="Times New Roman"/>
        </w:rPr>
        <w:t>...</w:t>
      </w:r>
      <w:r w:rsidRPr="00716AF1">
        <w:rPr>
          <w:rFonts w:ascii="Times New Roman" w:hAnsi="Times New Roman" w:cs="Times New Roman"/>
        </w:rPr>
        <w:t>, o e. Relator concedeu efeito suspensivo ao recurso, em juízo de cognição sumária, consignando que, "</w:t>
      </w:r>
      <w:r w:rsidRPr="00716AF1">
        <w:rPr>
          <w:rFonts w:ascii="Times New Roman" w:hAnsi="Times New Roman" w:cs="Times New Roman"/>
          <w:i/>
          <w:iCs/>
        </w:rPr>
        <w:t>em cognição sumária, a Lei 14.112/20, no § 13 do art. 6º da Lei nº 11.101/05, incluiu apenas as cooperativas médicas de assistência à saúde no regime da Lei de Falências e Recuperações Judiciais</w:t>
      </w:r>
      <w:r w:rsidRPr="00716AF1">
        <w:rPr>
          <w:rFonts w:ascii="Times New Roman" w:hAnsi="Times New Roman" w:cs="Times New Roman"/>
        </w:rPr>
        <w:t xml:space="preserve">". Trata-se, como o próprio termo indica, de juízo provisório, proferido sem contraditório prévio da Agravada, e que estas contrarrazões pretendem, com o devido respeito, demonstrar não subsistir a um exame mais detido da questão, inclusive porque a própria origem legislativa do § 13 do art. 6º da LFR — como se verá no item IV.9 — foi </w:t>
      </w:r>
      <w:r w:rsidRPr="00716AF1">
        <w:rPr>
          <w:rFonts w:ascii="Times New Roman" w:hAnsi="Times New Roman" w:cs="Times New Roman"/>
        </w:rPr>
        <w:lastRenderedPageBreak/>
        <w:t>expressamente qualificada pelo e. STF como interpretação meramente exemplificativa (</w:t>
      </w:r>
      <w:proofErr w:type="spellStart"/>
      <w:r w:rsidRPr="00716AF1">
        <w:rPr>
          <w:rFonts w:ascii="Times New Roman" w:hAnsi="Times New Roman" w:cs="Times New Roman"/>
          <w:i/>
          <w:iCs/>
        </w:rPr>
        <w:t>numerus</w:t>
      </w:r>
      <w:proofErr w:type="spellEnd"/>
      <w:r w:rsidRPr="00716AF1">
        <w:rPr>
          <w:rFonts w:ascii="Times New Roman" w:hAnsi="Times New Roman" w:cs="Times New Roman"/>
          <w:i/>
          <w:iCs/>
        </w:rPr>
        <w:t xml:space="preserve"> </w:t>
      </w:r>
      <w:proofErr w:type="spellStart"/>
      <w:r w:rsidRPr="00716AF1">
        <w:rPr>
          <w:rFonts w:ascii="Times New Roman" w:hAnsi="Times New Roman" w:cs="Times New Roman"/>
          <w:i/>
          <w:iCs/>
        </w:rPr>
        <w:t>apertus</w:t>
      </w:r>
      <w:proofErr w:type="spellEnd"/>
      <w:r w:rsidRPr="00716AF1">
        <w:rPr>
          <w:rFonts w:ascii="Times New Roman" w:hAnsi="Times New Roman" w:cs="Times New Roman"/>
        </w:rPr>
        <w:t>), e não como rol taxativo.</w:t>
      </w:r>
    </w:p>
    <w:p w14:paraId="47F775DE"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IV – DO MÉRITO</w:t>
      </w:r>
    </w:p>
    <w:p w14:paraId="7B71ACBF"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IV.1 – Da inexistência de arbitragem regulatória: a inversão da premissa central do Agravante</w:t>
      </w:r>
    </w:p>
    <w:p w14:paraId="52FD1931"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O argumento mais sedutor do recurso — e por isso mesmo o que exige resposta mais cuidadosa — é o de que a decisão agravada teria criado um "</w:t>
      </w:r>
      <w:r w:rsidRPr="00716AF1">
        <w:rPr>
          <w:rFonts w:ascii="Times New Roman" w:hAnsi="Times New Roman" w:cs="Times New Roman"/>
          <w:i/>
          <w:iCs/>
        </w:rPr>
        <w:t>terceiro regime jurídico</w:t>
      </w:r>
      <w:r w:rsidRPr="00716AF1">
        <w:rPr>
          <w:rFonts w:ascii="Times New Roman" w:hAnsi="Times New Roman" w:cs="Times New Roman"/>
        </w:rPr>
        <w:t>", permitindo à Agravada "</w:t>
      </w:r>
      <w:r w:rsidRPr="00716AF1">
        <w:rPr>
          <w:rFonts w:ascii="Times New Roman" w:hAnsi="Times New Roman" w:cs="Times New Roman"/>
          <w:i/>
          <w:iCs/>
        </w:rPr>
        <w:t>captar recursos sob regime cooperativo (menos oneroso e menos regulado) e, em caso de crise, acessar a recuperação judicial</w:t>
      </w:r>
      <w:r w:rsidRPr="00716AF1">
        <w:rPr>
          <w:rFonts w:ascii="Times New Roman" w:hAnsi="Times New Roman" w:cs="Times New Roman"/>
        </w:rPr>
        <w:t>", em suposto "</w:t>
      </w:r>
      <w:r w:rsidRPr="00716AF1">
        <w:rPr>
          <w:rFonts w:ascii="Times New Roman" w:hAnsi="Times New Roman" w:cs="Times New Roman"/>
          <w:i/>
          <w:iCs/>
        </w:rPr>
        <w:t xml:space="preserve">cherry </w:t>
      </w:r>
      <w:proofErr w:type="spellStart"/>
      <w:r w:rsidRPr="00716AF1">
        <w:rPr>
          <w:rFonts w:ascii="Times New Roman" w:hAnsi="Times New Roman" w:cs="Times New Roman"/>
          <w:i/>
          <w:iCs/>
        </w:rPr>
        <w:t>picking</w:t>
      </w:r>
      <w:proofErr w:type="spellEnd"/>
      <w:r w:rsidRPr="00716AF1">
        <w:rPr>
          <w:rFonts w:ascii="Times New Roman" w:hAnsi="Times New Roman" w:cs="Times New Roman"/>
          <w:i/>
          <w:iCs/>
        </w:rPr>
        <w:t xml:space="preserve"> normativo</w:t>
      </w:r>
      <w:r w:rsidRPr="00716AF1">
        <w:rPr>
          <w:rFonts w:ascii="Times New Roman" w:hAnsi="Times New Roman" w:cs="Times New Roman"/>
        </w:rPr>
        <w:t>" que comprometeria a isonomia concorrencial e a segurança jurídica.</w:t>
      </w:r>
    </w:p>
    <w:p w14:paraId="52BC45BD" w14:textId="649304BE"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 premissa está invertida, e a inversão é decisiva para o desate da controvérsia. A </w:t>
      </w:r>
      <w:r>
        <w:rPr>
          <w:rFonts w:ascii="Times New Roman" w:hAnsi="Times New Roman" w:cs="Times New Roman"/>
        </w:rPr>
        <w:t>...</w:t>
      </w:r>
      <w:r w:rsidRPr="00716AF1">
        <w:rPr>
          <w:rFonts w:ascii="Times New Roman" w:hAnsi="Times New Roman" w:cs="Times New Roman"/>
        </w:rPr>
        <w:t xml:space="preserve">jamais escolheu submeter-se ao regime empresarial. Essa qualificação lhe foi imposta coercitivamente, ao longo de mais de dez anos, em mais de 1.500 (mil e quinhentas) ações judiciais individuais, por decisões que — com fundamento na Súmula n. 602 do e. STJ e nas Súmulas n. 1 e 2 deste </w:t>
      </w:r>
      <w:proofErr w:type="spellStart"/>
      <w:r w:rsidRPr="00716AF1">
        <w:rPr>
          <w:rFonts w:ascii="Times New Roman" w:hAnsi="Times New Roman" w:cs="Times New Roman"/>
        </w:rPr>
        <w:t>Eg</w:t>
      </w:r>
      <w:proofErr w:type="spellEnd"/>
      <w:r w:rsidRPr="00716AF1">
        <w:rPr>
          <w:rFonts w:ascii="Times New Roman" w:hAnsi="Times New Roman" w:cs="Times New Roman"/>
        </w:rPr>
        <w:t>. Tribunal — afastaram expressamente o regime mutualista e as normas estatutárias, para reconhecer que a Agravada "</w:t>
      </w:r>
      <w:r w:rsidRPr="00716AF1">
        <w:rPr>
          <w:rFonts w:ascii="Times New Roman" w:hAnsi="Times New Roman" w:cs="Times New Roman"/>
          <w:i/>
          <w:iCs/>
        </w:rPr>
        <w:t>não tem natureza nem características próprias de uma cooperativa</w:t>
      </w:r>
      <w:r w:rsidRPr="00716AF1">
        <w:rPr>
          <w:rFonts w:ascii="Times New Roman" w:hAnsi="Times New Roman" w:cs="Times New Roman"/>
        </w:rPr>
        <w:t xml:space="preserve">", qualificando-a como incorporadora ou construtora e seus </w:t>
      </w:r>
      <w:proofErr w:type="spellStart"/>
      <w:r w:rsidRPr="00716AF1">
        <w:rPr>
          <w:rFonts w:ascii="Times New Roman" w:hAnsi="Times New Roman" w:cs="Times New Roman"/>
        </w:rPr>
        <w:t>ex-cooperados</w:t>
      </w:r>
      <w:proofErr w:type="spellEnd"/>
      <w:r w:rsidRPr="00716AF1">
        <w:rPr>
          <w:rFonts w:ascii="Times New Roman" w:hAnsi="Times New Roman" w:cs="Times New Roman"/>
        </w:rPr>
        <w:t xml:space="preserve"> como consumidores finais, nos termos dos artigos 2º e 3º do Código de Defesa do Consumidor.</w:t>
      </w:r>
    </w:p>
    <w:p w14:paraId="1BCC54CE" w14:textId="1DBF3D5E"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Não há, portanto, escolha oportunista de regime mais favorável em cada momento. Há, isto sim, o inverso exato do que descreve o Agravante: a </w:t>
      </w:r>
      <w:r>
        <w:rPr>
          <w:rFonts w:ascii="Times New Roman" w:hAnsi="Times New Roman" w:cs="Times New Roman"/>
        </w:rPr>
        <w:t>...</w:t>
      </w:r>
      <w:r w:rsidRPr="00716AF1">
        <w:rPr>
          <w:rFonts w:ascii="Times New Roman" w:hAnsi="Times New Roman" w:cs="Times New Roman"/>
        </w:rPr>
        <w:t>suporta, compulsoriamente, os ônus do regime empresarial — devolução integral e imediata, sem a retenção de 20% (vinte por cento) prevista em seu Estatuto Social, acrescida de juros, correção monetária e honorários sucumbenciais — e, ao mesmo tempo, é-lhe negado o acesso aos instrumentos desse mesmo regime destinados à superação de crise. Não há "</w:t>
      </w:r>
      <w:r w:rsidRPr="00716AF1">
        <w:rPr>
          <w:rFonts w:ascii="Times New Roman" w:hAnsi="Times New Roman" w:cs="Times New Roman"/>
          <w:i/>
          <w:iCs/>
        </w:rPr>
        <w:t>melhor dos dois mundos</w:t>
      </w:r>
      <w:r w:rsidRPr="00716AF1">
        <w:rPr>
          <w:rFonts w:ascii="Times New Roman" w:hAnsi="Times New Roman" w:cs="Times New Roman"/>
        </w:rPr>
        <w:t>": há o pior deles.</w:t>
      </w:r>
    </w:p>
    <w:p w14:paraId="08DE20F5"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É exatamente esse o cerne do parecer técnico do professor Francisco </w:t>
      </w:r>
      <w:proofErr w:type="spellStart"/>
      <w:r w:rsidRPr="00716AF1">
        <w:rPr>
          <w:rFonts w:ascii="Times New Roman" w:hAnsi="Times New Roman" w:cs="Times New Roman"/>
        </w:rPr>
        <w:t>Satiro</w:t>
      </w:r>
      <w:proofErr w:type="spellEnd"/>
      <w:r w:rsidRPr="00716AF1">
        <w:rPr>
          <w:rFonts w:ascii="Times New Roman" w:hAnsi="Times New Roman" w:cs="Times New Roman"/>
        </w:rPr>
        <w:t xml:space="preserve"> Júnior, subscritor de parecer jurídico que instruiu a inicial e cuja conclusão, com a devida vênia, o Agravante sequer mencionou em sua peça recursal:</w:t>
      </w:r>
    </w:p>
    <w:p w14:paraId="4CA2FA5F"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w:t>
      </w:r>
      <w:r w:rsidRPr="00716AF1">
        <w:rPr>
          <w:rFonts w:ascii="Times New Roman" w:hAnsi="Times New Roman" w:cs="Times New Roman"/>
          <w:i/>
          <w:iCs/>
        </w:rPr>
        <w:t>O contrário implica encampar noção contraditória — e incoerente — da natureza da CONSULENTE e das cooperativas habitacionais: afasta-se as regras do regime cooperativista para submetê-las, como empresas, à legislação consumerista; mas, e diante da crise que resulta dessa qualificação, torna-se ao regime do cooperativismo — antes afastado — apenas para negar o acesso aos meios legais de reestruturação. [...] Logo, não se pode tratar a BAALBEK como empresa para impor os ônus típicos da atividade empresarial no trato com os cooperados e, ao mesmo tempo, negar-lhe o acesso aos meios de tratamento da crise. Se a sua atuação é empresarial, então deve se sujeitar ao regime jurídico das empresas — seja quanto à restituição de valores, seja quanto à possibilidade de reestruturar suas dívidas na forma da LRE</w:t>
      </w:r>
      <w:r w:rsidRPr="00716AF1">
        <w:rPr>
          <w:rFonts w:ascii="Times New Roman" w:hAnsi="Times New Roman" w:cs="Times New Roman"/>
        </w:rPr>
        <w:t>."</w:t>
      </w:r>
    </w:p>
    <w:p w14:paraId="236BDE2A"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A tese do "</w:t>
      </w:r>
      <w:r w:rsidRPr="00716AF1">
        <w:rPr>
          <w:rFonts w:ascii="Times New Roman" w:hAnsi="Times New Roman" w:cs="Times New Roman"/>
          <w:i/>
          <w:iCs/>
        </w:rPr>
        <w:t>terceiro regime</w:t>
      </w:r>
      <w:r w:rsidRPr="00716AF1">
        <w:rPr>
          <w:rFonts w:ascii="Times New Roman" w:hAnsi="Times New Roman" w:cs="Times New Roman"/>
        </w:rPr>
        <w:t xml:space="preserve">" pressupõe simetria de escolha que, no caso concreto, jamais existiu. Não há arbitragem regulatória onde não há arbítrio: há apenas a exigência, feita pela própria Agravada, de que o regime que lhe foi imposto pelo Judiciário — para todos os efeitos — seja </w:t>
      </w:r>
      <w:r w:rsidRPr="00716AF1">
        <w:rPr>
          <w:rFonts w:ascii="Times New Roman" w:hAnsi="Times New Roman" w:cs="Times New Roman"/>
        </w:rPr>
        <w:lastRenderedPageBreak/>
        <w:t>aplicado de forma completa e coerente, e não seletivamente, apenas em benefício dos credores individuais e em prejuízo da própria continuidade da atividade que sustenta, hoje, mais de 6.000 (seis mil) cooperados ativos e, por consequência, o próprio adimplemento de todos os créditos em disputa.</w:t>
      </w:r>
    </w:p>
    <w:p w14:paraId="7C36A7F4"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IV.2 – Da compatibilidade entre a tipicidade do direito concursal e a integração analógica da lacuna reconhecida</w:t>
      </w:r>
    </w:p>
    <w:p w14:paraId="57D62C68"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Sustenta o Agravante que "</w:t>
      </w:r>
      <w:r w:rsidRPr="00716AF1">
        <w:rPr>
          <w:rFonts w:ascii="Times New Roman" w:hAnsi="Times New Roman" w:cs="Times New Roman"/>
          <w:i/>
          <w:iCs/>
        </w:rPr>
        <w:t>o direito concursal é regido pelo princípio da tipicidade estrita</w:t>
      </w:r>
      <w:r w:rsidRPr="00716AF1">
        <w:rPr>
          <w:rFonts w:ascii="Times New Roman" w:hAnsi="Times New Roman" w:cs="Times New Roman"/>
        </w:rPr>
        <w:t>", de modo que não seria "</w:t>
      </w:r>
      <w:r w:rsidRPr="00716AF1">
        <w:rPr>
          <w:rFonts w:ascii="Times New Roman" w:hAnsi="Times New Roman" w:cs="Times New Roman"/>
          <w:i/>
          <w:iCs/>
        </w:rPr>
        <w:t>possível ampliar o rol de legitimados por analogia</w:t>
      </w:r>
      <w:r w:rsidRPr="00716AF1">
        <w:rPr>
          <w:rFonts w:ascii="Times New Roman" w:hAnsi="Times New Roman" w:cs="Times New Roman"/>
        </w:rPr>
        <w:t>", e que a decisão agravada, ao admitir o processamento, teria criado "</w:t>
      </w:r>
      <w:r w:rsidRPr="00716AF1">
        <w:rPr>
          <w:rFonts w:ascii="Times New Roman" w:hAnsi="Times New Roman" w:cs="Times New Roman"/>
          <w:i/>
          <w:iCs/>
        </w:rPr>
        <w:t>hipótese não prevista pelo legislador</w:t>
      </w:r>
      <w:r w:rsidRPr="00716AF1">
        <w:rPr>
          <w:rFonts w:ascii="Times New Roman" w:hAnsi="Times New Roman" w:cs="Times New Roman"/>
        </w:rPr>
        <w:t>".</w:t>
      </w:r>
    </w:p>
    <w:p w14:paraId="4E7279DB"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 premissa contém equívoco técnico que precisa ser destacado com precisão. Tipicidade, em direito concursal, opera como garantia do devedor e dos credores contra a instauração arbitrária de concurso de credores fora das hipóteses legais — não como vedação à integração de lacunas expressamente reconhecidas pelo próprio sistema legislativo. E o sistema da Lei n. 11.101/2005 já demonstra, em sua própria estrutura, que a inclusão de sociedades cooperativas não é estranha à sua lógica: o art. 2º, II, ao excluir nominalmente apenas a cooperativa de crédito do âmbito de incidência da Lei — e não as cooperativas em geral —, evidencia, a </w:t>
      </w:r>
      <w:proofErr w:type="spellStart"/>
      <w:r w:rsidRPr="00716AF1">
        <w:rPr>
          <w:rFonts w:ascii="Times New Roman" w:hAnsi="Times New Roman" w:cs="Times New Roman"/>
          <w:i/>
          <w:iCs/>
        </w:rPr>
        <w:t>contrario</w:t>
      </w:r>
      <w:proofErr w:type="spellEnd"/>
      <w:r w:rsidRPr="00716AF1">
        <w:rPr>
          <w:rFonts w:ascii="Times New Roman" w:hAnsi="Times New Roman" w:cs="Times New Roman"/>
          <w:i/>
          <w:iCs/>
        </w:rPr>
        <w:t xml:space="preserve"> sensu</w:t>
      </w:r>
      <w:r w:rsidRPr="00716AF1">
        <w:rPr>
          <w:rFonts w:ascii="Times New Roman" w:hAnsi="Times New Roman" w:cs="Times New Roman"/>
        </w:rPr>
        <w:t xml:space="preserve">, que as demais cooperativas, quanto aos atos não cooperativos, sujeitam-se ao regime </w:t>
      </w:r>
      <w:proofErr w:type="spellStart"/>
      <w:r w:rsidRPr="00716AF1">
        <w:rPr>
          <w:rFonts w:ascii="Times New Roman" w:hAnsi="Times New Roman" w:cs="Times New Roman"/>
        </w:rPr>
        <w:t>recuperacional</w:t>
      </w:r>
      <w:proofErr w:type="spellEnd"/>
      <w:r w:rsidRPr="00716AF1">
        <w:rPr>
          <w:rFonts w:ascii="Times New Roman" w:hAnsi="Times New Roman" w:cs="Times New Roman"/>
        </w:rPr>
        <w:t xml:space="preserve"> e falimentar. Não se trata de ampliação pretoriana do rol de legitimados, mas de leitura sistemática do próprio texto legal, tal como reconhecido pelo Ministro Cristiano Zanin, do e. STF, em julgamento que se examinará no item IV.9.</w:t>
      </w:r>
    </w:p>
    <w:p w14:paraId="18B9ABDD"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Ademais, a tipicidade que o Agravante invoca como princípio absoluto convive, na prática legislativa brasileira, com cláusulas gerais de integração expressamente autorizadas pelo próprio ordenamento — os artigos 4º e 5º da Lei de Introdução às Normas do Direito Brasileiro e o artigo 140 do Código de Processo Civil, todos aplicados pela r. decisão agravada. Não há, portanto, superação de tipicidade por discricionariedade judicial: há aplicação de métodos de integração previstos em lei, para lacuna que o próprio ordenamento reconhece existir, na medida em que positivou solução expressa apenas para cooperativas de crédito (exclusão) e cooperativas médicas (inclusão), silenciando quanto às demais.</w:t>
      </w:r>
    </w:p>
    <w:p w14:paraId="260306F1" w14:textId="27D805C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 xml:space="preserve">IV.3 – Da Súmula n. 602 do e. STJ e da jurisprudência específica que qualifica a própria </w:t>
      </w:r>
      <w:r>
        <w:rPr>
          <w:rFonts w:ascii="Times New Roman" w:hAnsi="Times New Roman" w:cs="Times New Roman"/>
          <w:b/>
          <w:bCs/>
        </w:rPr>
        <w:t>...</w:t>
      </w:r>
      <w:r w:rsidRPr="00716AF1">
        <w:rPr>
          <w:rFonts w:ascii="Times New Roman" w:hAnsi="Times New Roman" w:cs="Times New Roman"/>
          <w:b/>
          <w:bCs/>
        </w:rPr>
        <w:t xml:space="preserve"> como incorporadora</w:t>
      </w:r>
    </w:p>
    <w:p w14:paraId="5D2E143B" w14:textId="3BBBFE94"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Ainda que se pudesse cogitar, em tese, de dúvida quanto à aplicação genérica da recuperação judicial a cooperativas, tal dúvida se dissolve por completo diante da situação específica e individualizada da Agravada. Não se trata de sociedade cooperativa cuja natureza mutualista seja reconhecida ou presumida: trata-se de sociedade que o próprio Poder Judiciário </w:t>
      </w:r>
      <w:r>
        <w:rPr>
          <w:rFonts w:ascii="Times New Roman" w:hAnsi="Times New Roman" w:cs="Times New Roman"/>
        </w:rPr>
        <w:t>...</w:t>
      </w:r>
      <w:r w:rsidRPr="00716AF1">
        <w:rPr>
          <w:rFonts w:ascii="Times New Roman" w:hAnsi="Times New Roman" w:cs="Times New Roman"/>
        </w:rPr>
        <w:t xml:space="preserve">— em centenas de decisões de 1ª e 2ª instância — e o e. Superior Tribunal de Justiça — inclusive em processo em que a própria </w:t>
      </w:r>
      <w:r>
        <w:rPr>
          <w:rFonts w:ascii="Times New Roman" w:hAnsi="Times New Roman" w:cs="Times New Roman"/>
        </w:rPr>
        <w:t>...</w:t>
      </w:r>
      <w:r w:rsidRPr="00716AF1">
        <w:rPr>
          <w:rFonts w:ascii="Times New Roman" w:hAnsi="Times New Roman" w:cs="Times New Roman"/>
        </w:rPr>
        <w:t xml:space="preserve"> figurou nominalmente como parte (</w:t>
      </w:r>
      <w:proofErr w:type="spellStart"/>
      <w:r w:rsidRPr="00716AF1">
        <w:rPr>
          <w:rFonts w:ascii="Times New Roman" w:hAnsi="Times New Roman" w:cs="Times New Roman"/>
        </w:rPr>
        <w:t>AREsp</w:t>
      </w:r>
      <w:proofErr w:type="spellEnd"/>
      <w:r w:rsidRPr="00716AF1">
        <w:rPr>
          <w:rFonts w:ascii="Times New Roman" w:hAnsi="Times New Roman" w:cs="Times New Roman"/>
        </w:rPr>
        <w:t xml:space="preserve"> n. 2.842.773/SP, rel. Min. Daniela Teixeira, 3ª Turma, j. 20/10/2025) — declararam, de forma pacífica e reiterada, desprovida de "</w:t>
      </w:r>
      <w:r w:rsidRPr="00716AF1">
        <w:rPr>
          <w:rFonts w:ascii="Times New Roman" w:hAnsi="Times New Roman" w:cs="Times New Roman"/>
          <w:i/>
          <w:iCs/>
        </w:rPr>
        <w:t>natureza nem características próprias de uma cooperativa</w:t>
      </w:r>
      <w:r w:rsidRPr="00716AF1">
        <w:rPr>
          <w:rFonts w:ascii="Times New Roman" w:hAnsi="Times New Roman" w:cs="Times New Roman"/>
        </w:rPr>
        <w:t>", qualificando-a expressamente como incorporadora ou construtora imobiliária.</w:t>
      </w:r>
    </w:p>
    <w:p w14:paraId="4BCAFC9D"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lastRenderedPageBreak/>
        <w:t>Nesse precedente específico, de relatoria da Ministra Daniela Teixeira, o e. STJ assentou que o Tribunal de origem "</w:t>
      </w:r>
      <w:r w:rsidRPr="00716AF1">
        <w:rPr>
          <w:rFonts w:ascii="Times New Roman" w:hAnsi="Times New Roman" w:cs="Times New Roman"/>
          <w:i/>
          <w:iCs/>
        </w:rPr>
        <w:t>não se caracteriza como uma cooperativa típica, mas sim como uma entidade que exerce atividade de incorporação e construção imobiliária, atraindo, portanto, a incidência do CDC</w:t>
      </w:r>
      <w:r w:rsidRPr="00716AF1">
        <w:rPr>
          <w:rFonts w:ascii="Times New Roman" w:hAnsi="Times New Roman" w:cs="Times New Roman"/>
        </w:rPr>
        <w:t>", fundamentando-se na Súmula n. 602 do e. STJ.</w:t>
      </w:r>
    </w:p>
    <w:p w14:paraId="454A036D"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Essa reiteração específica, contra a mesma pessoa jurídica, em centenas de processos e em todas as instâncias — e não uma qualificação abstrata aplicável a cooperativas em geral — é o dado fático que distingue o presente caso de qualquer discussão puramente teórica sobre a natureza jurídica das cooperativas habitacionais, e é também o dado que o Agravante, em nenhum momento de sua peça recursal, enfrenta.</w:t>
      </w:r>
    </w:p>
    <w:p w14:paraId="4372581F" w14:textId="5CFDB66E"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 xml:space="preserve">IV.4 – Da inaplicabilidade do precedente invocado pelo Agravante (Agravo de Instrumento n. </w:t>
      </w:r>
      <w:r>
        <w:rPr>
          <w:rFonts w:ascii="Times New Roman" w:hAnsi="Times New Roman" w:cs="Times New Roman"/>
          <w:b/>
          <w:bCs/>
        </w:rPr>
        <w:t>...</w:t>
      </w:r>
      <w:r w:rsidRPr="00716AF1">
        <w:rPr>
          <w:rFonts w:ascii="Times New Roman" w:hAnsi="Times New Roman" w:cs="Times New Roman"/>
          <w:b/>
          <w:bCs/>
        </w:rPr>
        <w:t>)</w:t>
      </w:r>
    </w:p>
    <w:p w14:paraId="14AB69D7" w14:textId="798EFAA6"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O Agravante invoca, no item X de sua minuta, precedente da </w:t>
      </w:r>
      <w:r>
        <w:rPr>
          <w:rFonts w:ascii="Times New Roman" w:hAnsi="Times New Roman" w:cs="Times New Roman"/>
        </w:rPr>
        <w:t>...</w:t>
      </w:r>
      <w:r w:rsidRPr="00716AF1">
        <w:rPr>
          <w:rFonts w:ascii="Times New Roman" w:hAnsi="Times New Roman" w:cs="Times New Roman"/>
        </w:rPr>
        <w:t xml:space="preserve">ª Câmara Reservada de Direito Empresarial deste </w:t>
      </w:r>
      <w:proofErr w:type="spellStart"/>
      <w:r w:rsidRPr="00716AF1">
        <w:rPr>
          <w:rFonts w:ascii="Times New Roman" w:hAnsi="Times New Roman" w:cs="Times New Roman"/>
        </w:rPr>
        <w:t>Eg</w:t>
      </w:r>
      <w:proofErr w:type="spellEnd"/>
      <w:r w:rsidRPr="00716AF1">
        <w:rPr>
          <w:rFonts w:ascii="Times New Roman" w:hAnsi="Times New Roman" w:cs="Times New Roman"/>
        </w:rPr>
        <w:t xml:space="preserve">. Tribunal (AI n. </w:t>
      </w:r>
      <w:r>
        <w:rPr>
          <w:rFonts w:ascii="Times New Roman" w:hAnsi="Times New Roman" w:cs="Times New Roman"/>
        </w:rPr>
        <w:t>...</w:t>
      </w:r>
      <w:r w:rsidRPr="00716AF1">
        <w:rPr>
          <w:rFonts w:ascii="Times New Roman" w:hAnsi="Times New Roman" w:cs="Times New Roman"/>
        </w:rPr>
        <w:t>) como suposto óbice à legitimidade ativa de cooperativas para requerer recuperação judicial.</w:t>
      </w:r>
    </w:p>
    <w:p w14:paraId="0F082903" w14:textId="62A2716D"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Impõe-se, respeitosamente, o devido </w:t>
      </w:r>
      <w:r>
        <w:rPr>
          <w:rFonts w:ascii="Times New Roman" w:hAnsi="Times New Roman" w:cs="Times New Roman"/>
        </w:rPr>
        <w:t>..</w:t>
      </w:r>
      <w:r w:rsidRPr="00716AF1">
        <w:rPr>
          <w:rFonts w:ascii="Times New Roman" w:hAnsi="Times New Roman" w:cs="Times New Roman"/>
        </w:rPr>
        <w:t xml:space="preserve">. Referido precedente cuida de situação genérica e abstrata, sem qualquer histórico judicial prévio de reconhecimento, específico e reiterado, da empresarialidade da atividade da parte requerente — situação diametralmente distinta da que ora se examina. No caso da </w:t>
      </w:r>
      <w:r>
        <w:rPr>
          <w:rFonts w:ascii="Times New Roman" w:hAnsi="Times New Roman" w:cs="Times New Roman"/>
        </w:rPr>
        <w:t>...</w:t>
      </w:r>
      <w:r w:rsidRPr="00716AF1">
        <w:rPr>
          <w:rFonts w:ascii="Times New Roman" w:hAnsi="Times New Roman" w:cs="Times New Roman"/>
        </w:rPr>
        <w:t>, não se está a debater, em tese, se cooperativas *podem*, abstratamente, exercer atividade empresarial: está-se diante de sociedade que já foi, em processo específico e nominal perante o próprio e. STJ, declarada desprovida de natureza cooperativa e equiparada a incorporadora imobiliária (item IV.3, supra). Precedente que não enfrenta essa circunstância fática-jurídica específica — a existência de coisa julgada individual reiterada requalificando a natureza da própria parte — não pode ser invocado como identidade de razões (</w:t>
      </w:r>
      <w:proofErr w:type="spellStart"/>
      <w:r w:rsidRPr="00716AF1">
        <w:rPr>
          <w:rFonts w:ascii="Times New Roman" w:hAnsi="Times New Roman" w:cs="Times New Roman"/>
          <w:i/>
          <w:iCs/>
        </w:rPr>
        <w:t>ratio</w:t>
      </w:r>
      <w:proofErr w:type="spellEnd"/>
      <w:r w:rsidRPr="00716AF1">
        <w:rPr>
          <w:rFonts w:ascii="Times New Roman" w:hAnsi="Times New Roman" w:cs="Times New Roman"/>
          <w:i/>
          <w:iCs/>
        </w:rPr>
        <w:t xml:space="preserve"> </w:t>
      </w:r>
      <w:proofErr w:type="spellStart"/>
      <w:r w:rsidRPr="00716AF1">
        <w:rPr>
          <w:rFonts w:ascii="Times New Roman" w:hAnsi="Times New Roman" w:cs="Times New Roman"/>
          <w:i/>
          <w:iCs/>
        </w:rPr>
        <w:t>decidendi</w:t>
      </w:r>
      <w:proofErr w:type="spellEnd"/>
      <w:r w:rsidRPr="00716AF1">
        <w:rPr>
          <w:rFonts w:ascii="Times New Roman" w:hAnsi="Times New Roman" w:cs="Times New Roman"/>
        </w:rPr>
        <w:t>) apta a vincular o presente julgamento, sob pena de se igualar, para fins de legitimidade processual, situações jurídicas manifestamente distintas.</w:t>
      </w:r>
    </w:p>
    <w:p w14:paraId="471A0BA4"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Rogam-se vênias para reiterar: no precedente invocado pelo Agravante não se demonstra — porque, ao que consta, inexistente — o mesmo quadro de contradição sistêmica entre o tratamento dado à cooperativa nas relações individuais e o tratamento que se lhe pretenderia dar no processo coletivo. É exatamente essa contradição, ausente no paradigma trazido pelo MP, que constitui a *</w:t>
      </w:r>
      <w:proofErr w:type="spellStart"/>
      <w:r w:rsidRPr="00716AF1">
        <w:rPr>
          <w:rFonts w:ascii="Times New Roman" w:hAnsi="Times New Roman" w:cs="Times New Roman"/>
          <w:i/>
          <w:iCs/>
        </w:rPr>
        <w:t>ratio</w:t>
      </w:r>
      <w:proofErr w:type="spellEnd"/>
      <w:r w:rsidRPr="00716AF1">
        <w:rPr>
          <w:rFonts w:ascii="Times New Roman" w:hAnsi="Times New Roman" w:cs="Times New Roman"/>
          <w:i/>
          <w:iCs/>
        </w:rPr>
        <w:t xml:space="preserve"> </w:t>
      </w:r>
      <w:proofErr w:type="spellStart"/>
      <w:r w:rsidRPr="00716AF1">
        <w:rPr>
          <w:rFonts w:ascii="Times New Roman" w:hAnsi="Times New Roman" w:cs="Times New Roman"/>
          <w:i/>
          <w:iCs/>
        </w:rPr>
        <w:t>decidendi</w:t>
      </w:r>
      <w:proofErr w:type="spellEnd"/>
      <w:r w:rsidRPr="00716AF1">
        <w:rPr>
          <w:rFonts w:ascii="Times New Roman" w:hAnsi="Times New Roman" w:cs="Times New Roman"/>
        </w:rPr>
        <w:t>* da decisão ora agravada, tornando o precedente invocado inaplicável por ausência de identidade fático-jurídica essencial.</w:t>
      </w:r>
    </w:p>
    <w:p w14:paraId="4D3D6B38" w14:textId="77777777" w:rsidR="00716AF1" w:rsidRPr="00716AF1" w:rsidRDefault="00716AF1" w:rsidP="00716AF1">
      <w:pPr>
        <w:ind w:right="-568"/>
        <w:jc w:val="both"/>
        <w:rPr>
          <w:rFonts w:ascii="Times New Roman" w:hAnsi="Times New Roman" w:cs="Times New Roman"/>
          <w:b/>
          <w:bCs/>
        </w:rPr>
      </w:pPr>
      <w:r w:rsidRPr="00716AF1">
        <w:rPr>
          <w:rFonts w:ascii="Times New Roman" w:hAnsi="Times New Roman" w:cs="Times New Roman"/>
          <w:b/>
          <w:bCs/>
        </w:rPr>
        <w:t>IV.5 – Da estruturação por sociedades de propósito específico: matéria de fiscalização do Administrador Judicial, não de legitimidade ativa</w:t>
      </w:r>
    </w:p>
    <w:p w14:paraId="4847189D" w14:textId="14A38B6F"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O Agravante sustenta que a existência de sete sociedades de propósito específico ("SPEs"), das quais a </w:t>
      </w:r>
      <w:r>
        <w:rPr>
          <w:rFonts w:ascii="Times New Roman" w:hAnsi="Times New Roman" w:cs="Times New Roman"/>
        </w:rPr>
        <w:t>...</w:t>
      </w:r>
      <w:r w:rsidRPr="00716AF1">
        <w:rPr>
          <w:rFonts w:ascii="Times New Roman" w:hAnsi="Times New Roman" w:cs="Times New Roman"/>
        </w:rPr>
        <w:t xml:space="preserve"> é única sócia, constituídas entre </w:t>
      </w:r>
      <w:r>
        <w:rPr>
          <w:rFonts w:ascii="Times New Roman" w:hAnsi="Times New Roman" w:cs="Times New Roman"/>
        </w:rPr>
        <w:t>...</w:t>
      </w:r>
      <w:r w:rsidRPr="00716AF1">
        <w:rPr>
          <w:rFonts w:ascii="Times New Roman" w:hAnsi="Times New Roman" w:cs="Times New Roman"/>
        </w:rPr>
        <w:t xml:space="preserve"> e </w:t>
      </w:r>
      <w:r>
        <w:rPr>
          <w:rFonts w:ascii="Times New Roman" w:hAnsi="Times New Roman" w:cs="Times New Roman"/>
        </w:rPr>
        <w:t>...</w:t>
      </w:r>
      <w:r w:rsidRPr="00716AF1">
        <w:rPr>
          <w:rFonts w:ascii="Times New Roman" w:hAnsi="Times New Roman" w:cs="Times New Roman"/>
        </w:rPr>
        <w:t>, "</w:t>
      </w:r>
      <w:r w:rsidRPr="00716AF1">
        <w:rPr>
          <w:rFonts w:ascii="Times New Roman" w:hAnsi="Times New Roman" w:cs="Times New Roman"/>
          <w:i/>
          <w:iCs/>
        </w:rPr>
        <w:t>agravaria</w:t>
      </w:r>
      <w:r w:rsidRPr="00716AF1">
        <w:rPr>
          <w:rFonts w:ascii="Times New Roman" w:hAnsi="Times New Roman" w:cs="Times New Roman"/>
        </w:rPr>
        <w:t>" a inadequação do enquadramento jurídico pretendido, sugerindo risco de reorganização patrimonial prévia ao ajuizamento do pedido recuperatório.</w:t>
      </w:r>
    </w:p>
    <w:p w14:paraId="6A880DA2"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 alegação não resiste ao exame dos próprios autos. A utilização de sociedades de propósito específico para segregação de empreendimentos imobiliários é prática absolutamente ordinária </w:t>
      </w:r>
      <w:r w:rsidRPr="00716AF1">
        <w:rPr>
          <w:rFonts w:ascii="Times New Roman" w:hAnsi="Times New Roman" w:cs="Times New Roman"/>
        </w:rPr>
        <w:lastRenderedPageBreak/>
        <w:t>e amplamente disseminada no mercado da construção civil — inclusive, e sobretudo, entre incorporadoras e construtoras que o próprio Agravante reconheceria, sem hesitação, como legitimamente empresárias. Não há, em si, qualquer ilicitude ou anomalia na estruturação societária adotada.</w:t>
      </w:r>
    </w:p>
    <w:p w14:paraId="007FEE73"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Mais relevante ainda: a própria perícia de constatação prévia, determinada pelo i. Juízo de 1ª instância exatamente para escrutinar a regularidade do pedido, já examinou especificamente essa questão, tendo identificado as SPEs como "</w:t>
      </w:r>
      <w:r w:rsidRPr="00442FB7">
        <w:rPr>
          <w:rFonts w:ascii="Times New Roman" w:hAnsi="Times New Roman" w:cs="Times New Roman"/>
          <w:i/>
          <w:iCs/>
        </w:rPr>
        <w:t>veículos inerentes ao novo modelo operacional da requerente, voltado à segregação de empreendimentos</w:t>
      </w:r>
      <w:r w:rsidRPr="00716AF1">
        <w:rPr>
          <w:rFonts w:ascii="Times New Roman" w:hAnsi="Times New Roman" w:cs="Times New Roman"/>
        </w:rPr>
        <w:t>", e determinado que o Administrador Judicial investigue a proximidade temporal entre sua constituição e o ajuizamento do pedido, com atenção ao eventual trânsito de ativos e passivos.</w:t>
      </w:r>
    </w:p>
    <w:p w14:paraId="46EB6926"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Ou seja: a preocupação levantada pelo Agravante já foi identificada e endereçada pela própria decisão agravada, por meio do instrumento processual próprio — a fiscalização contínua do Administrador Judicial, prevista nos artigos 22, I e II, da LFR —, e não pela via excepcional e desproporcional da extinção liminar do processo, sem resolução de mérito, antes mesmo de qualquer apuração fática. Transformar uma questão de fiscalização, já prevista e em curso, em fundamento de ilegitimidade ativa é confundir etapas processuais distintas e, com a devida vênia, subverter a lógica protetiva que a própria recuperação judicial – com a supervisão do administrador judicial e a intervenção do Ministério Público – está estruturalmente desenhada para exercer.</w:t>
      </w:r>
    </w:p>
    <w:p w14:paraId="502DB990" w14:textId="77777777" w:rsidR="00716AF1" w:rsidRPr="00442FB7" w:rsidRDefault="00716AF1" w:rsidP="00716AF1">
      <w:pPr>
        <w:ind w:right="-568"/>
        <w:jc w:val="both"/>
        <w:rPr>
          <w:rFonts w:ascii="Times New Roman" w:hAnsi="Times New Roman" w:cs="Times New Roman"/>
          <w:b/>
          <w:bCs/>
        </w:rPr>
      </w:pPr>
      <w:r w:rsidRPr="00442FB7">
        <w:rPr>
          <w:rFonts w:ascii="Times New Roman" w:hAnsi="Times New Roman" w:cs="Times New Roman"/>
          <w:b/>
          <w:bCs/>
        </w:rPr>
        <w:t>IV.6 – Da inadequação da desconsideração da personalidade jurídica como alternativa à recuperação judicial</w:t>
      </w:r>
    </w:p>
    <w:p w14:paraId="053497B1"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Argumenta o Agravante que a solução juridicamente adequada, em caso de desvio de finalidade da cooperativa, seria "</w:t>
      </w:r>
      <w:r w:rsidRPr="00442FB7">
        <w:rPr>
          <w:rFonts w:ascii="Times New Roman" w:hAnsi="Times New Roman" w:cs="Times New Roman"/>
          <w:i/>
          <w:iCs/>
        </w:rPr>
        <w:t>a desconsideração da personalidade jurídica, a responsabilização dos dirigentes e a requalificação integral da atividade como empresarial</w:t>
      </w:r>
      <w:r w:rsidRPr="00716AF1">
        <w:rPr>
          <w:rFonts w:ascii="Times New Roman" w:hAnsi="Times New Roman" w:cs="Times New Roman"/>
        </w:rPr>
        <w:t>" — e não a recuperação judicial.</w:t>
      </w:r>
    </w:p>
    <w:p w14:paraId="4DAC14A0"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O argumento não pode prosperar, por duas razões autônomas e suficientes. Em primeiro lugar, a desconsideração da personalidade jurídica é instrumento de responsabilização individual, processado incidentalmente, processo a processo — absolutamente incompatível com a natureza coletiva, coordenada e universal da crise que atinge, hoje, mais de 1.500 (mil e quinhentos) credores disputando simultaneamente o mesmo patrimônio da Agravada em execuções fragmentadas. É exatamente esse quadro de disputa desordenada que a recuperação judicial existe para substituir, submetendo todos os credores a tratamento isonômico e coordenado, sob supervisão judicial e ministerial — nas precisas palavras da r. decisão agravada, "</w:t>
      </w:r>
      <w:r w:rsidRPr="00442FB7">
        <w:rPr>
          <w:rFonts w:ascii="Times New Roman" w:hAnsi="Times New Roman" w:cs="Times New Roman"/>
          <w:i/>
          <w:iCs/>
        </w:rPr>
        <w:t>o processamento da recuperação judicial permitirá que esses créditos sejam tratados de forma isonômica e coordenada, aumentando as chances de cada credor de receber, ao longo do tempo, montante superior ao que obteria na insolvência desordenada da requerente</w:t>
      </w:r>
      <w:r w:rsidRPr="00716AF1">
        <w:rPr>
          <w:rFonts w:ascii="Times New Roman" w:hAnsi="Times New Roman" w:cs="Times New Roman"/>
        </w:rPr>
        <w:t>".</w:t>
      </w:r>
    </w:p>
    <w:p w14:paraId="5DA02839" w14:textId="7C343F6A"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Em segundo lugar — e o dado é revelador —, o próprio Agravante, apesar de sua "</w:t>
      </w:r>
      <w:r w:rsidRPr="00442FB7">
        <w:rPr>
          <w:rFonts w:ascii="Times New Roman" w:hAnsi="Times New Roman" w:cs="Times New Roman"/>
          <w:i/>
          <w:iCs/>
        </w:rPr>
        <w:t>atuação como fiscal da ordem jurídica</w:t>
      </w:r>
      <w:r w:rsidRPr="00716AF1">
        <w:rPr>
          <w:rFonts w:ascii="Times New Roman" w:hAnsi="Times New Roman" w:cs="Times New Roman"/>
        </w:rPr>
        <w:t xml:space="preserve">" nos exatos termos em que descreve sua legitimidade recursal, jamais requereu a desconsideração da personalidade jurídica da </w:t>
      </w:r>
      <w:r w:rsidR="00442FB7">
        <w:rPr>
          <w:rFonts w:ascii="Times New Roman" w:hAnsi="Times New Roman" w:cs="Times New Roman"/>
        </w:rPr>
        <w:t>...</w:t>
      </w:r>
      <w:r w:rsidRPr="00716AF1">
        <w:rPr>
          <w:rFonts w:ascii="Times New Roman" w:hAnsi="Times New Roman" w:cs="Times New Roman"/>
        </w:rPr>
        <w:t xml:space="preserve"> em qualquer das 1.500 (mil </w:t>
      </w:r>
      <w:r w:rsidRPr="00716AF1">
        <w:rPr>
          <w:rFonts w:ascii="Times New Roman" w:hAnsi="Times New Roman" w:cs="Times New Roman"/>
        </w:rPr>
        <w:lastRenderedPageBreak/>
        <w:t>e quinhentas) ações individuais atualmente em curso. A "</w:t>
      </w:r>
      <w:r w:rsidRPr="00442FB7">
        <w:rPr>
          <w:rFonts w:ascii="Times New Roman" w:hAnsi="Times New Roman" w:cs="Times New Roman"/>
          <w:i/>
          <w:iCs/>
        </w:rPr>
        <w:t>solução alternativa</w:t>
      </w:r>
      <w:r w:rsidRPr="00716AF1">
        <w:rPr>
          <w:rFonts w:ascii="Times New Roman" w:hAnsi="Times New Roman" w:cs="Times New Roman"/>
        </w:rPr>
        <w:t>" agora proposta em sede recursal, e apenas em tese, não corresponde a nenhuma medida concreta efetivamente adotada pelo próprio proponente, o que evidencia tratar-se de argumento de ocasião, incapaz de suprir a lacuna normativa que a decisão agravada corretamente identificou e supriu pelos meios processuais adequados.</w:t>
      </w:r>
    </w:p>
    <w:p w14:paraId="6433F456" w14:textId="77777777" w:rsidR="00716AF1" w:rsidRPr="00442FB7" w:rsidRDefault="00716AF1" w:rsidP="00716AF1">
      <w:pPr>
        <w:ind w:right="-568"/>
        <w:jc w:val="both"/>
        <w:rPr>
          <w:rFonts w:ascii="Times New Roman" w:hAnsi="Times New Roman" w:cs="Times New Roman"/>
          <w:b/>
          <w:bCs/>
        </w:rPr>
      </w:pPr>
      <w:r w:rsidRPr="00442FB7">
        <w:rPr>
          <w:rFonts w:ascii="Times New Roman" w:hAnsi="Times New Roman" w:cs="Times New Roman"/>
          <w:b/>
          <w:bCs/>
        </w:rPr>
        <w:t>IV.7 – Da função social como critério de integração da lacuna normativa, e não como fundamento autônomo de flexibilização de requisito legal</w:t>
      </w:r>
    </w:p>
    <w:p w14:paraId="38317B15"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Argumenta, por fim, o Agravante que "</w:t>
      </w:r>
      <w:r w:rsidRPr="00442FB7">
        <w:rPr>
          <w:rFonts w:ascii="Times New Roman" w:hAnsi="Times New Roman" w:cs="Times New Roman"/>
          <w:i/>
          <w:iCs/>
        </w:rPr>
        <w:t>a função social da empresa não pode ser utilizada como fundamento para afastar requisitos legais expressos</w:t>
      </w:r>
      <w:r w:rsidRPr="00716AF1">
        <w:rPr>
          <w:rFonts w:ascii="Times New Roman" w:hAnsi="Times New Roman" w:cs="Times New Roman"/>
        </w:rPr>
        <w:t>", como se a decisão agravada tivesse substituído a lei por considerações de equidade.</w:t>
      </w:r>
    </w:p>
    <w:p w14:paraId="5D4BA76C"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O argumento incorre em imprecisão conceitual que compromete sua própria base. A r. decisão agravada não invoca a função social para afastar requisito legal algum: invoca-a como critério interpretativo, expressamente autorizado por normas legais vigentes — os artigos 4º e 5º da Lei de Introdução às Normas do Direito Brasileiro (que determinam a integração por analogia e a atenção aos fins sociais da lei) e o artigo 140 do Código de Processo Civil (que veda ao juiz eximir-se de decidir sob alegação de lacuna) —, para integrar uma lacuna normativa cuja existência decorre da própria estrutura do art. 2º da Lei n. 11.101/2005, que exclui nominalmente apenas a cooperativa de crédito, nada dispondo, em sentido positivo ou negativo, sobre as cooperativas habitacionais.</w:t>
      </w:r>
    </w:p>
    <w:p w14:paraId="3A62CF6C"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Não há, portanto, superação de requisito legal por vetor principiológico extralegal: há aplicação de dispositivos legais de integração, por juiz que "</w:t>
      </w:r>
      <w:r w:rsidRPr="00442FB7">
        <w:rPr>
          <w:rFonts w:ascii="Times New Roman" w:hAnsi="Times New Roman" w:cs="Times New Roman"/>
          <w:i/>
          <w:iCs/>
        </w:rPr>
        <w:t>não se exime de decidir sob a alegação de lacuna ou obscuridade do ordenamento jurídico</w:t>
      </w:r>
      <w:r w:rsidRPr="00716AF1">
        <w:rPr>
          <w:rFonts w:ascii="Times New Roman" w:hAnsi="Times New Roman" w:cs="Times New Roman"/>
        </w:rPr>
        <w:t>" (art. 140, CPC), interpretando a lei conforme "</w:t>
      </w:r>
      <w:r w:rsidRPr="00442FB7">
        <w:rPr>
          <w:rFonts w:ascii="Times New Roman" w:hAnsi="Times New Roman" w:cs="Times New Roman"/>
          <w:i/>
          <w:iCs/>
        </w:rPr>
        <w:t>os fins sociais a que ela se dirige e às exigências do bem comum</w:t>
      </w:r>
      <w:r w:rsidRPr="00716AF1">
        <w:rPr>
          <w:rFonts w:ascii="Times New Roman" w:hAnsi="Times New Roman" w:cs="Times New Roman"/>
        </w:rPr>
        <w:t>" (art. 5º, LINDB) — tudo na forma exata em que a própria lei determina que seja decidido.</w:t>
      </w:r>
    </w:p>
    <w:p w14:paraId="7BBC3F5E" w14:textId="6312EFD9"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A subsunção da atividade da </w:t>
      </w:r>
      <w:r w:rsidR="00442FB7">
        <w:rPr>
          <w:rFonts w:ascii="Times New Roman" w:hAnsi="Times New Roman" w:cs="Times New Roman"/>
        </w:rPr>
        <w:t>...</w:t>
      </w:r>
      <w:r w:rsidRPr="00716AF1">
        <w:rPr>
          <w:rFonts w:ascii="Times New Roman" w:hAnsi="Times New Roman" w:cs="Times New Roman"/>
        </w:rPr>
        <w:t xml:space="preserve"> à tutela constitucional da moradia digna (art. 6º, CF), do desenvolvimento urbano (art. 23, IX, CF) e do apoio ao cooperativismo (art. 174, §2º, CF), somada aos mais de 6.000 (seis mil) sócios cooperados ativos e à comprovada viabilidade econômica atestada pelo laudo pericial, não é fundamento isolado de legitimidade: é reforço, dentro dos parâmetros legais de integração, da correção do juízo de subsunção realizado pela r. decisão agravada.</w:t>
      </w:r>
    </w:p>
    <w:p w14:paraId="7FD7F0E1" w14:textId="77777777" w:rsidR="00716AF1" w:rsidRPr="00442FB7" w:rsidRDefault="00716AF1" w:rsidP="00716AF1">
      <w:pPr>
        <w:ind w:right="-568"/>
        <w:jc w:val="both"/>
        <w:rPr>
          <w:rFonts w:ascii="Times New Roman" w:hAnsi="Times New Roman" w:cs="Times New Roman"/>
          <w:b/>
          <w:bCs/>
        </w:rPr>
      </w:pPr>
      <w:r w:rsidRPr="00442FB7">
        <w:rPr>
          <w:rFonts w:ascii="Times New Roman" w:hAnsi="Times New Roman" w:cs="Times New Roman"/>
          <w:b/>
          <w:bCs/>
        </w:rPr>
        <w:t>IV.8 – Do precedente do e. STJ (REsp n. 2.183.710/SP) e da ADI n. 7.442/STF: interpretação autêntica e aplicação por analogia</w:t>
      </w:r>
    </w:p>
    <w:p w14:paraId="1A40F222"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O e. Superior Tribunal de Justiça, no REsp n. 2.183.710/SP (rel. Min. Marco </w:t>
      </w:r>
      <w:proofErr w:type="spellStart"/>
      <w:r w:rsidRPr="00716AF1">
        <w:rPr>
          <w:rFonts w:ascii="Times New Roman" w:hAnsi="Times New Roman" w:cs="Times New Roman"/>
        </w:rPr>
        <w:t>Buzzi</w:t>
      </w:r>
      <w:proofErr w:type="spellEnd"/>
      <w:r w:rsidRPr="00716AF1">
        <w:rPr>
          <w:rFonts w:ascii="Times New Roman" w:hAnsi="Times New Roman" w:cs="Times New Roman"/>
        </w:rPr>
        <w:t>, 4ª Turma, j. 03/06/2025), confirmou o deferimento de recuperação judicial de cooperativa médica, assentando que a Lei n. 5.764/1971 "</w:t>
      </w:r>
      <w:r w:rsidRPr="00442FB7">
        <w:rPr>
          <w:rFonts w:ascii="Times New Roman" w:hAnsi="Times New Roman" w:cs="Times New Roman"/>
          <w:i/>
          <w:iCs/>
        </w:rPr>
        <w:t>não tem, por certo, o condão ou a finalidade de esgotar o tratamento jurídico</w:t>
      </w:r>
      <w:r w:rsidRPr="00716AF1">
        <w:rPr>
          <w:rFonts w:ascii="Times New Roman" w:hAnsi="Times New Roman" w:cs="Times New Roman"/>
        </w:rPr>
        <w:t>" das cooperativas, e que a Lei n. 11.101/2005 "</w:t>
      </w:r>
      <w:r w:rsidRPr="00442FB7">
        <w:rPr>
          <w:rFonts w:ascii="Times New Roman" w:hAnsi="Times New Roman" w:cs="Times New Roman"/>
          <w:i/>
          <w:iCs/>
        </w:rPr>
        <w:t>estabelece um regime jurídico especial para as sociedades que desenvolvem atividades empresárias e enfrentam dificuldades financeiras</w:t>
      </w:r>
      <w:r w:rsidRPr="00716AF1">
        <w:rPr>
          <w:rFonts w:ascii="Times New Roman" w:hAnsi="Times New Roman" w:cs="Times New Roman"/>
        </w:rPr>
        <w:t>", cuja interpretação harmônica com a legislação cooperativista viabiliza a continuidade das atividades de cooperativas que exercem atividade econômica relevante.</w:t>
      </w:r>
    </w:p>
    <w:p w14:paraId="4895C8B6"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lastRenderedPageBreak/>
        <w:t>O Agravante procura confinar esse precedente ao setor de saúde suplementar, sustentando caráter "</w:t>
      </w:r>
      <w:r w:rsidRPr="00442FB7">
        <w:rPr>
          <w:rFonts w:ascii="Times New Roman" w:hAnsi="Times New Roman" w:cs="Times New Roman"/>
          <w:i/>
          <w:iCs/>
        </w:rPr>
        <w:t>excepcional</w:t>
      </w:r>
      <w:r w:rsidRPr="00716AF1">
        <w:rPr>
          <w:rFonts w:ascii="Times New Roman" w:hAnsi="Times New Roman" w:cs="Times New Roman"/>
        </w:rPr>
        <w:t>" da inclusão das cooperativas médicas pelo § 13 do art. 6º da LFR. Sucede que, nos autos daquele mesmo recurso especial, o voto do Ministro Cristiano Zanin, do e. STF, na ADI n. 7.442/DF, é expresso ao afirmar que tal menção é "</w:t>
      </w:r>
      <w:r w:rsidRPr="00442FB7">
        <w:rPr>
          <w:rFonts w:ascii="Times New Roman" w:hAnsi="Times New Roman" w:cs="Times New Roman"/>
          <w:i/>
          <w:iCs/>
        </w:rPr>
        <w:t>meramente exemplificativa (</w:t>
      </w:r>
      <w:proofErr w:type="spellStart"/>
      <w:r w:rsidRPr="00442FB7">
        <w:rPr>
          <w:rFonts w:ascii="Times New Roman" w:hAnsi="Times New Roman" w:cs="Times New Roman"/>
          <w:i/>
          <w:iCs/>
        </w:rPr>
        <w:t>numerus</w:t>
      </w:r>
      <w:proofErr w:type="spellEnd"/>
      <w:r w:rsidRPr="00442FB7">
        <w:rPr>
          <w:rFonts w:ascii="Times New Roman" w:hAnsi="Times New Roman" w:cs="Times New Roman"/>
          <w:i/>
          <w:iCs/>
        </w:rPr>
        <w:t xml:space="preserve"> </w:t>
      </w:r>
      <w:proofErr w:type="spellStart"/>
      <w:r w:rsidRPr="00442FB7">
        <w:rPr>
          <w:rFonts w:ascii="Times New Roman" w:hAnsi="Times New Roman" w:cs="Times New Roman"/>
          <w:i/>
          <w:iCs/>
        </w:rPr>
        <w:t>apertus</w:t>
      </w:r>
      <w:proofErr w:type="spellEnd"/>
      <w:r w:rsidRPr="00442FB7">
        <w:rPr>
          <w:rFonts w:ascii="Times New Roman" w:hAnsi="Times New Roman" w:cs="Times New Roman"/>
          <w:i/>
          <w:iCs/>
        </w:rPr>
        <w:t>)</w:t>
      </w:r>
      <w:r w:rsidRPr="00716AF1">
        <w:rPr>
          <w:rFonts w:ascii="Times New Roman" w:hAnsi="Times New Roman" w:cs="Times New Roman"/>
        </w:rPr>
        <w:t>", e não taxativa, uma vez que "</w:t>
      </w:r>
      <w:r w:rsidRPr="00442FB7">
        <w:rPr>
          <w:rFonts w:ascii="Times New Roman" w:hAnsi="Times New Roman" w:cs="Times New Roman"/>
          <w:i/>
          <w:iCs/>
        </w:rPr>
        <w:t xml:space="preserve">da leitura conjunta do art. 2º, inciso II, da Lei nº 11.101/2005 c/c </w:t>
      </w:r>
      <w:proofErr w:type="spellStart"/>
      <w:r w:rsidRPr="00442FB7">
        <w:rPr>
          <w:rFonts w:ascii="Times New Roman" w:hAnsi="Times New Roman" w:cs="Times New Roman"/>
          <w:i/>
          <w:iCs/>
        </w:rPr>
        <w:t>arts</w:t>
      </w:r>
      <w:proofErr w:type="spellEnd"/>
      <w:r w:rsidRPr="00442FB7">
        <w:rPr>
          <w:rFonts w:ascii="Times New Roman" w:hAnsi="Times New Roman" w:cs="Times New Roman"/>
          <w:i/>
          <w:iCs/>
        </w:rPr>
        <w:t xml:space="preserve">. 85, 86, 88 e 111 da Lei nº 5.764/1971, bem como da leitura a </w:t>
      </w:r>
      <w:proofErr w:type="spellStart"/>
      <w:r w:rsidRPr="00442FB7">
        <w:rPr>
          <w:rFonts w:ascii="Times New Roman" w:hAnsi="Times New Roman" w:cs="Times New Roman"/>
          <w:i/>
          <w:iCs/>
        </w:rPr>
        <w:t>contrario</w:t>
      </w:r>
      <w:proofErr w:type="spellEnd"/>
      <w:r w:rsidRPr="00442FB7">
        <w:rPr>
          <w:rFonts w:ascii="Times New Roman" w:hAnsi="Times New Roman" w:cs="Times New Roman"/>
          <w:i/>
          <w:iCs/>
        </w:rPr>
        <w:t xml:space="preserve"> sensu do art. 79 da Lei nº 5.764/1971, já era possível inferir pelo direito posto e vigente anteriormente à norma interpretativa [...] que os atos não cooperativos de todas as cooperativas — excetuada a de crédito — sujeitavam-se à recuperação e falência</w:t>
      </w:r>
      <w:r w:rsidRPr="00716AF1">
        <w:rPr>
          <w:rFonts w:ascii="Times New Roman" w:hAnsi="Times New Roman" w:cs="Times New Roman"/>
        </w:rPr>
        <w:t>".</w:t>
      </w:r>
    </w:p>
    <w:p w14:paraId="3541B719"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É dizer: a própria fonte normativa que o Agravante invoca como restritiva foi expressamente qualificada, pelo Supremo Tribunal Federal, como interpretação autêntica de alcance geral — não como regra de exceção aplicável a um único segmento econômico. A analogia com as cooperativas habitacionais impõe-se com ainda maior força no caso concreto, tendo em vista a identidade de razões constitucionais entre o direito social à saúde (fundamento da inclusão das cooperativas médicas) e o direito social à moradia digna (fundamento da atividade da Agravada), ambos previstos no art. 6º da Constituição Federal.</w:t>
      </w:r>
    </w:p>
    <w:p w14:paraId="351A10C6" w14:textId="77777777" w:rsidR="00716AF1" w:rsidRPr="00442FB7" w:rsidRDefault="00716AF1" w:rsidP="00716AF1">
      <w:pPr>
        <w:ind w:right="-568"/>
        <w:jc w:val="both"/>
        <w:rPr>
          <w:rFonts w:ascii="Times New Roman" w:hAnsi="Times New Roman" w:cs="Times New Roman"/>
          <w:b/>
          <w:bCs/>
        </w:rPr>
      </w:pPr>
      <w:r w:rsidRPr="00442FB7">
        <w:rPr>
          <w:rFonts w:ascii="Times New Roman" w:hAnsi="Times New Roman" w:cs="Times New Roman"/>
          <w:b/>
          <w:bCs/>
        </w:rPr>
        <w:t xml:space="preserve">IV.9 – Do parecer técnico do professor Francisco </w:t>
      </w:r>
      <w:proofErr w:type="spellStart"/>
      <w:r w:rsidRPr="00442FB7">
        <w:rPr>
          <w:rFonts w:ascii="Times New Roman" w:hAnsi="Times New Roman" w:cs="Times New Roman"/>
          <w:b/>
          <w:bCs/>
        </w:rPr>
        <w:t>Satiro</w:t>
      </w:r>
      <w:proofErr w:type="spellEnd"/>
      <w:r w:rsidRPr="00442FB7">
        <w:rPr>
          <w:rFonts w:ascii="Times New Roman" w:hAnsi="Times New Roman" w:cs="Times New Roman"/>
          <w:b/>
          <w:bCs/>
        </w:rPr>
        <w:t xml:space="preserve"> Júnior</w:t>
      </w:r>
    </w:p>
    <w:p w14:paraId="44025BD7" w14:textId="77777777"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 xml:space="preserve">Por fim, corrobora a integralidade dos fundamentos acima o parecer jurídico do professor doutor Francisco </w:t>
      </w:r>
      <w:proofErr w:type="spellStart"/>
      <w:r w:rsidRPr="00716AF1">
        <w:rPr>
          <w:rFonts w:ascii="Times New Roman" w:hAnsi="Times New Roman" w:cs="Times New Roman"/>
        </w:rPr>
        <w:t>Satiro</w:t>
      </w:r>
      <w:proofErr w:type="spellEnd"/>
      <w:r w:rsidRPr="00716AF1">
        <w:rPr>
          <w:rFonts w:ascii="Times New Roman" w:hAnsi="Times New Roman" w:cs="Times New Roman"/>
        </w:rPr>
        <w:t xml:space="preserve"> Júnior, da Faculdade de Direito da Universidade de São Paulo, especialista em Direito Societário, Mercado de Capitais, Contratos Empresariais e Insolvência, que instruiu a petição inicial e cuja conclusão o Agravante, em nenhum momento de sua peça recursal, buscou infirmar:</w:t>
      </w:r>
    </w:p>
    <w:p w14:paraId="298A0DC4" w14:textId="1F12B7B9"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w:t>
      </w:r>
      <w:r w:rsidRPr="00442FB7">
        <w:rPr>
          <w:rFonts w:ascii="Times New Roman" w:hAnsi="Times New Roman" w:cs="Times New Roman"/>
          <w:i/>
          <w:iCs/>
        </w:rPr>
        <w:t xml:space="preserve">Os créditos de </w:t>
      </w:r>
      <w:proofErr w:type="spellStart"/>
      <w:r w:rsidRPr="00442FB7">
        <w:rPr>
          <w:rFonts w:ascii="Times New Roman" w:hAnsi="Times New Roman" w:cs="Times New Roman"/>
          <w:i/>
          <w:iCs/>
        </w:rPr>
        <w:t>ex-cooperados</w:t>
      </w:r>
      <w:proofErr w:type="spellEnd"/>
      <w:r w:rsidRPr="00442FB7">
        <w:rPr>
          <w:rFonts w:ascii="Times New Roman" w:hAnsi="Times New Roman" w:cs="Times New Roman"/>
          <w:i/>
          <w:iCs/>
        </w:rPr>
        <w:t xml:space="preserve"> da </w:t>
      </w:r>
      <w:r w:rsidR="00442FB7" w:rsidRPr="00442FB7">
        <w:rPr>
          <w:rFonts w:ascii="Times New Roman" w:hAnsi="Times New Roman" w:cs="Times New Roman"/>
          <w:i/>
          <w:iCs/>
        </w:rPr>
        <w:t>...</w:t>
      </w:r>
      <w:r w:rsidRPr="00442FB7">
        <w:rPr>
          <w:rFonts w:ascii="Times New Roman" w:hAnsi="Times New Roman" w:cs="Times New Roman"/>
          <w:i/>
          <w:iCs/>
        </w:rPr>
        <w:t>oriundos da condenação em restituição de valores aportados para aquisição de unidade residencial devem se sujeitar à recuperação judicial. A hipótese de não sujeição do § 13 do artigo 6º da LRE afeta exclusivamente as obrigações decorrentes de 'atos cooperados', que são vinculados diretamente à consecução dos fins comuns que regem a cooperativa (art. 79 da Lei 5.764/1971). Neste caso, o fato gerador do direito (crédito) são as decisões judiciais (não atos cooperativos) que afastam o vínculo cooperativo e as devoluções não decorrem da relação mutualista, para aplicação da legislação consumerista. [...] Logo, os créditos que dela resultam estão sujeitos à recuperação judicial como qualquer outro</w:t>
      </w:r>
      <w:r w:rsidRPr="00716AF1">
        <w:rPr>
          <w:rFonts w:ascii="Times New Roman" w:hAnsi="Times New Roman" w:cs="Times New Roman"/>
        </w:rPr>
        <w:t>."</w:t>
      </w:r>
    </w:p>
    <w:p w14:paraId="75BF30DE" w14:textId="2C1EF9AB"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A absoluta ausência de impugnação técnica a esse parecer — subscrito por um dos maiores especialistas em direito da insolvência do País, membro do grupo de trabalho do Ministério da Fazenda para a reforma da própria Lei n. 11.101/2005 — é sintomática da fragilidade do recurso interposto, que se limita a reiterar a literalidade dos dispositivos legais sem enfrentar a robusta fundamentação técnica e jurisprudencial que sustenta a decisão agravada.</w:t>
      </w:r>
    </w:p>
    <w:p w14:paraId="42C2BC6B" w14:textId="77777777" w:rsidR="00716AF1" w:rsidRPr="00442FB7" w:rsidRDefault="00716AF1" w:rsidP="00716AF1">
      <w:pPr>
        <w:ind w:right="-568"/>
        <w:jc w:val="both"/>
        <w:rPr>
          <w:rFonts w:ascii="Times New Roman" w:hAnsi="Times New Roman" w:cs="Times New Roman"/>
          <w:b/>
          <w:bCs/>
        </w:rPr>
      </w:pPr>
      <w:r w:rsidRPr="00442FB7">
        <w:rPr>
          <w:rFonts w:ascii="Times New Roman" w:hAnsi="Times New Roman" w:cs="Times New Roman"/>
          <w:b/>
          <w:bCs/>
        </w:rPr>
        <w:t>V – DOS PEDIDOS</w:t>
      </w:r>
    </w:p>
    <w:p w14:paraId="43C333CE" w14:textId="55DA93D4" w:rsidR="00716AF1" w:rsidRPr="00716AF1" w:rsidRDefault="00442FB7" w:rsidP="00716AF1">
      <w:pPr>
        <w:ind w:right="-568"/>
        <w:jc w:val="both"/>
        <w:rPr>
          <w:rFonts w:ascii="Times New Roman" w:hAnsi="Times New Roman" w:cs="Times New Roman"/>
        </w:rPr>
      </w:pPr>
      <w:proofErr w:type="spellStart"/>
      <w:r w:rsidRPr="00442FB7">
        <w:rPr>
          <w:rFonts w:ascii="Times New Roman" w:hAnsi="Times New Roman" w:cs="Times New Roman"/>
          <w:b/>
          <w:bCs/>
          <w:i/>
          <w:iCs/>
        </w:rPr>
        <w:t>Ex</w:t>
      </w:r>
      <w:proofErr w:type="spellEnd"/>
      <w:r w:rsidRPr="00442FB7">
        <w:rPr>
          <w:rFonts w:ascii="Times New Roman" w:hAnsi="Times New Roman" w:cs="Times New Roman"/>
          <w:b/>
          <w:bCs/>
          <w:i/>
          <w:iCs/>
        </w:rPr>
        <w:t xml:space="preserve"> positis</w:t>
      </w:r>
      <w:r w:rsidR="00716AF1" w:rsidRPr="00716AF1">
        <w:rPr>
          <w:rFonts w:ascii="Times New Roman" w:hAnsi="Times New Roman" w:cs="Times New Roman"/>
        </w:rPr>
        <w:t>, requer a Agravada, respeitosamente:</w:t>
      </w:r>
    </w:p>
    <w:p w14:paraId="32A744FF" w14:textId="4E9B0954" w:rsidR="00716AF1" w:rsidRPr="00716AF1" w:rsidRDefault="00442FB7" w:rsidP="00716AF1">
      <w:pPr>
        <w:ind w:right="-568"/>
        <w:jc w:val="both"/>
        <w:rPr>
          <w:rFonts w:ascii="Times New Roman" w:hAnsi="Times New Roman" w:cs="Times New Roman"/>
        </w:rPr>
      </w:pPr>
      <w:r>
        <w:rPr>
          <w:rFonts w:ascii="Times New Roman" w:hAnsi="Times New Roman" w:cs="Times New Roman"/>
        </w:rPr>
        <w:lastRenderedPageBreak/>
        <w:t xml:space="preserve">a) </w:t>
      </w:r>
      <w:r w:rsidR="00716AF1" w:rsidRPr="00716AF1">
        <w:rPr>
          <w:rFonts w:ascii="Times New Roman" w:hAnsi="Times New Roman" w:cs="Times New Roman"/>
        </w:rPr>
        <w:t xml:space="preserve"> o não conhecimento do agravo de instrumento, por manifesta violação ao princípio da dialeticidade recursal, na forma dos artigos 932, III, e 1.010, III, do Código de Processo Civil;</w:t>
      </w:r>
    </w:p>
    <w:p w14:paraId="560EB856" w14:textId="2CC1BE1F" w:rsidR="00716AF1" w:rsidRPr="00716AF1" w:rsidRDefault="00716AF1" w:rsidP="00716AF1">
      <w:pPr>
        <w:ind w:right="-568"/>
        <w:jc w:val="both"/>
        <w:rPr>
          <w:rFonts w:ascii="Times New Roman" w:hAnsi="Times New Roman" w:cs="Times New Roman"/>
        </w:rPr>
      </w:pPr>
      <w:r w:rsidRPr="00716AF1">
        <w:rPr>
          <w:rFonts w:ascii="Times New Roman" w:hAnsi="Times New Roman" w:cs="Times New Roman"/>
        </w:rPr>
        <w:t>b) subsidiariamente, caso superada a preliminar, a revogação do efeito suspensivo concedido em cognição sumária e o integral desprovimento do recurso, mantendo-se incólume a r. decisão agravada que deferiu o processamento da recuperação judicial da Agravada, por seus próprios e jurídicos fundamentos, reforçados pelos aqui articulados.</w:t>
      </w:r>
    </w:p>
    <w:p w14:paraId="7374BBCA" w14:textId="1FA12A27" w:rsidR="00716AF1" w:rsidRDefault="00442FB7" w:rsidP="00442FB7">
      <w:pPr>
        <w:spacing w:after="0" w:line="240" w:lineRule="auto"/>
        <w:ind w:right="-567"/>
        <w:jc w:val="center"/>
        <w:rPr>
          <w:rFonts w:ascii="Times New Roman" w:hAnsi="Times New Roman" w:cs="Times New Roman"/>
        </w:rPr>
      </w:pPr>
      <w:r>
        <w:rPr>
          <w:rFonts w:ascii="Times New Roman" w:hAnsi="Times New Roman" w:cs="Times New Roman"/>
        </w:rPr>
        <w:t>Pede Deferimento.</w:t>
      </w:r>
    </w:p>
    <w:p w14:paraId="5DA4CFD9" w14:textId="2C72B739" w:rsidR="00442FB7" w:rsidRDefault="00442FB7" w:rsidP="00442FB7">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3C484DEC" w14:textId="16897E20" w:rsidR="00442FB7" w:rsidRPr="00716AF1" w:rsidRDefault="00442FB7" w:rsidP="00442FB7">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442FB7" w:rsidRPr="00716A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AF1"/>
    <w:rsid w:val="000D40A0"/>
    <w:rsid w:val="00442FB7"/>
    <w:rsid w:val="00716A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16078"/>
  <w15:chartTrackingRefBased/>
  <w15:docId w15:val="{0DA010B5-489A-4C9D-983F-5F3535A3D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16A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16A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16AF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16AF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16AF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16AF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16AF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16AF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16AF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16AF1"/>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16AF1"/>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16AF1"/>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16AF1"/>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16AF1"/>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16AF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16AF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16AF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16AF1"/>
    <w:rPr>
      <w:rFonts w:eastAsiaTheme="majorEastAsia" w:cstheme="majorBidi"/>
      <w:color w:val="272727" w:themeColor="text1" w:themeTint="D8"/>
    </w:rPr>
  </w:style>
  <w:style w:type="paragraph" w:styleId="Ttulo">
    <w:name w:val="Title"/>
    <w:basedOn w:val="Normal"/>
    <w:next w:val="Normal"/>
    <w:link w:val="TtuloChar"/>
    <w:uiPriority w:val="10"/>
    <w:qFormat/>
    <w:rsid w:val="00716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16A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16AF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16AF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16AF1"/>
    <w:pPr>
      <w:spacing w:before="160"/>
      <w:jc w:val="center"/>
    </w:pPr>
    <w:rPr>
      <w:i/>
      <w:iCs/>
      <w:color w:val="404040" w:themeColor="text1" w:themeTint="BF"/>
    </w:rPr>
  </w:style>
  <w:style w:type="character" w:customStyle="1" w:styleId="CitaoChar">
    <w:name w:val="Citação Char"/>
    <w:basedOn w:val="Fontepargpadro"/>
    <w:link w:val="Citao"/>
    <w:uiPriority w:val="29"/>
    <w:rsid w:val="00716AF1"/>
    <w:rPr>
      <w:i/>
      <w:iCs/>
      <w:color w:val="404040" w:themeColor="text1" w:themeTint="BF"/>
    </w:rPr>
  </w:style>
  <w:style w:type="paragraph" w:styleId="PargrafodaLista">
    <w:name w:val="List Paragraph"/>
    <w:basedOn w:val="Normal"/>
    <w:uiPriority w:val="34"/>
    <w:qFormat/>
    <w:rsid w:val="00716AF1"/>
    <w:pPr>
      <w:ind w:left="720"/>
      <w:contextualSpacing/>
    </w:pPr>
  </w:style>
  <w:style w:type="character" w:styleId="nfaseIntensa">
    <w:name w:val="Intense Emphasis"/>
    <w:basedOn w:val="Fontepargpadro"/>
    <w:uiPriority w:val="21"/>
    <w:qFormat/>
    <w:rsid w:val="00716AF1"/>
    <w:rPr>
      <w:i/>
      <w:iCs/>
      <w:color w:val="2F5496" w:themeColor="accent1" w:themeShade="BF"/>
    </w:rPr>
  </w:style>
  <w:style w:type="paragraph" w:styleId="CitaoIntensa">
    <w:name w:val="Intense Quote"/>
    <w:basedOn w:val="Normal"/>
    <w:next w:val="Normal"/>
    <w:link w:val="CitaoIntensaChar"/>
    <w:uiPriority w:val="30"/>
    <w:qFormat/>
    <w:rsid w:val="00716A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16AF1"/>
    <w:rPr>
      <w:i/>
      <w:iCs/>
      <w:color w:val="2F5496" w:themeColor="accent1" w:themeShade="BF"/>
    </w:rPr>
  </w:style>
  <w:style w:type="character" w:styleId="RefernciaIntensa">
    <w:name w:val="Intense Reference"/>
    <w:basedOn w:val="Fontepargpadro"/>
    <w:uiPriority w:val="32"/>
    <w:qFormat/>
    <w:rsid w:val="00716A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4482</Words>
  <Characters>24206</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2026-10-07T18:55:00Z</dcterms:created>
  <dcterms:modified xsi:type="dcterms:W3CDTF">2026-10-07T19:09:00Z</dcterms:modified>
</cp:coreProperties>
</file>