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8D0D3" w14:textId="77777777" w:rsidR="00407D27" w:rsidRPr="00407D27" w:rsidRDefault="00407D27" w:rsidP="00407D27">
      <w:pPr>
        <w:spacing w:after="0" w:line="240" w:lineRule="auto"/>
        <w:ind w:right="-567"/>
        <w:jc w:val="center"/>
        <w:rPr>
          <w:rFonts w:ascii="Arial Black" w:hAnsi="Arial Black" w:cs="Times New Roman"/>
        </w:rPr>
      </w:pPr>
      <w:r w:rsidRPr="00407D27">
        <w:rPr>
          <w:rFonts w:ascii="Arial Black" w:hAnsi="Arial Black" w:cs="Times New Roman"/>
        </w:rPr>
        <w:t>MODELO DE PETIÇÃO</w:t>
      </w:r>
    </w:p>
    <w:p w14:paraId="36669DA6" w14:textId="6175BF32" w:rsidR="00407D27" w:rsidRPr="00407D27" w:rsidRDefault="00407D27" w:rsidP="00407D27">
      <w:pPr>
        <w:spacing w:after="0" w:line="240" w:lineRule="auto"/>
        <w:ind w:right="-567"/>
        <w:jc w:val="center"/>
        <w:rPr>
          <w:rFonts w:ascii="Arial Black" w:hAnsi="Arial Black" w:cs="Times New Roman"/>
        </w:rPr>
      </w:pPr>
      <w:r w:rsidRPr="00407D27">
        <w:rPr>
          <w:rFonts w:ascii="Arial Black" w:hAnsi="Arial Black" w:cs="Times New Roman"/>
        </w:rPr>
        <w:t>PRESTADORA DE SERVIÇOS. RETENÇÃO CONTRIBUIÇÃO PREVIDENCIÁRIA.</w:t>
      </w:r>
      <w:r>
        <w:rPr>
          <w:rFonts w:ascii="Arial Black" w:hAnsi="Arial Black" w:cs="Times New Roman"/>
        </w:rPr>
        <w:t xml:space="preserve"> </w:t>
      </w:r>
      <w:r w:rsidRPr="00407D27">
        <w:rPr>
          <w:rFonts w:ascii="Arial Black" w:hAnsi="Arial Black" w:cs="Times New Roman"/>
        </w:rPr>
        <w:t>TOMADORA NÃO RECOLHE O TRIBUTO. VALOR EXCESSIVO.</w:t>
      </w:r>
      <w:r>
        <w:rPr>
          <w:rFonts w:ascii="Arial Black" w:hAnsi="Arial Black" w:cs="Times New Roman"/>
        </w:rPr>
        <w:t xml:space="preserve"> </w:t>
      </w:r>
      <w:r w:rsidRPr="00407D27">
        <w:rPr>
          <w:rFonts w:ascii="Arial Black" w:hAnsi="Arial Black" w:cs="Times New Roman"/>
        </w:rPr>
        <w:t>AÇÃO DE RESTITUIÇÃO. LIQUIDAÇÃO DE SENTENÇA. PETIÇÃO</w:t>
      </w:r>
    </w:p>
    <w:p w14:paraId="19BAB642" w14:textId="77777777" w:rsidR="00407D27" w:rsidRPr="00407D27" w:rsidRDefault="00407D27" w:rsidP="00407D27">
      <w:pPr>
        <w:spacing w:after="0" w:line="240" w:lineRule="auto"/>
        <w:ind w:right="-567"/>
        <w:jc w:val="right"/>
        <w:rPr>
          <w:rFonts w:ascii="Arial Black" w:hAnsi="Arial Black" w:cs="Times New Roman"/>
        </w:rPr>
      </w:pPr>
      <w:proofErr w:type="spellStart"/>
      <w:r w:rsidRPr="00407D27">
        <w:rPr>
          <w:rFonts w:ascii="Arial Black" w:hAnsi="Arial Black" w:cs="Times New Roman"/>
        </w:rPr>
        <w:t>Rénan</w:t>
      </w:r>
      <w:proofErr w:type="spellEnd"/>
      <w:r w:rsidRPr="00407D27">
        <w:rPr>
          <w:rFonts w:ascii="Arial Black" w:hAnsi="Arial Black" w:cs="Times New Roman"/>
        </w:rPr>
        <w:t xml:space="preserve"> </w:t>
      </w:r>
      <w:proofErr w:type="spellStart"/>
      <w:r w:rsidRPr="00407D27">
        <w:rPr>
          <w:rFonts w:ascii="Arial Black" w:hAnsi="Arial Black" w:cs="Times New Roman"/>
        </w:rPr>
        <w:t>Kfuri</w:t>
      </w:r>
      <w:proofErr w:type="spellEnd"/>
      <w:r w:rsidRPr="00407D27">
        <w:rPr>
          <w:rFonts w:ascii="Arial Black" w:hAnsi="Arial Black" w:cs="Times New Roman"/>
        </w:rPr>
        <w:t xml:space="preserve"> Lopes</w:t>
      </w:r>
    </w:p>
    <w:p w14:paraId="2AEECA5C" w14:textId="77777777" w:rsidR="00407D27" w:rsidRPr="00407D27" w:rsidRDefault="00407D27" w:rsidP="00407D27">
      <w:pPr>
        <w:ind w:right="-568"/>
        <w:jc w:val="both"/>
        <w:rPr>
          <w:rFonts w:ascii="Times New Roman" w:hAnsi="Times New Roman" w:cs="Times New Roman"/>
        </w:rPr>
      </w:pPr>
    </w:p>
    <w:p w14:paraId="73AB91A0" w14:textId="77777777" w:rsidR="00407D27" w:rsidRDefault="00407D27" w:rsidP="00407D27">
      <w:pPr>
        <w:ind w:right="-568"/>
        <w:jc w:val="both"/>
        <w:rPr>
          <w:rFonts w:ascii="Times New Roman" w:hAnsi="Times New Roman" w:cs="Times New Roman"/>
        </w:rPr>
      </w:pPr>
      <w:r w:rsidRPr="00407D27">
        <w:rPr>
          <w:rFonts w:ascii="Times New Roman" w:hAnsi="Times New Roman" w:cs="Times New Roman"/>
        </w:rPr>
        <w:t>E</w:t>
      </w:r>
      <w:r>
        <w:rPr>
          <w:rFonts w:ascii="Times New Roman" w:hAnsi="Times New Roman" w:cs="Times New Roman"/>
        </w:rPr>
        <w:t>xmo. Sr. Juiz Federal da ... Vara Cível da SSJ de ...</w:t>
      </w:r>
    </w:p>
    <w:p w14:paraId="19E60C4B" w14:textId="097B4155"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Liquidação de Sentença por Arbitramento n. </w:t>
      </w:r>
      <w:r>
        <w:rPr>
          <w:rFonts w:ascii="Times New Roman" w:hAnsi="Times New Roman" w:cs="Times New Roman"/>
        </w:rPr>
        <w:t>...</w:t>
      </w:r>
    </w:p>
    <w:p w14:paraId="709ED420" w14:textId="065982D3"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 FRAGILIDADE da tese soerguida no Evento </w:t>
      </w:r>
      <w:r>
        <w:rPr>
          <w:rFonts w:ascii="Times New Roman" w:hAnsi="Times New Roman" w:cs="Times New Roman"/>
        </w:rPr>
        <w:t>...</w:t>
      </w:r>
      <w:r w:rsidRPr="00407D27">
        <w:rPr>
          <w:rFonts w:ascii="Times New Roman" w:hAnsi="Times New Roman" w:cs="Times New Roman"/>
        </w:rPr>
        <w:t xml:space="preserve"> pela ré -</w:t>
      </w:r>
    </w:p>
    <w:p w14:paraId="6EE9D62D" w14:textId="32FC90B3"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HOMOLOGAÇÃO do cálculo apresentado pelo exequente, sem qualquer irresignação por parte do executado -</w:t>
      </w:r>
    </w:p>
    <w:p w14:paraId="765F7BBA" w14:textId="34220F6C" w:rsidR="00407D27" w:rsidRPr="00407D27" w:rsidRDefault="00407D27" w:rsidP="00407D27">
      <w:pPr>
        <w:ind w:right="-568"/>
        <w:jc w:val="both"/>
        <w:rPr>
          <w:rFonts w:ascii="Times New Roman" w:hAnsi="Times New Roman" w:cs="Times New Roman"/>
        </w:rPr>
      </w:pPr>
      <w:r>
        <w:rPr>
          <w:rFonts w:ascii="Times New Roman" w:hAnsi="Times New Roman" w:cs="Times New Roman"/>
        </w:rPr>
        <w:t>(nome)</w:t>
      </w:r>
      <w:r w:rsidRPr="00407D27">
        <w:rPr>
          <w:rFonts w:ascii="Times New Roman" w:hAnsi="Times New Roman" w:cs="Times New Roman"/>
        </w:rPr>
        <w:t xml:space="preserve">, autora, por seu advogado </w:t>
      </w:r>
      <w:r w:rsidRPr="00407D27">
        <w:rPr>
          <w:rFonts w:ascii="Times New Roman" w:hAnsi="Times New Roman" w:cs="Times New Roman"/>
          <w:i/>
          <w:iCs/>
        </w:rPr>
        <w:t>in fine</w:t>
      </w:r>
      <w:r w:rsidRPr="00407D27">
        <w:rPr>
          <w:rFonts w:ascii="Times New Roman" w:hAnsi="Times New Roman" w:cs="Times New Roman"/>
        </w:rPr>
        <w:t xml:space="preserve"> assinado, nos autos epigrafados em fase de “</w:t>
      </w:r>
      <w:r w:rsidRPr="00407D27">
        <w:rPr>
          <w:rFonts w:ascii="Times New Roman" w:hAnsi="Times New Roman" w:cs="Times New Roman"/>
          <w:i/>
          <w:iCs/>
        </w:rPr>
        <w:t>Liquidação de Sentença Por Arbitramento</w:t>
      </w:r>
      <w:r w:rsidRPr="00407D27">
        <w:rPr>
          <w:rFonts w:ascii="Times New Roman" w:hAnsi="Times New Roman" w:cs="Times New Roman"/>
        </w:rPr>
        <w:t>”, promovidos contra a UNIÃO FEDERAL, ré, vem, respeitosamente, aduzir o que se segue:</w:t>
      </w:r>
    </w:p>
    <w:p w14:paraId="35A79B7B" w14:textId="535A5FDD" w:rsidR="00407D27" w:rsidRPr="00407D27" w:rsidRDefault="00407D27" w:rsidP="00407D27">
      <w:pPr>
        <w:ind w:right="-568"/>
        <w:jc w:val="both"/>
        <w:rPr>
          <w:rFonts w:ascii="Times New Roman" w:hAnsi="Times New Roman" w:cs="Times New Roman"/>
          <w:b/>
          <w:bCs/>
        </w:rPr>
      </w:pPr>
      <w:r w:rsidRPr="00407D27">
        <w:rPr>
          <w:rFonts w:ascii="Times New Roman" w:hAnsi="Times New Roman" w:cs="Times New Roman"/>
          <w:b/>
          <w:bCs/>
        </w:rPr>
        <w:t xml:space="preserve">I - DA INSUSTENTABILIDADE DA TESE DEFENSIVA DO EVENTO </w:t>
      </w:r>
      <w:r w:rsidRPr="00407D27">
        <w:rPr>
          <w:rFonts w:ascii="Times New Roman" w:hAnsi="Times New Roman" w:cs="Times New Roman"/>
          <w:b/>
          <w:bCs/>
        </w:rPr>
        <w:t>...</w:t>
      </w:r>
    </w:p>
    <w:p w14:paraId="7A048AA2" w14:textId="4AB050FB"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A União, embora reconheça que “</w:t>
      </w:r>
      <w:r w:rsidRPr="00407D27">
        <w:rPr>
          <w:rFonts w:ascii="Times New Roman" w:hAnsi="Times New Roman" w:cs="Times New Roman"/>
          <w:i/>
          <w:iCs/>
        </w:rPr>
        <w:t xml:space="preserve">Todas as retenções de 11% destacadas nas notas fiscais da </w:t>
      </w:r>
      <w:r>
        <w:rPr>
          <w:rFonts w:ascii="Times New Roman" w:hAnsi="Times New Roman" w:cs="Times New Roman"/>
          <w:i/>
          <w:iCs/>
        </w:rPr>
        <w:t>...</w:t>
      </w:r>
      <w:r w:rsidRPr="00407D27">
        <w:rPr>
          <w:rFonts w:ascii="Times New Roman" w:hAnsi="Times New Roman" w:cs="Times New Roman"/>
          <w:i/>
          <w:iCs/>
        </w:rPr>
        <w:t xml:space="preserve">s foram realizadas pela tomadora do serviço, Associação </w:t>
      </w:r>
      <w:r>
        <w:rPr>
          <w:rFonts w:ascii="Times New Roman" w:hAnsi="Times New Roman" w:cs="Times New Roman"/>
          <w:i/>
          <w:iCs/>
        </w:rPr>
        <w:t>...</w:t>
      </w:r>
      <w:r w:rsidRPr="00407D27">
        <w:rPr>
          <w:rFonts w:ascii="Times New Roman" w:hAnsi="Times New Roman" w:cs="Times New Roman"/>
        </w:rPr>
        <w:t>” [sic], sustenta que a autora [</w:t>
      </w:r>
      <w:r>
        <w:rPr>
          <w:rFonts w:ascii="Times New Roman" w:hAnsi="Times New Roman" w:cs="Times New Roman"/>
        </w:rPr>
        <w:t>...</w:t>
      </w:r>
      <w:r w:rsidRPr="00407D27">
        <w:rPr>
          <w:rFonts w:ascii="Times New Roman" w:hAnsi="Times New Roman" w:cs="Times New Roman"/>
        </w:rPr>
        <w:t>] não teria direito ao pedido de restituição, pois “...</w:t>
      </w:r>
      <w:r w:rsidRPr="00407D27">
        <w:rPr>
          <w:rFonts w:ascii="Times New Roman" w:hAnsi="Times New Roman" w:cs="Times New Roman"/>
          <w:i/>
          <w:iCs/>
        </w:rPr>
        <w:t>esses valores jamais foram repassados à União. Diante da controvérsia travada pela Associação [</w:t>
      </w:r>
      <w:r>
        <w:rPr>
          <w:rFonts w:ascii="Times New Roman" w:hAnsi="Times New Roman" w:cs="Times New Roman"/>
          <w:i/>
          <w:iCs/>
        </w:rPr>
        <w:t>...</w:t>
      </w:r>
      <w:r w:rsidRPr="00407D27">
        <w:rPr>
          <w:rFonts w:ascii="Times New Roman" w:hAnsi="Times New Roman" w:cs="Times New Roman"/>
          <w:i/>
          <w:iCs/>
        </w:rPr>
        <w:t>] em ação própria, os valores retidos foram objeto de depósito judicial, permanecendo vinculados ao processo em que a própria tomadora [</w:t>
      </w:r>
      <w:r>
        <w:rPr>
          <w:rFonts w:ascii="Times New Roman" w:hAnsi="Times New Roman" w:cs="Times New Roman"/>
          <w:i/>
          <w:iCs/>
        </w:rPr>
        <w:t>...</w:t>
      </w:r>
      <w:r w:rsidRPr="00407D27">
        <w:rPr>
          <w:rFonts w:ascii="Times New Roman" w:hAnsi="Times New Roman" w:cs="Times New Roman"/>
          <w:i/>
          <w:iCs/>
        </w:rPr>
        <w:t>] discute sua responsabilização tributária</w:t>
      </w:r>
      <w:r w:rsidRPr="00407D27">
        <w:rPr>
          <w:rFonts w:ascii="Times New Roman" w:hAnsi="Times New Roman" w:cs="Times New Roman"/>
        </w:rPr>
        <w:t>” [sic].</w:t>
      </w:r>
    </w:p>
    <w:p w14:paraId="1AF84E0B" w14:textId="691F9A94"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E ainda disse a União/ré, que “</w:t>
      </w:r>
      <w:r w:rsidRPr="00407D27">
        <w:rPr>
          <w:rFonts w:ascii="Times New Roman" w:hAnsi="Times New Roman" w:cs="Times New Roman"/>
          <w:i/>
          <w:iCs/>
        </w:rPr>
        <w:t>A mera apresentação das retenções não satisfaz o requisito imposto na sentença, nem substitui a prova da saída patrimonial efetiva. A autora também não enfrenta a constatação técnica - incontroversa - de que os valores permanecem judicializados em outro feito, sem trânsito ao Erário</w:t>
      </w:r>
      <w:r w:rsidRPr="00407D27">
        <w:rPr>
          <w:rFonts w:ascii="Times New Roman" w:hAnsi="Times New Roman" w:cs="Times New Roman"/>
        </w:rPr>
        <w:t>” [sic].</w:t>
      </w:r>
    </w:p>
    <w:p w14:paraId="17DA508F" w14:textId="6F88F40C"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Data vênia, a tese não se sustenta. E não se sustenta porque contraria frontalmente num só passo a sentença e a literalidade do art. 31 da Lei 8.212/1991, subverte a lógica do regime legal de retenção instituído pelo legislador e pretende, por via transversa, impor à prestadora obrigação que o próprio sistema jurídico expressamente lhe retirou.</w:t>
      </w:r>
    </w:p>
    <w:p w14:paraId="2D514881" w14:textId="77777777" w:rsidR="00407D27" w:rsidRPr="00407D27" w:rsidRDefault="00407D27" w:rsidP="00407D27">
      <w:pPr>
        <w:ind w:right="-568"/>
        <w:jc w:val="both"/>
        <w:rPr>
          <w:rFonts w:ascii="Times New Roman" w:hAnsi="Times New Roman" w:cs="Times New Roman"/>
          <w:b/>
          <w:bCs/>
        </w:rPr>
      </w:pPr>
      <w:r w:rsidRPr="00407D27">
        <w:rPr>
          <w:rFonts w:ascii="Times New Roman" w:hAnsi="Times New Roman" w:cs="Times New Roman"/>
          <w:b/>
          <w:bCs/>
        </w:rPr>
        <w:t xml:space="preserve"> II - Da Sentença Transitada em Julgado</w:t>
      </w:r>
    </w:p>
    <w:p w14:paraId="22574C70" w14:textId="737DA4FA"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Cuida-se a espécie de Ação Ordinária pela qual a Autora objetiva a restituição parcial das retenções realizadas a maior das contribuições sociais previdenciárias, decorrentes do artigo 31 da Lei n. 8.121/1991, abrangendo as competências de </w:t>
      </w:r>
      <w:r>
        <w:rPr>
          <w:rFonts w:ascii="Times New Roman" w:hAnsi="Times New Roman" w:cs="Times New Roman"/>
        </w:rPr>
        <w:t>...</w:t>
      </w:r>
      <w:r w:rsidRPr="00407D27">
        <w:rPr>
          <w:rFonts w:ascii="Times New Roman" w:hAnsi="Times New Roman" w:cs="Times New Roman"/>
        </w:rPr>
        <w:t xml:space="preserve"> à </w:t>
      </w:r>
      <w:r>
        <w:rPr>
          <w:rFonts w:ascii="Times New Roman" w:hAnsi="Times New Roman" w:cs="Times New Roman"/>
        </w:rPr>
        <w:t>...</w:t>
      </w:r>
      <w:r w:rsidRPr="00407D27">
        <w:rPr>
          <w:rFonts w:ascii="Times New Roman" w:hAnsi="Times New Roman" w:cs="Times New Roman"/>
        </w:rPr>
        <w:t xml:space="preserve">. Mensalmente o percentual de 11% do valor bruto da Nota Fiscal emitida pela cessão de mão-de-obra foi retido pela tomadora do serviço, Associação </w:t>
      </w:r>
      <w:r>
        <w:rPr>
          <w:rFonts w:ascii="Times New Roman" w:hAnsi="Times New Roman" w:cs="Times New Roman"/>
        </w:rPr>
        <w:t>...</w:t>
      </w:r>
      <w:r w:rsidRPr="00407D27">
        <w:rPr>
          <w:rFonts w:ascii="Times New Roman" w:hAnsi="Times New Roman" w:cs="Times New Roman"/>
        </w:rPr>
        <w:t xml:space="preserve">, conforme já comprovado nos autos [Evento </w:t>
      </w:r>
      <w:r>
        <w:rPr>
          <w:rFonts w:ascii="Times New Roman" w:hAnsi="Times New Roman" w:cs="Times New Roman"/>
        </w:rPr>
        <w:t>...</w:t>
      </w:r>
      <w:r w:rsidRPr="00407D27">
        <w:rPr>
          <w:rFonts w:ascii="Times New Roman" w:hAnsi="Times New Roman" w:cs="Times New Roman"/>
        </w:rPr>
        <w:t>].</w:t>
      </w:r>
    </w:p>
    <w:p w14:paraId="2F847B56" w14:textId="098C8971"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Ultrapassado o contraditório, sobreveio a r. sentença do Evento </w:t>
      </w:r>
      <w:r>
        <w:rPr>
          <w:rFonts w:ascii="Times New Roman" w:hAnsi="Times New Roman" w:cs="Times New Roman"/>
        </w:rPr>
        <w:t>...</w:t>
      </w:r>
      <w:r w:rsidRPr="00407D27">
        <w:rPr>
          <w:rFonts w:ascii="Times New Roman" w:hAnsi="Times New Roman" w:cs="Times New Roman"/>
        </w:rPr>
        <w:t xml:space="preserve">, </w:t>
      </w:r>
      <w:r w:rsidRPr="00407D27">
        <w:rPr>
          <w:rFonts w:ascii="Times New Roman" w:hAnsi="Times New Roman" w:cs="Times New Roman"/>
          <w:i/>
          <w:iCs/>
        </w:rPr>
        <w:t>in litteris</w:t>
      </w:r>
      <w:r w:rsidRPr="00407D27">
        <w:rPr>
          <w:rFonts w:ascii="Times New Roman" w:hAnsi="Times New Roman" w:cs="Times New Roman"/>
        </w:rPr>
        <w:t>:</w:t>
      </w:r>
    </w:p>
    <w:p w14:paraId="259E08B2" w14:textId="510907C0" w:rsidR="00407D27" w:rsidRPr="00407D27" w:rsidRDefault="00407D27" w:rsidP="00407D27">
      <w:pPr>
        <w:ind w:right="-568"/>
        <w:jc w:val="both"/>
        <w:rPr>
          <w:rFonts w:ascii="Times New Roman" w:hAnsi="Times New Roman" w:cs="Times New Roman"/>
          <w:b/>
          <w:bCs/>
        </w:rPr>
      </w:pPr>
      <w:r w:rsidRPr="00407D27">
        <w:rPr>
          <w:rFonts w:ascii="Times New Roman" w:hAnsi="Times New Roman" w:cs="Times New Roman"/>
          <w:b/>
          <w:bCs/>
        </w:rPr>
        <w:lastRenderedPageBreak/>
        <w:t>SENTENÇA</w:t>
      </w:r>
    </w:p>
    <w:p w14:paraId="013CD4FB" w14:textId="1F5F7E57" w:rsidR="00407D27" w:rsidRPr="00407D27" w:rsidRDefault="00407D27" w:rsidP="00407D27">
      <w:pPr>
        <w:ind w:right="-568"/>
        <w:jc w:val="both"/>
        <w:rPr>
          <w:rFonts w:ascii="Times New Roman" w:hAnsi="Times New Roman" w:cs="Times New Roman"/>
          <w:i/>
          <w:iCs/>
        </w:rPr>
      </w:pPr>
      <w:r>
        <w:rPr>
          <w:rFonts w:ascii="Times New Roman" w:hAnsi="Times New Roman" w:cs="Times New Roman"/>
          <w:i/>
          <w:iCs/>
        </w:rPr>
        <w:t>“</w:t>
      </w:r>
      <w:r w:rsidRPr="00407D27">
        <w:rPr>
          <w:rFonts w:ascii="Times New Roman" w:hAnsi="Times New Roman" w:cs="Times New Roman"/>
          <w:b/>
          <w:bCs/>
          <w:i/>
          <w:iCs/>
        </w:rPr>
        <w:t>1.1</w:t>
      </w:r>
      <w:r w:rsidRPr="00407D27">
        <w:rPr>
          <w:rFonts w:ascii="Times New Roman" w:hAnsi="Times New Roman" w:cs="Times New Roman"/>
          <w:i/>
          <w:iCs/>
        </w:rPr>
        <w:t xml:space="preserve"> </w:t>
      </w:r>
      <w:r w:rsidRPr="00407D27">
        <w:rPr>
          <w:rFonts w:ascii="Times New Roman" w:hAnsi="Times New Roman" w:cs="Times New Roman"/>
          <w:i/>
          <w:iCs/>
        </w:rPr>
        <w:t>...</w:t>
      </w:r>
      <w:r w:rsidRPr="00407D27">
        <w:rPr>
          <w:rFonts w:ascii="Times New Roman" w:hAnsi="Times New Roman" w:cs="Times New Roman"/>
          <w:i/>
          <w:iCs/>
        </w:rPr>
        <w:t xml:space="preserve">. ajuizou ação contra a UNIÃO visando obter provimento que determinasse “a restituição dos valores retidos à maior a título de contribuições previdenciárias, referente ao tomador do serviço Associação </w:t>
      </w:r>
      <w:r w:rsidRPr="00407D27">
        <w:rPr>
          <w:rFonts w:ascii="Times New Roman" w:hAnsi="Times New Roman" w:cs="Times New Roman"/>
          <w:i/>
          <w:iCs/>
        </w:rPr>
        <w:t>...</w:t>
      </w:r>
      <w:r w:rsidRPr="00407D27">
        <w:rPr>
          <w:rFonts w:ascii="Times New Roman" w:hAnsi="Times New Roman" w:cs="Times New Roman"/>
          <w:i/>
          <w:iCs/>
        </w:rPr>
        <w:t xml:space="preserve"> (CNPJ </w:t>
      </w:r>
      <w:r w:rsidRPr="00407D27">
        <w:rPr>
          <w:rFonts w:ascii="Times New Roman" w:hAnsi="Times New Roman" w:cs="Times New Roman"/>
          <w:i/>
          <w:iCs/>
        </w:rPr>
        <w:t>...</w:t>
      </w:r>
      <w:r w:rsidRPr="00407D27">
        <w:rPr>
          <w:rFonts w:ascii="Times New Roman" w:hAnsi="Times New Roman" w:cs="Times New Roman"/>
          <w:i/>
          <w:iCs/>
        </w:rPr>
        <w:t xml:space="preserve">), em cumprimento ao art. 31 da Lei. 8.121/1991, durante o período de competência de </w:t>
      </w:r>
      <w:r w:rsidRPr="00407D27">
        <w:rPr>
          <w:rFonts w:ascii="Times New Roman" w:hAnsi="Times New Roman" w:cs="Times New Roman"/>
          <w:i/>
          <w:iCs/>
        </w:rPr>
        <w:t>...</w:t>
      </w:r>
      <w:r w:rsidRPr="00407D27">
        <w:rPr>
          <w:rFonts w:ascii="Times New Roman" w:hAnsi="Times New Roman" w:cs="Times New Roman"/>
          <w:i/>
          <w:iCs/>
        </w:rPr>
        <w:t xml:space="preserve"> a </w:t>
      </w:r>
      <w:r w:rsidRPr="00407D27">
        <w:rPr>
          <w:rFonts w:ascii="Times New Roman" w:hAnsi="Times New Roman" w:cs="Times New Roman"/>
          <w:i/>
          <w:iCs/>
        </w:rPr>
        <w:t>...</w:t>
      </w:r>
      <w:r w:rsidRPr="00407D27">
        <w:rPr>
          <w:rFonts w:ascii="Times New Roman" w:hAnsi="Times New Roman" w:cs="Times New Roman"/>
          <w:i/>
          <w:iCs/>
        </w:rPr>
        <w:t xml:space="preserve">.”  </w:t>
      </w:r>
    </w:p>
    <w:p w14:paraId="033FF5CD" w14:textId="2C789478"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Afirmou ser pessoa jurídica de direito privado, que tem por objeto social a prestação de serviços médicos, e que em </w:t>
      </w:r>
      <w:r w:rsidRPr="00407D27">
        <w:rPr>
          <w:rFonts w:ascii="Times New Roman" w:hAnsi="Times New Roman" w:cs="Times New Roman"/>
          <w:i/>
          <w:iCs/>
        </w:rPr>
        <w:t>...</w:t>
      </w:r>
      <w:r w:rsidRPr="00407D27">
        <w:rPr>
          <w:rFonts w:ascii="Times New Roman" w:hAnsi="Times New Roman" w:cs="Times New Roman"/>
          <w:i/>
          <w:iCs/>
        </w:rPr>
        <w:t xml:space="preserve"> firmou contrato com a Associação </w:t>
      </w:r>
      <w:r w:rsidRPr="00407D27">
        <w:rPr>
          <w:rFonts w:ascii="Times New Roman" w:hAnsi="Times New Roman" w:cs="Times New Roman"/>
          <w:i/>
          <w:iCs/>
        </w:rPr>
        <w:t>...</w:t>
      </w:r>
      <w:r w:rsidRPr="00407D27">
        <w:rPr>
          <w:rFonts w:ascii="Times New Roman" w:hAnsi="Times New Roman" w:cs="Times New Roman"/>
          <w:i/>
          <w:iCs/>
        </w:rPr>
        <w:t xml:space="preserve">, mantenedora do Hospital </w:t>
      </w:r>
      <w:r w:rsidRPr="00407D27">
        <w:rPr>
          <w:rFonts w:ascii="Times New Roman" w:hAnsi="Times New Roman" w:cs="Times New Roman"/>
          <w:i/>
          <w:iCs/>
        </w:rPr>
        <w:t>...</w:t>
      </w:r>
      <w:r w:rsidRPr="00407D27">
        <w:rPr>
          <w:rFonts w:ascii="Times New Roman" w:hAnsi="Times New Roman" w:cs="Times New Roman"/>
          <w:i/>
          <w:iCs/>
        </w:rPr>
        <w:t xml:space="preserve">, com a finalidade de prestar serviços de oncologia nas dependências do nosocômio, com cessão de mão-de-obra médica especializada. </w:t>
      </w:r>
    </w:p>
    <w:p w14:paraId="7D90D543" w14:textId="28E486B4"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Aduziu que em virtude do disposto no art. 31 da Lei 8.212/1991 foram retidos mensalmente de suas faturas o equivalente a 11% do valor bruto, e, inobstante fizesse o uso da compensação mensalmente, houve um acúmulo de valores a serem restituídos, pelo fato de suas contribuições serem inferiores aos valores retidos.  </w:t>
      </w:r>
    </w:p>
    <w:p w14:paraId="38525AD5" w14:textId="77777777"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Acresceu que efetuou administrativamente o pedido de restituição, porém, por falhas internas de sua administração não logrou juntar a tempo e modo a documentação solicitada pela Receita Federal, razão pela qual seus pedidos foram indeferidos, o que reputou injusto, tendo em vista que o §2º do art. 31 da Lei 8.212/1991 assegura o direito à repetição. </w:t>
      </w:r>
    </w:p>
    <w:p w14:paraId="1BE5101A" w14:textId="2AA58F5D"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Juntou procuração e documentos. Pagou as custas processuais. </w:t>
      </w:r>
    </w:p>
    <w:p w14:paraId="5B09508D" w14:textId="713B25BC" w:rsidR="00407D27" w:rsidRPr="00407D27" w:rsidRDefault="00407D27" w:rsidP="00407D27">
      <w:pPr>
        <w:ind w:right="-568"/>
        <w:jc w:val="both"/>
        <w:rPr>
          <w:rFonts w:ascii="Times New Roman" w:hAnsi="Times New Roman" w:cs="Times New Roman"/>
          <w:b/>
          <w:bCs/>
          <w:i/>
          <w:iCs/>
        </w:rPr>
      </w:pPr>
      <w:r w:rsidRPr="00407D27">
        <w:rPr>
          <w:rFonts w:ascii="Times New Roman" w:hAnsi="Times New Roman" w:cs="Times New Roman"/>
          <w:b/>
          <w:bCs/>
          <w:i/>
          <w:iCs/>
        </w:rPr>
        <w:t xml:space="preserve">1.2 A União apresentou contestação no id </w:t>
      </w:r>
      <w:r w:rsidRPr="00407D27">
        <w:rPr>
          <w:rFonts w:ascii="Times New Roman" w:hAnsi="Times New Roman" w:cs="Times New Roman"/>
          <w:b/>
          <w:bCs/>
          <w:i/>
          <w:iCs/>
        </w:rPr>
        <w:t>...</w:t>
      </w:r>
      <w:r w:rsidRPr="00407D27">
        <w:rPr>
          <w:rFonts w:ascii="Times New Roman" w:hAnsi="Times New Roman" w:cs="Times New Roman"/>
          <w:b/>
          <w:bCs/>
          <w:i/>
          <w:iCs/>
        </w:rPr>
        <w:t xml:space="preserve"> suscitando as prejudiciais de decadência e prescrição. </w:t>
      </w:r>
      <w:r w:rsidRPr="00407D27">
        <w:rPr>
          <w:rFonts w:ascii="Times New Roman" w:hAnsi="Times New Roman" w:cs="Times New Roman"/>
          <w:i/>
          <w:iCs/>
        </w:rPr>
        <w:t xml:space="preserve"> </w:t>
      </w:r>
    </w:p>
    <w:p w14:paraId="5E4B69B0" w14:textId="4AD08AB3"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Quanto à questão de fundo, externou que o processo administrativo seguiu os trâmites normais e que a empresa no prazo estipulado não apresentou a documentação necessária ao processamento do pedido. </w:t>
      </w:r>
    </w:p>
    <w:p w14:paraId="5ACE051B" w14:textId="1DE284D4"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Esclareceu que, ao contrário do que afirmou a autora o contratante não efetuou o recolhimento dos valores, mas, depositou-os em juízo, nos autos do processo </w:t>
      </w:r>
      <w:r w:rsidRPr="00407D27">
        <w:rPr>
          <w:rFonts w:ascii="Times New Roman" w:hAnsi="Times New Roman" w:cs="Times New Roman"/>
          <w:i/>
          <w:iCs/>
        </w:rPr>
        <w:t>...</w:t>
      </w:r>
      <w:r w:rsidRPr="00407D27">
        <w:rPr>
          <w:rFonts w:ascii="Times New Roman" w:hAnsi="Times New Roman" w:cs="Times New Roman"/>
          <w:i/>
          <w:iCs/>
        </w:rPr>
        <w:t xml:space="preserve">, que corre perante a </w:t>
      </w:r>
      <w:r w:rsidRPr="00407D27">
        <w:rPr>
          <w:rFonts w:ascii="Times New Roman" w:hAnsi="Times New Roman" w:cs="Times New Roman"/>
          <w:i/>
          <w:iCs/>
        </w:rPr>
        <w:t>...</w:t>
      </w:r>
      <w:r w:rsidRPr="00407D27">
        <w:rPr>
          <w:rFonts w:ascii="Times New Roman" w:hAnsi="Times New Roman" w:cs="Times New Roman"/>
          <w:i/>
          <w:iCs/>
        </w:rPr>
        <w:t xml:space="preserve">ª Vara Federal.  </w:t>
      </w:r>
    </w:p>
    <w:p w14:paraId="14DED747" w14:textId="5E9886B4" w:rsidR="00407D27" w:rsidRPr="00407D27" w:rsidRDefault="00407D27" w:rsidP="00407D27">
      <w:pPr>
        <w:ind w:right="-568"/>
        <w:jc w:val="both"/>
        <w:rPr>
          <w:rFonts w:ascii="Times New Roman" w:hAnsi="Times New Roman" w:cs="Times New Roman"/>
          <w:b/>
          <w:bCs/>
          <w:i/>
          <w:iCs/>
        </w:rPr>
      </w:pPr>
      <w:r w:rsidRPr="00407D27">
        <w:rPr>
          <w:rFonts w:ascii="Times New Roman" w:hAnsi="Times New Roman" w:cs="Times New Roman"/>
          <w:b/>
          <w:bCs/>
          <w:i/>
          <w:iCs/>
        </w:rPr>
        <w:t xml:space="preserve">1.3 Impugnação no id </w:t>
      </w:r>
      <w:r w:rsidRPr="00407D27">
        <w:rPr>
          <w:rFonts w:ascii="Times New Roman" w:hAnsi="Times New Roman" w:cs="Times New Roman"/>
          <w:b/>
          <w:bCs/>
          <w:i/>
          <w:iCs/>
        </w:rPr>
        <w:t>...</w:t>
      </w:r>
      <w:r w:rsidRPr="00407D27">
        <w:rPr>
          <w:rFonts w:ascii="Times New Roman" w:hAnsi="Times New Roman" w:cs="Times New Roman"/>
          <w:b/>
          <w:bCs/>
          <w:i/>
          <w:iCs/>
        </w:rPr>
        <w:t xml:space="preserve"> </w:t>
      </w:r>
    </w:p>
    <w:p w14:paraId="3CE25392" w14:textId="3CBF63E8" w:rsidR="00407D27" w:rsidRPr="00407D27" w:rsidRDefault="00407D27" w:rsidP="00407D27">
      <w:pPr>
        <w:ind w:right="-568"/>
        <w:jc w:val="both"/>
        <w:rPr>
          <w:rFonts w:ascii="Times New Roman" w:hAnsi="Times New Roman" w:cs="Times New Roman"/>
          <w:b/>
          <w:bCs/>
          <w:i/>
          <w:iCs/>
        </w:rPr>
      </w:pPr>
      <w:r w:rsidRPr="00407D27">
        <w:rPr>
          <w:rFonts w:ascii="Times New Roman" w:hAnsi="Times New Roman" w:cs="Times New Roman"/>
          <w:b/>
          <w:bCs/>
          <w:i/>
          <w:iCs/>
        </w:rPr>
        <w:t xml:space="preserve">1.4 Intimadas a produzir provas, as partes nada requereram. </w:t>
      </w:r>
    </w:p>
    <w:p w14:paraId="51ACE5B3" w14:textId="77777777"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É o relatório. </w:t>
      </w:r>
    </w:p>
    <w:p w14:paraId="7D3B1BF4" w14:textId="15689B58"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Decido.  </w:t>
      </w:r>
    </w:p>
    <w:p w14:paraId="74052648" w14:textId="523334FF"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2.1</w:t>
      </w:r>
      <w:r w:rsidRPr="00407D27">
        <w:rPr>
          <w:rFonts w:ascii="Times New Roman" w:hAnsi="Times New Roman" w:cs="Times New Roman"/>
          <w:i/>
          <w:iCs/>
        </w:rPr>
        <w:t xml:space="preserve"> Rejeito as prejudiciais de decadência e prescrição, porquanto o autor requereu a restituição dos valores recolhidos em demasia no período de </w:t>
      </w:r>
      <w:r w:rsidRPr="00407D27">
        <w:rPr>
          <w:rFonts w:ascii="Times New Roman" w:hAnsi="Times New Roman" w:cs="Times New Roman"/>
          <w:i/>
          <w:iCs/>
        </w:rPr>
        <w:t>...</w:t>
      </w:r>
      <w:r w:rsidRPr="00407D27">
        <w:rPr>
          <w:rFonts w:ascii="Times New Roman" w:hAnsi="Times New Roman" w:cs="Times New Roman"/>
          <w:i/>
          <w:iCs/>
        </w:rPr>
        <w:t xml:space="preserve"> a </w:t>
      </w:r>
      <w:r w:rsidRPr="00407D27">
        <w:rPr>
          <w:rFonts w:ascii="Times New Roman" w:hAnsi="Times New Roman" w:cs="Times New Roman"/>
          <w:i/>
          <w:iCs/>
        </w:rPr>
        <w:t>...</w:t>
      </w:r>
      <w:r w:rsidRPr="00407D27">
        <w:rPr>
          <w:rFonts w:ascii="Times New Roman" w:hAnsi="Times New Roman" w:cs="Times New Roman"/>
          <w:i/>
          <w:iCs/>
        </w:rPr>
        <w:t xml:space="preserve">, tendo a ação sido ajuizada em </w:t>
      </w:r>
      <w:r w:rsidRPr="00407D27">
        <w:rPr>
          <w:rFonts w:ascii="Times New Roman" w:hAnsi="Times New Roman" w:cs="Times New Roman"/>
          <w:i/>
          <w:iCs/>
        </w:rPr>
        <w:t>...</w:t>
      </w:r>
      <w:r w:rsidRPr="00407D27">
        <w:rPr>
          <w:rFonts w:ascii="Times New Roman" w:hAnsi="Times New Roman" w:cs="Times New Roman"/>
          <w:i/>
          <w:iCs/>
        </w:rPr>
        <w:t xml:space="preserve">  </w:t>
      </w:r>
    </w:p>
    <w:p w14:paraId="36899923" w14:textId="1184FEF8"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2.2</w:t>
      </w:r>
      <w:r w:rsidRPr="00407D27">
        <w:rPr>
          <w:rFonts w:ascii="Times New Roman" w:hAnsi="Times New Roman" w:cs="Times New Roman"/>
          <w:i/>
          <w:iCs/>
        </w:rPr>
        <w:t xml:space="preserve"> No mérito, a pretensão é fundada.  </w:t>
      </w:r>
    </w:p>
    <w:p w14:paraId="57C4A6E2" w14:textId="77777777"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Com efeito, dispõe o art. 31 da Lei 8.212/1991: </w:t>
      </w:r>
    </w:p>
    <w:p w14:paraId="5FD9D718" w14:textId="36362BE3"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lastRenderedPageBreak/>
        <w:t xml:space="preserve"> </w:t>
      </w:r>
      <w:r w:rsidRPr="00407D27">
        <w:rPr>
          <w:rFonts w:ascii="Times New Roman" w:hAnsi="Times New Roman" w:cs="Times New Roman"/>
          <w:b/>
          <w:bCs/>
          <w:i/>
          <w:iCs/>
        </w:rPr>
        <w:t>Art. 31.</w:t>
      </w:r>
      <w:r w:rsidRPr="00407D27">
        <w:rPr>
          <w:rFonts w:ascii="Times New Roman" w:hAnsi="Times New Roman" w:cs="Times New Roman"/>
          <w:i/>
          <w:iCs/>
        </w:rPr>
        <w:t xml:space="preserve">  A empresa contratante de serviços executados mediante cessão de mão de obra, inclusive em regime de trabalho temporário, deverá reter 11% (onze por cento) do valor bruto da nota fiscal ou fatura de prestação de serviços e recolher, em nome da empresa cedente da mão de obra, a importância retida até o dia 20 (vinte) do mês subsequente ao da emissão da respectiva nota fiscal ou fatura, ou até o dia útil imediatamente anterior se não houver expediente bancário naquele dia, observado o disposto no § 5o do art. 33 desta Lei.  </w:t>
      </w:r>
    </w:p>
    <w:p w14:paraId="431DAD54" w14:textId="77777777"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 1º</w:t>
      </w:r>
      <w:r w:rsidRPr="00407D27">
        <w:rPr>
          <w:rFonts w:ascii="Times New Roman" w:hAnsi="Times New Roman" w:cs="Times New Roman"/>
          <w:i/>
          <w:iCs/>
        </w:rPr>
        <w:t xml:space="preserve"> O valor retido de que trata o caput deste artigo, que deverá ser destacado na nota fiscal ou fatura de prestação de serviços, poderá ser compensado por qualquer estabelecimento da empresa cedente da mão de obra, por ocasião do recolhimento das contribuições destinadas à Seguridade Social devidas sobre a folha de pagamento dos seus segurados.      </w:t>
      </w:r>
    </w:p>
    <w:p w14:paraId="648F41C9" w14:textId="77777777"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 2º</w:t>
      </w:r>
      <w:r w:rsidRPr="00407D27">
        <w:rPr>
          <w:rFonts w:ascii="Times New Roman" w:hAnsi="Times New Roman" w:cs="Times New Roman"/>
          <w:i/>
          <w:iCs/>
        </w:rPr>
        <w:t xml:space="preserve"> Na impossibilidade de haver compensação integral na forma do parágrafo anterior, o saldo remanescente será objeto de restituição. </w:t>
      </w:r>
    </w:p>
    <w:p w14:paraId="74A50DA2" w14:textId="732D1DC8"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A União não controverteu o direito à restituição, apenas informou que no âmbito do processo administrativo o contribuinte deixou de atender à determinação de apresentar a documentação exigida, motivo pelo qual os pedidos foram indeferidos. </w:t>
      </w:r>
    </w:p>
    <w:p w14:paraId="2417620A" w14:textId="24DC72BA"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Sob outro giro, os documentos que instruíram a inicial permitem, em princípio, considerar fundado o pedido, na medida em que demonstram a existência de retenções nas notas fiscais de prestação de serviços ao longo do tempo.  </w:t>
      </w:r>
    </w:p>
    <w:p w14:paraId="477DC36C" w14:textId="7255C9F1"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2.2</w:t>
      </w:r>
      <w:r w:rsidRPr="00407D27">
        <w:rPr>
          <w:rFonts w:ascii="Times New Roman" w:hAnsi="Times New Roman" w:cs="Times New Roman"/>
          <w:i/>
          <w:iCs/>
        </w:rPr>
        <w:t xml:space="preserve"> Com relação ao processo existente entre a Associação </w:t>
      </w:r>
      <w:r w:rsidRPr="00407D27">
        <w:rPr>
          <w:rFonts w:ascii="Times New Roman" w:hAnsi="Times New Roman" w:cs="Times New Roman"/>
          <w:i/>
          <w:iCs/>
        </w:rPr>
        <w:t>...</w:t>
      </w:r>
      <w:r w:rsidRPr="00407D27">
        <w:rPr>
          <w:rFonts w:ascii="Times New Roman" w:hAnsi="Times New Roman" w:cs="Times New Roman"/>
          <w:i/>
          <w:iCs/>
        </w:rPr>
        <w:t xml:space="preserve"> e a União, tal matéria não atinge o direito da autora, que não é parte naqueles autos.  </w:t>
      </w:r>
    </w:p>
    <w:p w14:paraId="3D56372D" w14:textId="16C774D9"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2.3</w:t>
      </w:r>
      <w:r w:rsidRPr="00407D27">
        <w:rPr>
          <w:rFonts w:ascii="Times New Roman" w:hAnsi="Times New Roman" w:cs="Times New Roman"/>
          <w:i/>
          <w:iCs/>
        </w:rPr>
        <w:t xml:space="preserve"> Por outro lado, a sentença alcança apenas a pretensão à restituição dos valores que foram objeto dos processos administrativos </w:t>
      </w:r>
      <w:r w:rsidRPr="00407D27">
        <w:rPr>
          <w:rFonts w:ascii="Times New Roman" w:hAnsi="Times New Roman" w:cs="Times New Roman"/>
          <w:i/>
          <w:iCs/>
        </w:rPr>
        <w:t>...</w:t>
      </w:r>
      <w:r w:rsidRPr="00407D27">
        <w:rPr>
          <w:rFonts w:ascii="Times New Roman" w:hAnsi="Times New Roman" w:cs="Times New Roman"/>
          <w:i/>
          <w:iCs/>
        </w:rPr>
        <w:t xml:space="preserve">, </w:t>
      </w:r>
      <w:r w:rsidRPr="00407D27">
        <w:rPr>
          <w:rFonts w:ascii="Times New Roman" w:hAnsi="Times New Roman" w:cs="Times New Roman"/>
          <w:i/>
          <w:iCs/>
        </w:rPr>
        <w:t>...</w:t>
      </w:r>
      <w:r w:rsidRPr="00407D27">
        <w:rPr>
          <w:rFonts w:ascii="Times New Roman" w:hAnsi="Times New Roman" w:cs="Times New Roman"/>
          <w:i/>
          <w:iCs/>
        </w:rPr>
        <w:t xml:space="preserve"> e </w:t>
      </w:r>
      <w:r w:rsidRPr="00407D27">
        <w:rPr>
          <w:rFonts w:ascii="Times New Roman" w:hAnsi="Times New Roman" w:cs="Times New Roman"/>
          <w:i/>
          <w:iCs/>
        </w:rPr>
        <w:t>...</w:t>
      </w:r>
      <w:r w:rsidRPr="00407D27">
        <w:rPr>
          <w:rFonts w:ascii="Times New Roman" w:hAnsi="Times New Roman" w:cs="Times New Roman"/>
          <w:i/>
          <w:iCs/>
        </w:rPr>
        <w:t xml:space="preserve">, desde que a autora comprove, quando da liquidação da sentença, a efetiva retenção e o valor recolhido a maior.   </w:t>
      </w:r>
    </w:p>
    <w:p w14:paraId="31567263" w14:textId="7CDA53D6"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3.1</w:t>
      </w:r>
      <w:r w:rsidRPr="00407D27">
        <w:rPr>
          <w:rFonts w:ascii="Times New Roman" w:hAnsi="Times New Roman" w:cs="Times New Roman"/>
          <w:i/>
          <w:iCs/>
        </w:rPr>
        <w:t xml:space="preserve"> Diante do exposto, rejeito as prejudiciais de decadência e prescrição.  </w:t>
      </w:r>
    </w:p>
    <w:p w14:paraId="2C748E90" w14:textId="20F59B71"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3.2</w:t>
      </w:r>
      <w:r w:rsidRPr="00407D27">
        <w:rPr>
          <w:rFonts w:ascii="Times New Roman" w:hAnsi="Times New Roman" w:cs="Times New Roman"/>
          <w:i/>
          <w:iCs/>
        </w:rPr>
        <w:t xml:space="preserve"> Acolho os pedidos e determino que a União restitua à autora os valores recolhidos a maior, que foram objeto dos pedidos de restituição </w:t>
      </w:r>
      <w:r w:rsidRPr="00407D27">
        <w:rPr>
          <w:rFonts w:ascii="Times New Roman" w:hAnsi="Times New Roman" w:cs="Times New Roman"/>
          <w:i/>
          <w:iCs/>
        </w:rPr>
        <w:t>...</w:t>
      </w:r>
      <w:r w:rsidRPr="00407D27">
        <w:rPr>
          <w:rFonts w:ascii="Times New Roman" w:hAnsi="Times New Roman" w:cs="Times New Roman"/>
          <w:i/>
          <w:iCs/>
        </w:rPr>
        <w:t xml:space="preserve">, </w:t>
      </w:r>
      <w:r w:rsidRPr="00407D27">
        <w:rPr>
          <w:rFonts w:ascii="Times New Roman" w:hAnsi="Times New Roman" w:cs="Times New Roman"/>
          <w:i/>
          <w:iCs/>
        </w:rPr>
        <w:t>...</w:t>
      </w:r>
      <w:r w:rsidRPr="00407D27">
        <w:rPr>
          <w:rFonts w:ascii="Times New Roman" w:hAnsi="Times New Roman" w:cs="Times New Roman"/>
          <w:i/>
          <w:iCs/>
        </w:rPr>
        <w:t xml:space="preserve"> e </w:t>
      </w:r>
      <w:r w:rsidRPr="00407D27">
        <w:rPr>
          <w:rFonts w:ascii="Times New Roman" w:hAnsi="Times New Roman" w:cs="Times New Roman"/>
          <w:i/>
          <w:iCs/>
        </w:rPr>
        <w:t>...</w:t>
      </w:r>
      <w:r w:rsidRPr="00407D27">
        <w:rPr>
          <w:rFonts w:ascii="Times New Roman" w:hAnsi="Times New Roman" w:cs="Times New Roman"/>
          <w:i/>
          <w:iCs/>
        </w:rPr>
        <w:t xml:space="preserve">, devidamente corrigidos pela Selic, a ser apurado em liquidação de sentença, conforme estabelecido no item 2.3. </w:t>
      </w:r>
    </w:p>
    <w:p w14:paraId="766DBE6D" w14:textId="0959096F"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3.3</w:t>
      </w:r>
      <w:r w:rsidRPr="00407D27">
        <w:rPr>
          <w:rFonts w:ascii="Times New Roman" w:hAnsi="Times New Roman" w:cs="Times New Roman"/>
          <w:i/>
          <w:iCs/>
        </w:rPr>
        <w:t xml:space="preserve"> A União deverá restituir as custas adiantadas pela autora, bem como pagar honorários advocatícios, a serem fixados em liquidação de sentença, nos termos do art. 85, §3º, do CPC.  </w:t>
      </w:r>
    </w:p>
    <w:p w14:paraId="1337D558" w14:textId="03F85BEC"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b/>
          <w:bCs/>
          <w:i/>
          <w:iCs/>
        </w:rPr>
        <w:t>3.4</w:t>
      </w:r>
      <w:r w:rsidRPr="00407D27">
        <w:rPr>
          <w:rFonts w:ascii="Times New Roman" w:hAnsi="Times New Roman" w:cs="Times New Roman"/>
          <w:i/>
          <w:iCs/>
        </w:rPr>
        <w:t xml:space="preserve"> Sentença não sujeita ao duplo grau (artigo 496, § 3º, I, do CPC).  </w:t>
      </w:r>
    </w:p>
    <w:p w14:paraId="0503DE74" w14:textId="1771CDFF"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 xml:space="preserve">P.R.I. </w:t>
      </w:r>
    </w:p>
    <w:p w14:paraId="0079B33B" w14:textId="581AA6DA"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w:t>
      </w:r>
      <w:r w:rsidRPr="00407D27">
        <w:rPr>
          <w:rFonts w:ascii="Times New Roman" w:hAnsi="Times New Roman" w:cs="Times New Roman"/>
          <w:i/>
          <w:iCs/>
        </w:rPr>
        <w:t xml:space="preserve">, </w:t>
      </w:r>
      <w:r w:rsidRPr="00407D27">
        <w:rPr>
          <w:rFonts w:ascii="Times New Roman" w:hAnsi="Times New Roman" w:cs="Times New Roman"/>
          <w:i/>
          <w:iCs/>
        </w:rPr>
        <w:t>...</w:t>
      </w:r>
      <w:r w:rsidRPr="00407D27">
        <w:rPr>
          <w:rFonts w:ascii="Times New Roman" w:hAnsi="Times New Roman" w:cs="Times New Roman"/>
          <w:i/>
          <w:iCs/>
        </w:rPr>
        <w:t xml:space="preserve"> de </w:t>
      </w:r>
      <w:r w:rsidRPr="00407D27">
        <w:rPr>
          <w:rFonts w:ascii="Times New Roman" w:hAnsi="Times New Roman" w:cs="Times New Roman"/>
          <w:i/>
          <w:iCs/>
        </w:rPr>
        <w:t>...</w:t>
      </w:r>
      <w:r w:rsidRPr="00407D27">
        <w:rPr>
          <w:rFonts w:ascii="Times New Roman" w:hAnsi="Times New Roman" w:cs="Times New Roman"/>
          <w:i/>
          <w:iCs/>
        </w:rPr>
        <w:t xml:space="preserve"> de </w:t>
      </w:r>
      <w:r w:rsidRPr="00407D27">
        <w:rPr>
          <w:rFonts w:ascii="Times New Roman" w:hAnsi="Times New Roman" w:cs="Times New Roman"/>
          <w:i/>
          <w:iCs/>
        </w:rPr>
        <w:t>...</w:t>
      </w:r>
      <w:r w:rsidRPr="00407D27">
        <w:rPr>
          <w:rFonts w:ascii="Times New Roman" w:hAnsi="Times New Roman" w:cs="Times New Roman"/>
          <w:i/>
          <w:iCs/>
        </w:rPr>
        <w:t xml:space="preserve"> </w:t>
      </w:r>
    </w:p>
    <w:p w14:paraId="57DD7C8E" w14:textId="7BCD20F2" w:rsidR="00407D27" w:rsidRPr="00407D27" w:rsidRDefault="00407D27" w:rsidP="00407D27">
      <w:pPr>
        <w:ind w:right="-568"/>
        <w:jc w:val="both"/>
        <w:rPr>
          <w:rFonts w:ascii="Times New Roman" w:hAnsi="Times New Roman" w:cs="Times New Roman"/>
          <w:i/>
          <w:iCs/>
        </w:rPr>
      </w:pPr>
      <w:r w:rsidRPr="00407D27">
        <w:rPr>
          <w:rFonts w:ascii="Times New Roman" w:hAnsi="Times New Roman" w:cs="Times New Roman"/>
          <w:i/>
          <w:iCs/>
        </w:rPr>
        <w:t>...</w:t>
      </w:r>
    </w:p>
    <w:p w14:paraId="67002E2C" w14:textId="7F1569C3"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i/>
          <w:iCs/>
        </w:rPr>
        <w:t>Juiz Federal</w:t>
      </w:r>
      <w:r>
        <w:rPr>
          <w:rFonts w:ascii="Times New Roman" w:hAnsi="Times New Roman" w:cs="Times New Roman"/>
        </w:rPr>
        <w:t>”</w:t>
      </w:r>
    </w:p>
    <w:p w14:paraId="0CF84A72" w14:textId="77777777" w:rsidR="00407D27" w:rsidRPr="00407D27" w:rsidRDefault="00407D27" w:rsidP="00407D27">
      <w:pPr>
        <w:ind w:right="-568"/>
        <w:jc w:val="both"/>
        <w:rPr>
          <w:rFonts w:ascii="Times New Roman" w:hAnsi="Times New Roman" w:cs="Times New Roman"/>
        </w:rPr>
      </w:pPr>
    </w:p>
    <w:p w14:paraId="694E861E" w14:textId="6CBC08AA"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lastRenderedPageBreak/>
        <w:t>Aludida sentença transitou livremente em julgado, sem qualquer alteração, conforme certificado nos autos.</w:t>
      </w:r>
    </w:p>
    <w:p w14:paraId="295FA131" w14:textId="04A5578D" w:rsidR="00407D27" w:rsidRPr="00407D27" w:rsidRDefault="00407D27" w:rsidP="00407D27">
      <w:pPr>
        <w:ind w:right="-568"/>
        <w:jc w:val="both"/>
        <w:rPr>
          <w:rFonts w:ascii="Times New Roman" w:hAnsi="Times New Roman" w:cs="Times New Roman"/>
          <w:b/>
          <w:bCs/>
        </w:rPr>
      </w:pPr>
      <w:r w:rsidRPr="00407D27">
        <w:rPr>
          <w:rFonts w:ascii="Times New Roman" w:hAnsi="Times New Roman" w:cs="Times New Roman"/>
          <w:b/>
          <w:bCs/>
        </w:rPr>
        <w:t xml:space="preserve"> III- DO ATUAL PROCEDIMENTO DE LIQUIDAÇÃO DE SENTENÇA E AUSÊNCIA DIVERGÊNCIA DOS CÁLCULOS A SEREM LIQUIDADOS</w:t>
      </w:r>
      <w:r w:rsidRPr="00407D27">
        <w:rPr>
          <w:rFonts w:ascii="Times New Roman" w:hAnsi="Times New Roman" w:cs="Times New Roman"/>
        </w:rPr>
        <w:tab/>
      </w:r>
    </w:p>
    <w:p w14:paraId="54B78EB8" w14:textId="508433EB"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Deu-se início à presente “</w:t>
      </w:r>
      <w:r w:rsidRPr="00407D27">
        <w:rPr>
          <w:rFonts w:ascii="Times New Roman" w:hAnsi="Times New Roman" w:cs="Times New Roman"/>
          <w:i/>
          <w:iCs/>
        </w:rPr>
        <w:t>Liquidação por Arbitramento</w:t>
      </w:r>
      <w:r w:rsidRPr="00407D27">
        <w:rPr>
          <w:rFonts w:ascii="Times New Roman" w:hAnsi="Times New Roman" w:cs="Times New Roman"/>
        </w:rPr>
        <w:t xml:space="preserve">” tendo a autora apresentado os documentos elucidativos e parecer técnico, apurado em parecer contábil o valor atualizado a ser restituído até </w:t>
      </w:r>
      <w:r>
        <w:rPr>
          <w:rFonts w:ascii="Times New Roman" w:hAnsi="Times New Roman" w:cs="Times New Roman"/>
        </w:rPr>
        <w:t>...</w:t>
      </w:r>
      <w:r w:rsidRPr="00407D27">
        <w:rPr>
          <w:rFonts w:ascii="Times New Roman" w:hAnsi="Times New Roman" w:cs="Times New Roman"/>
        </w:rPr>
        <w:t xml:space="preserve"> de R$ </w:t>
      </w:r>
      <w:r>
        <w:rPr>
          <w:rFonts w:ascii="Times New Roman" w:hAnsi="Times New Roman" w:cs="Times New Roman"/>
        </w:rPr>
        <w:t>...</w:t>
      </w:r>
      <w:r w:rsidRPr="00407D27">
        <w:rPr>
          <w:rFonts w:ascii="Times New Roman" w:hAnsi="Times New Roman" w:cs="Times New Roman"/>
        </w:rPr>
        <w:t>[</w:t>
      </w:r>
      <w:r>
        <w:rPr>
          <w:rFonts w:ascii="Times New Roman" w:hAnsi="Times New Roman" w:cs="Times New Roman"/>
        </w:rPr>
        <w:t>...</w:t>
      </w:r>
      <w:r w:rsidRPr="00407D27">
        <w:rPr>
          <w:rFonts w:ascii="Times New Roman" w:hAnsi="Times New Roman" w:cs="Times New Roman"/>
        </w:rPr>
        <w:t xml:space="preserve">] ---vide Evento </w:t>
      </w:r>
      <w:r>
        <w:rPr>
          <w:rFonts w:ascii="Times New Roman" w:hAnsi="Times New Roman" w:cs="Times New Roman"/>
        </w:rPr>
        <w:t>...</w:t>
      </w:r>
      <w:r w:rsidRPr="00407D27">
        <w:rPr>
          <w:rFonts w:ascii="Times New Roman" w:hAnsi="Times New Roman" w:cs="Times New Roman"/>
        </w:rPr>
        <w:t xml:space="preserve"> - Inicial e Evento </w:t>
      </w:r>
      <w:r>
        <w:rPr>
          <w:rFonts w:ascii="Times New Roman" w:hAnsi="Times New Roman" w:cs="Times New Roman"/>
        </w:rPr>
        <w:t>...</w:t>
      </w:r>
      <w:r w:rsidRPr="00407D27">
        <w:rPr>
          <w:rFonts w:ascii="Times New Roman" w:hAnsi="Times New Roman" w:cs="Times New Roman"/>
        </w:rPr>
        <w:t xml:space="preserve"> [Laudo Contábil].</w:t>
      </w:r>
    </w:p>
    <w:p w14:paraId="752B8A37" w14:textId="7D173F0F"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A União veio aos autos através da Receita Federal e informou que a tomadora de serviços ASSOCIAÇÃO </w:t>
      </w:r>
      <w:r w:rsidR="003C0B01">
        <w:rPr>
          <w:rFonts w:ascii="Times New Roman" w:hAnsi="Times New Roman" w:cs="Times New Roman"/>
        </w:rPr>
        <w:t>...</w:t>
      </w:r>
      <w:r w:rsidRPr="00407D27">
        <w:rPr>
          <w:rFonts w:ascii="Times New Roman" w:hAnsi="Times New Roman" w:cs="Times New Roman"/>
        </w:rPr>
        <w:t xml:space="preserve"> não efetuou os valores retidos pela </w:t>
      </w:r>
      <w:r w:rsidR="003C0B01">
        <w:rPr>
          <w:rFonts w:ascii="Times New Roman" w:hAnsi="Times New Roman" w:cs="Times New Roman"/>
        </w:rPr>
        <w:t>...</w:t>
      </w:r>
      <w:r w:rsidRPr="00407D27">
        <w:rPr>
          <w:rFonts w:ascii="Times New Roman" w:hAnsi="Times New Roman" w:cs="Times New Roman"/>
        </w:rPr>
        <w:t>, tendo a associação tomadora promovido uma ação judicial contra a UNIÃO e lá efetuados valores retidos em conta corrente judicial, e sugeriu que “</w:t>
      </w:r>
      <w:r w:rsidRPr="003C0B01">
        <w:rPr>
          <w:rFonts w:ascii="Times New Roman" w:hAnsi="Times New Roman" w:cs="Times New Roman"/>
          <w:i/>
          <w:iCs/>
        </w:rPr>
        <w:t xml:space="preserve">O correto é efetuar a restituição à </w:t>
      </w:r>
      <w:r w:rsidR="003C0B01" w:rsidRPr="003C0B01">
        <w:rPr>
          <w:rFonts w:ascii="Times New Roman" w:hAnsi="Times New Roman" w:cs="Times New Roman"/>
          <w:i/>
          <w:iCs/>
        </w:rPr>
        <w:t>...</w:t>
      </w:r>
      <w:r w:rsidRPr="003C0B01">
        <w:rPr>
          <w:rFonts w:ascii="Times New Roman" w:hAnsi="Times New Roman" w:cs="Times New Roman"/>
          <w:i/>
          <w:iCs/>
        </w:rPr>
        <w:t xml:space="preserve">com os valores depositados pela Associação </w:t>
      </w:r>
      <w:r w:rsidR="003C0B01" w:rsidRPr="003C0B01">
        <w:rPr>
          <w:rFonts w:ascii="Times New Roman" w:hAnsi="Times New Roman" w:cs="Times New Roman"/>
          <w:i/>
          <w:iCs/>
        </w:rPr>
        <w:t>...</w:t>
      </w:r>
      <w:r w:rsidRPr="003C0B01">
        <w:rPr>
          <w:rFonts w:ascii="Times New Roman" w:hAnsi="Times New Roman" w:cs="Times New Roman"/>
          <w:i/>
          <w:iCs/>
        </w:rPr>
        <w:t xml:space="preserve"> na conta </w:t>
      </w:r>
      <w:r w:rsidR="003C0B01" w:rsidRPr="003C0B01">
        <w:rPr>
          <w:rFonts w:ascii="Times New Roman" w:hAnsi="Times New Roman" w:cs="Times New Roman"/>
          <w:i/>
          <w:iCs/>
        </w:rPr>
        <w:t>...</w:t>
      </w:r>
      <w:r w:rsidRPr="003C0B01">
        <w:rPr>
          <w:rFonts w:ascii="Times New Roman" w:hAnsi="Times New Roman" w:cs="Times New Roman"/>
          <w:i/>
          <w:iCs/>
        </w:rPr>
        <w:t xml:space="preserve">, ou após a conversão destes depósitos em pagamento definitivo. Os valores depositados não pertencem à Associação </w:t>
      </w:r>
      <w:r w:rsidR="003C0B01">
        <w:rPr>
          <w:rFonts w:ascii="Times New Roman" w:hAnsi="Times New Roman" w:cs="Times New Roman"/>
          <w:i/>
          <w:iCs/>
        </w:rPr>
        <w:t>...</w:t>
      </w:r>
      <w:r w:rsidRPr="003C0B01">
        <w:rPr>
          <w:rFonts w:ascii="Times New Roman" w:hAnsi="Times New Roman" w:cs="Times New Roman"/>
          <w:i/>
          <w:iCs/>
        </w:rPr>
        <w:t xml:space="preserve"> que foi apenas a responsável pela retenção do recolhimento deles</w:t>
      </w:r>
      <w:r w:rsidRPr="00407D27">
        <w:rPr>
          <w:rFonts w:ascii="Times New Roman" w:hAnsi="Times New Roman" w:cs="Times New Roman"/>
        </w:rPr>
        <w:t>” [sic]. Juntou planilha específica “</w:t>
      </w:r>
      <w:r w:rsidRPr="003C0B01">
        <w:rPr>
          <w:rFonts w:ascii="Times New Roman" w:hAnsi="Times New Roman" w:cs="Times New Roman"/>
          <w:i/>
          <w:iCs/>
        </w:rPr>
        <w:t xml:space="preserve">apenas com as retenções efetuadas nas notas fiscais de prestação de serviços da </w:t>
      </w:r>
      <w:r w:rsidR="003C0B01" w:rsidRPr="003C0B01">
        <w:rPr>
          <w:rFonts w:ascii="Times New Roman" w:hAnsi="Times New Roman" w:cs="Times New Roman"/>
          <w:i/>
          <w:iCs/>
        </w:rPr>
        <w:t>...</w:t>
      </w:r>
      <w:r w:rsidRPr="003C0B01">
        <w:rPr>
          <w:rFonts w:ascii="Times New Roman" w:hAnsi="Times New Roman" w:cs="Times New Roman"/>
          <w:i/>
          <w:iCs/>
        </w:rPr>
        <w:t xml:space="preserve">, observe-se que na mesma conta há outros depósitos dos retidos da prestadora </w:t>
      </w:r>
      <w:r w:rsidR="003C0B01" w:rsidRPr="003C0B01">
        <w:rPr>
          <w:rFonts w:ascii="Times New Roman" w:hAnsi="Times New Roman" w:cs="Times New Roman"/>
          <w:i/>
          <w:iCs/>
        </w:rPr>
        <w:t>...</w:t>
      </w:r>
      <w:r w:rsidRPr="00407D27">
        <w:rPr>
          <w:rFonts w:ascii="Times New Roman" w:hAnsi="Times New Roman" w:cs="Times New Roman"/>
        </w:rPr>
        <w:t xml:space="preserve">” no valor de R$ </w:t>
      </w:r>
      <w:r w:rsidR="003C0B01">
        <w:rPr>
          <w:rFonts w:ascii="Times New Roman" w:hAnsi="Times New Roman" w:cs="Times New Roman"/>
        </w:rPr>
        <w:t>...</w:t>
      </w:r>
      <w:r w:rsidRPr="00407D27">
        <w:rPr>
          <w:rFonts w:ascii="Times New Roman" w:hAnsi="Times New Roman" w:cs="Times New Roman"/>
        </w:rPr>
        <w:t xml:space="preserve"> [sic] --- vide Evento </w:t>
      </w:r>
      <w:r w:rsidR="003C0B01">
        <w:rPr>
          <w:rFonts w:ascii="Times New Roman" w:hAnsi="Times New Roman" w:cs="Times New Roman"/>
        </w:rPr>
        <w:t>...</w:t>
      </w:r>
    </w:p>
    <w:p w14:paraId="30677B8C" w14:textId="014A31F2"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A autora compareceu no feito no Evento </w:t>
      </w:r>
      <w:r w:rsidR="003C0B01">
        <w:rPr>
          <w:rFonts w:ascii="Times New Roman" w:hAnsi="Times New Roman" w:cs="Times New Roman"/>
        </w:rPr>
        <w:t>...</w:t>
      </w:r>
      <w:r w:rsidRPr="00407D27">
        <w:rPr>
          <w:rFonts w:ascii="Times New Roman" w:hAnsi="Times New Roman" w:cs="Times New Roman"/>
        </w:rPr>
        <w:t xml:space="preserve"> e enfatizou que há reconhecidamente depósitos judiciais no embate entre a União e a Associação </w:t>
      </w:r>
      <w:r w:rsidR="003C0B01">
        <w:rPr>
          <w:rFonts w:ascii="Times New Roman" w:hAnsi="Times New Roman" w:cs="Times New Roman"/>
        </w:rPr>
        <w:t>...</w:t>
      </w:r>
      <w:r w:rsidRPr="00407D27">
        <w:rPr>
          <w:rFonts w:ascii="Times New Roman" w:hAnsi="Times New Roman" w:cs="Times New Roman"/>
        </w:rPr>
        <w:t xml:space="preserve"> relativo às retenções </w:t>
      </w:r>
      <w:r w:rsidRPr="003C0B01">
        <w:rPr>
          <w:rFonts w:ascii="Times New Roman" w:hAnsi="Times New Roman" w:cs="Times New Roman"/>
          <w:i/>
          <w:iCs/>
        </w:rPr>
        <w:t>in quaestio</w:t>
      </w:r>
      <w:r w:rsidRPr="00407D27">
        <w:rPr>
          <w:rFonts w:ascii="Times New Roman" w:hAnsi="Times New Roman" w:cs="Times New Roman"/>
        </w:rPr>
        <w:t xml:space="preserve"> nesses autos, mas que a </w:t>
      </w:r>
      <w:r w:rsidR="003C0B01">
        <w:rPr>
          <w:rFonts w:ascii="Times New Roman" w:hAnsi="Times New Roman" w:cs="Times New Roman"/>
        </w:rPr>
        <w:t>...</w:t>
      </w:r>
      <w:r w:rsidRPr="00407D27">
        <w:rPr>
          <w:rFonts w:ascii="Times New Roman" w:hAnsi="Times New Roman" w:cs="Times New Roman"/>
        </w:rPr>
        <w:t xml:space="preserve"> não é parte, não teve conhecimento ou participação na discussão movida, muito menos das decisões lá proferidas nas instâncias ordinárias ou superiores, ou seja, não produzem efeito </w:t>
      </w:r>
      <w:r w:rsidRPr="003C0B01">
        <w:rPr>
          <w:rFonts w:ascii="Times New Roman" w:hAnsi="Times New Roman" w:cs="Times New Roman"/>
          <w:i/>
          <w:iCs/>
        </w:rPr>
        <w:t>erga omnes</w:t>
      </w:r>
      <w:r w:rsidRPr="00407D27">
        <w:rPr>
          <w:rFonts w:ascii="Times New Roman" w:hAnsi="Times New Roman" w:cs="Times New Roman"/>
        </w:rPr>
        <w:t xml:space="preserve">, mas tão somente </w:t>
      </w:r>
      <w:proofErr w:type="spellStart"/>
      <w:r w:rsidRPr="003C0B01">
        <w:rPr>
          <w:rFonts w:ascii="Times New Roman" w:hAnsi="Times New Roman" w:cs="Times New Roman"/>
          <w:i/>
          <w:iCs/>
        </w:rPr>
        <w:t>inter</w:t>
      </w:r>
      <w:proofErr w:type="spellEnd"/>
      <w:r w:rsidRPr="003C0B01">
        <w:rPr>
          <w:rFonts w:ascii="Times New Roman" w:hAnsi="Times New Roman" w:cs="Times New Roman"/>
          <w:i/>
          <w:iCs/>
        </w:rPr>
        <w:t xml:space="preserve"> partes</w:t>
      </w:r>
      <w:r w:rsidRPr="00407D27">
        <w:rPr>
          <w:rFonts w:ascii="Times New Roman" w:hAnsi="Times New Roman" w:cs="Times New Roman"/>
        </w:rPr>
        <w:t>.</w:t>
      </w:r>
    </w:p>
    <w:p w14:paraId="4699426E" w14:textId="653BB3D8"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Como aliás, bem sobressaltado na v. sentença do Evento </w:t>
      </w:r>
      <w:r w:rsidR="003C0B01">
        <w:rPr>
          <w:rFonts w:ascii="Times New Roman" w:hAnsi="Times New Roman" w:cs="Times New Roman"/>
        </w:rPr>
        <w:t>...</w:t>
      </w:r>
      <w:r w:rsidRPr="00407D27">
        <w:rPr>
          <w:rFonts w:ascii="Times New Roman" w:hAnsi="Times New Roman" w:cs="Times New Roman"/>
        </w:rPr>
        <w:t xml:space="preserve"> desse d. juízo ora em liquidação, </w:t>
      </w:r>
      <w:proofErr w:type="spellStart"/>
      <w:r w:rsidRPr="003C0B01">
        <w:rPr>
          <w:rFonts w:ascii="Times New Roman" w:hAnsi="Times New Roman" w:cs="Times New Roman"/>
          <w:i/>
          <w:iCs/>
        </w:rPr>
        <w:t>ipissis</w:t>
      </w:r>
      <w:proofErr w:type="spellEnd"/>
      <w:r w:rsidRPr="003C0B01">
        <w:rPr>
          <w:rFonts w:ascii="Times New Roman" w:hAnsi="Times New Roman" w:cs="Times New Roman"/>
          <w:i/>
          <w:iCs/>
        </w:rPr>
        <w:t xml:space="preserve"> litteris</w:t>
      </w:r>
      <w:r w:rsidRPr="00407D27">
        <w:rPr>
          <w:rFonts w:ascii="Times New Roman" w:hAnsi="Times New Roman" w:cs="Times New Roman"/>
        </w:rPr>
        <w:t>:</w:t>
      </w:r>
    </w:p>
    <w:p w14:paraId="00963E0C" w14:textId="3B08E194" w:rsidR="00407D27" w:rsidRPr="003C0B01" w:rsidRDefault="003C0B01" w:rsidP="00407D27">
      <w:pPr>
        <w:ind w:right="-568"/>
        <w:jc w:val="both"/>
        <w:rPr>
          <w:rFonts w:ascii="Times New Roman" w:hAnsi="Times New Roman" w:cs="Times New Roman"/>
          <w:i/>
          <w:iCs/>
        </w:rPr>
      </w:pPr>
      <w:r>
        <w:rPr>
          <w:rFonts w:ascii="Times New Roman" w:hAnsi="Times New Roman" w:cs="Times New Roman"/>
        </w:rPr>
        <w:t>“</w:t>
      </w:r>
      <w:r w:rsidR="00407D27" w:rsidRPr="003C0B01">
        <w:rPr>
          <w:rFonts w:ascii="Times New Roman" w:hAnsi="Times New Roman" w:cs="Times New Roman"/>
          <w:i/>
          <w:iCs/>
        </w:rPr>
        <w:t xml:space="preserve">Sob outro giro, os documentos que instruíram a inicial permitem, em princípio, considerar fundado o pedido, na medida em que demonstram a existência de retenções nas notas fiscais de prestação de serviços ao longo do tempo.  </w:t>
      </w:r>
    </w:p>
    <w:p w14:paraId="1ED6FBCC" w14:textId="631E4EE1" w:rsidR="00407D27" w:rsidRPr="00407D27" w:rsidRDefault="00407D27" w:rsidP="00407D27">
      <w:pPr>
        <w:ind w:right="-568"/>
        <w:jc w:val="both"/>
        <w:rPr>
          <w:rFonts w:ascii="Times New Roman" w:hAnsi="Times New Roman" w:cs="Times New Roman"/>
        </w:rPr>
      </w:pPr>
      <w:r w:rsidRPr="003C0B01">
        <w:rPr>
          <w:rFonts w:ascii="Times New Roman" w:hAnsi="Times New Roman" w:cs="Times New Roman"/>
          <w:i/>
          <w:iCs/>
        </w:rPr>
        <w:t xml:space="preserve">2.2 Com relação ao processo existente entre a Associação </w:t>
      </w:r>
      <w:r w:rsidR="003C0B01">
        <w:rPr>
          <w:rFonts w:ascii="Times New Roman" w:hAnsi="Times New Roman" w:cs="Times New Roman"/>
          <w:i/>
          <w:iCs/>
        </w:rPr>
        <w:t>...</w:t>
      </w:r>
      <w:r w:rsidRPr="003C0B01">
        <w:rPr>
          <w:rFonts w:ascii="Times New Roman" w:hAnsi="Times New Roman" w:cs="Times New Roman"/>
          <w:i/>
          <w:iCs/>
        </w:rPr>
        <w:t xml:space="preserve"> e a União, tal matéria não atinge o direito da autora, que não é parte naqueles autos</w:t>
      </w:r>
      <w:r w:rsidRPr="00407D27">
        <w:rPr>
          <w:rFonts w:ascii="Times New Roman" w:hAnsi="Times New Roman" w:cs="Times New Roman"/>
        </w:rPr>
        <w:t>.</w:t>
      </w:r>
      <w:r w:rsidR="003C0B01">
        <w:rPr>
          <w:rFonts w:ascii="Times New Roman" w:hAnsi="Times New Roman" w:cs="Times New Roman"/>
        </w:rPr>
        <w:t>”</w:t>
      </w:r>
      <w:r w:rsidRPr="00407D27">
        <w:rPr>
          <w:rFonts w:ascii="Times New Roman" w:hAnsi="Times New Roman" w:cs="Times New Roman"/>
        </w:rPr>
        <w:t xml:space="preserve"> </w:t>
      </w:r>
    </w:p>
    <w:p w14:paraId="1BC5BE0D" w14:textId="2ADF472F"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E mais. A União não combateu numa linha sequer o cálculo apresentado pelo credor e nem discordou com os documentos juntados com a liquidação de sentença no Evento </w:t>
      </w:r>
      <w:r w:rsidR="003C0B01">
        <w:rPr>
          <w:rFonts w:ascii="Times New Roman" w:hAnsi="Times New Roman" w:cs="Times New Roman"/>
        </w:rPr>
        <w:t>...</w:t>
      </w:r>
      <w:r w:rsidRPr="00407D27">
        <w:rPr>
          <w:rFonts w:ascii="Times New Roman" w:hAnsi="Times New Roman" w:cs="Times New Roman"/>
        </w:rPr>
        <w:t xml:space="preserve"> --- ao contrário, apresentou uma planilha com valor maior, atualizado até </w:t>
      </w:r>
      <w:r w:rsidR="003C0B01">
        <w:rPr>
          <w:rFonts w:ascii="Times New Roman" w:hAnsi="Times New Roman" w:cs="Times New Roman"/>
        </w:rPr>
        <w:t>...</w:t>
      </w:r>
      <w:r w:rsidRPr="00407D27">
        <w:rPr>
          <w:rFonts w:ascii="Times New Roman" w:hAnsi="Times New Roman" w:cs="Times New Roman"/>
        </w:rPr>
        <w:t xml:space="preserve"> de R$ </w:t>
      </w:r>
      <w:r w:rsidR="003C0B01">
        <w:rPr>
          <w:rFonts w:ascii="Times New Roman" w:hAnsi="Times New Roman" w:cs="Times New Roman"/>
        </w:rPr>
        <w:t>...</w:t>
      </w:r>
      <w:r w:rsidRPr="00407D27">
        <w:rPr>
          <w:rFonts w:ascii="Times New Roman" w:hAnsi="Times New Roman" w:cs="Times New Roman"/>
        </w:rPr>
        <w:t xml:space="preserve"> ---.</w:t>
      </w:r>
    </w:p>
    <w:p w14:paraId="2C07CABB" w14:textId="245229CF"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Reiterou fosse proferida sentença ARBITRANDO O VALOR DEVIDO PELA UNIÃO FEDERAL à </w:t>
      </w:r>
      <w:r w:rsidR="003C0B01">
        <w:rPr>
          <w:rFonts w:ascii="Times New Roman" w:hAnsi="Times New Roman" w:cs="Times New Roman"/>
        </w:rPr>
        <w:t>..</w:t>
      </w:r>
      <w:r w:rsidRPr="00407D27">
        <w:rPr>
          <w:rFonts w:ascii="Times New Roman" w:hAnsi="Times New Roman" w:cs="Times New Roman"/>
        </w:rPr>
        <w:t xml:space="preserve">. no valor de R$ </w:t>
      </w:r>
      <w:r w:rsidR="003C0B01">
        <w:rPr>
          <w:rFonts w:ascii="Times New Roman" w:hAnsi="Times New Roman" w:cs="Times New Roman"/>
        </w:rPr>
        <w:t>...</w:t>
      </w:r>
      <w:r w:rsidRPr="00407D27">
        <w:rPr>
          <w:rFonts w:ascii="Times New Roman" w:hAnsi="Times New Roman" w:cs="Times New Roman"/>
        </w:rPr>
        <w:t xml:space="preserve"> [</w:t>
      </w:r>
      <w:r w:rsidR="003C0B01">
        <w:rPr>
          <w:rFonts w:ascii="Times New Roman" w:hAnsi="Times New Roman" w:cs="Times New Roman"/>
        </w:rPr>
        <w:t>...</w:t>
      </w:r>
      <w:r w:rsidRPr="00407D27">
        <w:rPr>
          <w:rFonts w:ascii="Times New Roman" w:hAnsi="Times New Roman" w:cs="Times New Roman"/>
        </w:rPr>
        <w:t xml:space="preserve">], atualizado até </w:t>
      </w:r>
      <w:r w:rsidR="003C0B01">
        <w:rPr>
          <w:rFonts w:ascii="Times New Roman" w:hAnsi="Times New Roman" w:cs="Times New Roman"/>
        </w:rPr>
        <w:t>...</w:t>
      </w:r>
    </w:p>
    <w:p w14:paraId="0AC9DB38" w14:textId="3F8F3470" w:rsidR="00407D27" w:rsidRPr="003C0B01" w:rsidRDefault="00407D27" w:rsidP="00407D27">
      <w:pPr>
        <w:ind w:right="-568"/>
        <w:jc w:val="both"/>
        <w:rPr>
          <w:rFonts w:ascii="Times New Roman" w:hAnsi="Times New Roman" w:cs="Times New Roman"/>
          <w:b/>
          <w:bCs/>
        </w:rPr>
      </w:pPr>
      <w:r w:rsidRPr="003C0B01">
        <w:rPr>
          <w:rFonts w:ascii="Times New Roman" w:hAnsi="Times New Roman" w:cs="Times New Roman"/>
          <w:b/>
          <w:bCs/>
        </w:rPr>
        <w:t>IV- DA RESPONSABILIDADE LEGAL EXCLUSIVA DO TOMADOR DO SERVIÇO PELO RECOLHIMENTO</w:t>
      </w:r>
    </w:p>
    <w:p w14:paraId="7CEBAAA3" w14:textId="73DB7597"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O ponto central da controvérsia é objetivo e não comporta tergiversações: a legislação de regência atribui à empresa contratante/tomadora dos serviços — e não à prestadora — a obrigação de reter 11% do valor bruto da nota fiscal ou fatura e recolher, em nome da empresa </w:t>
      </w:r>
      <w:r w:rsidRPr="00407D27">
        <w:rPr>
          <w:rFonts w:ascii="Times New Roman" w:hAnsi="Times New Roman" w:cs="Times New Roman"/>
        </w:rPr>
        <w:lastRenderedPageBreak/>
        <w:t>cedente da mão de obra, a importância retida. É exatamente isso que dispõe o art. 31 da Lei nº 8.212/1991 e igualmente o que fundamentou a v. sentença liquidanda.</w:t>
      </w:r>
    </w:p>
    <w:p w14:paraId="6DB8AA41" w14:textId="453B17F1"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O mesmo dispositivo legal prevê, ainda, que o valor retido e devidamente destacado na nota fiscal poderá ser compensado pela empresa cedente e, se remanescer saldo, será objeto de restituição. A lei, portanto, operou nítida separação entre o dever jurídico de recolher, atribuído ao tomador, e a titularidade do crédito tributário correspondente à retenção, assegurada à prestadora.</w:t>
      </w:r>
    </w:p>
    <w:p w14:paraId="206A2FCD" w14:textId="07125C95"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Não existe, no texto legal, qualquer exigência de que a prestadora do serviço que sofreu a retenção tenha de comprovar o efetivo adimplemento do tomador como condição para exercer seu direito à restituição ou à compensação. Essa condicionante foi artificialmente criada pela defesa fazendária, sem base legal, e deve ser repelida de plano.</w:t>
      </w:r>
    </w:p>
    <w:p w14:paraId="56D0CC18" w14:textId="66768669"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Inclusive, a própria sentença objeto de liquidação tratou de afastar qualquer vinculação da ação que a União contende com o tomador do serviço.</w:t>
      </w:r>
    </w:p>
    <w:p w14:paraId="649F809D" w14:textId="6C0F5284"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A autora cumpriu rigorosamente aquilo que a legislação lhe impunha. Emitiu regularmente as notas fiscais e nelas promoveu o destaque da retenção previdenciária, em estrita observância ao regime legal e regulamentar aplicável.</w:t>
      </w:r>
    </w:p>
    <w:p w14:paraId="5615E572" w14:textId="77777777"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A regulamentação administrativa da Receita Federal, atualmente consolidada na IN RFB nº 2.110/2022, confirma a sistemática do art. 31 da Lei nº 8.212/1991, preservando a obrigação da contratada de destacar a retenção na nota fiscal e reconhecendo que o valor retido, recolhido em seu nome, pode ser objeto de compensação e restituição, observados os requisitos legais.</w:t>
      </w:r>
    </w:p>
    <w:p w14:paraId="3E18BC58" w14:textId="29623886"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Assim, à prestadora competia emitir a nota fiscal e destacar a retenção; à tomadora compete reter e recolher. Essa divisão de responsabilidades é inequívoca. Por isso, a tentativa da União de negar a restituição à autora com base em litígio judicial com a tomadora constitui flagrante distorção do regime legal.</w:t>
      </w:r>
    </w:p>
    <w:p w14:paraId="195FACAE" w14:textId="381F36DC"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Nos termos da r. sentença:</w:t>
      </w:r>
    </w:p>
    <w:p w14:paraId="1B4DF087" w14:textId="3860EFA4" w:rsidR="00407D27" w:rsidRPr="003C0B01" w:rsidRDefault="003C0B01" w:rsidP="00407D27">
      <w:pPr>
        <w:ind w:right="-568"/>
        <w:jc w:val="both"/>
        <w:rPr>
          <w:rFonts w:ascii="Times New Roman" w:hAnsi="Times New Roman" w:cs="Times New Roman"/>
          <w:i/>
          <w:iCs/>
        </w:rPr>
      </w:pPr>
      <w:r>
        <w:rPr>
          <w:rFonts w:ascii="Times New Roman" w:hAnsi="Times New Roman" w:cs="Times New Roman"/>
        </w:rPr>
        <w:t>“</w:t>
      </w:r>
      <w:r w:rsidR="00407D27" w:rsidRPr="003C0B01">
        <w:rPr>
          <w:rFonts w:ascii="Times New Roman" w:hAnsi="Times New Roman" w:cs="Times New Roman"/>
          <w:i/>
          <w:iCs/>
        </w:rPr>
        <w:t xml:space="preserve">3.2 Acolho os pedidos e determino que a União restitua à autora os valores recolhidos a maior, que foram objeto dos pedidos de restituição </w:t>
      </w:r>
      <w:r w:rsidRPr="003C0B01">
        <w:rPr>
          <w:rFonts w:ascii="Times New Roman" w:hAnsi="Times New Roman" w:cs="Times New Roman"/>
          <w:i/>
          <w:iCs/>
        </w:rPr>
        <w:t>...</w:t>
      </w:r>
      <w:r w:rsidR="00407D27" w:rsidRPr="003C0B01">
        <w:rPr>
          <w:rFonts w:ascii="Times New Roman" w:hAnsi="Times New Roman" w:cs="Times New Roman"/>
          <w:i/>
          <w:iCs/>
        </w:rPr>
        <w:t xml:space="preserve">, </w:t>
      </w:r>
      <w:r w:rsidRPr="003C0B01">
        <w:rPr>
          <w:rFonts w:ascii="Times New Roman" w:hAnsi="Times New Roman" w:cs="Times New Roman"/>
          <w:i/>
          <w:iCs/>
        </w:rPr>
        <w:t>...</w:t>
      </w:r>
      <w:r w:rsidR="00407D27" w:rsidRPr="003C0B01">
        <w:rPr>
          <w:rFonts w:ascii="Times New Roman" w:hAnsi="Times New Roman" w:cs="Times New Roman"/>
          <w:i/>
          <w:iCs/>
        </w:rPr>
        <w:t xml:space="preserve"> e </w:t>
      </w:r>
      <w:r w:rsidRPr="003C0B01">
        <w:rPr>
          <w:rFonts w:ascii="Times New Roman" w:hAnsi="Times New Roman" w:cs="Times New Roman"/>
          <w:i/>
          <w:iCs/>
        </w:rPr>
        <w:t>...</w:t>
      </w:r>
      <w:r w:rsidR="00407D27" w:rsidRPr="003C0B01">
        <w:rPr>
          <w:rFonts w:ascii="Times New Roman" w:hAnsi="Times New Roman" w:cs="Times New Roman"/>
          <w:i/>
          <w:iCs/>
        </w:rPr>
        <w:t xml:space="preserve">, devidamente corrigidos pela Selic, a ser apurado em liquidação de sentença, conforme estabelecido no item 2.3. </w:t>
      </w:r>
    </w:p>
    <w:p w14:paraId="18112138" w14:textId="0684BB1C" w:rsidR="00407D27" w:rsidRPr="00407D27" w:rsidRDefault="00407D27" w:rsidP="00407D27">
      <w:pPr>
        <w:ind w:right="-568"/>
        <w:jc w:val="both"/>
        <w:rPr>
          <w:rFonts w:ascii="Times New Roman" w:hAnsi="Times New Roman" w:cs="Times New Roman"/>
        </w:rPr>
      </w:pPr>
      <w:r w:rsidRPr="003C0B01">
        <w:rPr>
          <w:rFonts w:ascii="Times New Roman" w:hAnsi="Times New Roman" w:cs="Times New Roman"/>
          <w:i/>
          <w:iCs/>
        </w:rPr>
        <w:t xml:space="preserve">2.3 Por outro lado, a sentença alcança apenas a pretensão à restituição dos valores que foram objeto dos processos administrativos </w:t>
      </w:r>
      <w:r w:rsidR="003C0B01" w:rsidRPr="003C0B01">
        <w:rPr>
          <w:rFonts w:ascii="Times New Roman" w:hAnsi="Times New Roman" w:cs="Times New Roman"/>
          <w:i/>
          <w:iCs/>
        </w:rPr>
        <w:t>...</w:t>
      </w:r>
      <w:r w:rsidRPr="003C0B01">
        <w:rPr>
          <w:rFonts w:ascii="Times New Roman" w:hAnsi="Times New Roman" w:cs="Times New Roman"/>
          <w:i/>
          <w:iCs/>
        </w:rPr>
        <w:t xml:space="preserve">, </w:t>
      </w:r>
      <w:r w:rsidR="003C0B01" w:rsidRPr="003C0B01">
        <w:rPr>
          <w:rFonts w:ascii="Times New Roman" w:hAnsi="Times New Roman" w:cs="Times New Roman"/>
          <w:i/>
          <w:iCs/>
        </w:rPr>
        <w:t>...</w:t>
      </w:r>
      <w:r w:rsidRPr="003C0B01">
        <w:rPr>
          <w:rFonts w:ascii="Times New Roman" w:hAnsi="Times New Roman" w:cs="Times New Roman"/>
          <w:i/>
          <w:iCs/>
        </w:rPr>
        <w:t xml:space="preserve"> e </w:t>
      </w:r>
      <w:r w:rsidR="003C0B01" w:rsidRPr="003C0B01">
        <w:rPr>
          <w:rFonts w:ascii="Times New Roman" w:hAnsi="Times New Roman" w:cs="Times New Roman"/>
          <w:i/>
          <w:iCs/>
        </w:rPr>
        <w:t>...</w:t>
      </w:r>
      <w:r w:rsidRPr="003C0B01">
        <w:rPr>
          <w:rFonts w:ascii="Times New Roman" w:hAnsi="Times New Roman" w:cs="Times New Roman"/>
          <w:i/>
          <w:iCs/>
        </w:rPr>
        <w:t>, desde que a autora comprove, quando da liquidação da sentença, a efetiva retenção e o valor recolhido a maior</w:t>
      </w:r>
      <w:r w:rsidRPr="00407D27">
        <w:rPr>
          <w:rFonts w:ascii="Times New Roman" w:hAnsi="Times New Roman" w:cs="Times New Roman"/>
        </w:rPr>
        <w:t>.</w:t>
      </w:r>
      <w:r w:rsidR="003C0B01">
        <w:rPr>
          <w:rFonts w:ascii="Times New Roman" w:hAnsi="Times New Roman" w:cs="Times New Roman"/>
        </w:rPr>
        <w:t>”</w:t>
      </w:r>
      <w:r w:rsidRPr="00407D27">
        <w:rPr>
          <w:rFonts w:ascii="Times New Roman" w:hAnsi="Times New Roman" w:cs="Times New Roman"/>
        </w:rPr>
        <w:t xml:space="preserve">   </w:t>
      </w:r>
    </w:p>
    <w:p w14:paraId="02E5F74F" w14:textId="77777777" w:rsidR="003C0B01" w:rsidRDefault="00407D27" w:rsidP="00407D27">
      <w:pPr>
        <w:ind w:right="-568"/>
        <w:jc w:val="both"/>
        <w:rPr>
          <w:rFonts w:ascii="Times New Roman" w:hAnsi="Times New Roman" w:cs="Times New Roman"/>
        </w:rPr>
      </w:pPr>
      <w:r w:rsidRPr="00407D27">
        <w:rPr>
          <w:rFonts w:ascii="Times New Roman" w:hAnsi="Times New Roman" w:cs="Times New Roman"/>
        </w:rPr>
        <w:t>A v. sentença em liquidação em instante algum imputou ao autor a obrigação de comprovar o recolhimento do tributo pela tomadora do serviço, mas tão somente, comprovar que sofreu a retenção [comprovada pelos destaques na notas fiscais descontados do valor bruto recebido], bem como a existência de valor recolhido a maior a ser restituído [comprovado através da planilha juntada e não impugnada nesta Liquidação de Sentença, onde se demonstrou o total das retenções, os valores compensados e o saldo a ser restituído].</w:t>
      </w:r>
    </w:p>
    <w:p w14:paraId="144F18CC" w14:textId="123B2ACF"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lastRenderedPageBreak/>
        <w:t>A defesa fazendária incorre em inaceitável inversão da lógica normativa ao reconhecer, de um lado, que a lei impõe ao tomador a obrigação de recolher, mas, de outro, pretender que as consequências do descumprimento dessa obrigação sejam suportadas pela prestadora.</w:t>
      </w:r>
    </w:p>
    <w:p w14:paraId="30D1929C" w14:textId="6C2A7AA0"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Não deve prosperar, portanto, a alegação da União de impossibilidade de restituição imediata até a resolução de pendências judiciais entre ela e a Tomadora de Serviço, em autos judiciais cuja a ora Exequente não é parte e não integra aquela relação jurídica ou processual.</w:t>
      </w:r>
    </w:p>
    <w:p w14:paraId="72F23B11" w14:textId="436F0C8D" w:rsidR="00407D27" w:rsidRPr="003C0B01" w:rsidRDefault="00407D27" w:rsidP="00407D27">
      <w:pPr>
        <w:ind w:right="-568"/>
        <w:jc w:val="both"/>
        <w:rPr>
          <w:rFonts w:ascii="Times New Roman" w:hAnsi="Times New Roman" w:cs="Times New Roman"/>
          <w:b/>
          <w:bCs/>
        </w:rPr>
      </w:pPr>
      <w:r w:rsidRPr="00407D27">
        <w:rPr>
          <w:rFonts w:ascii="Times New Roman" w:hAnsi="Times New Roman" w:cs="Times New Roman"/>
        </w:rPr>
        <w:t xml:space="preserve"> </w:t>
      </w:r>
      <w:r w:rsidRPr="003C0B01">
        <w:rPr>
          <w:rFonts w:ascii="Times New Roman" w:hAnsi="Times New Roman" w:cs="Times New Roman"/>
          <w:b/>
          <w:bCs/>
        </w:rPr>
        <w:t>V-</w:t>
      </w:r>
      <w:r w:rsidR="003C0B01" w:rsidRPr="003C0B01">
        <w:rPr>
          <w:rFonts w:ascii="Times New Roman" w:hAnsi="Times New Roman" w:cs="Times New Roman"/>
          <w:b/>
          <w:bCs/>
        </w:rPr>
        <w:t xml:space="preserve"> </w:t>
      </w:r>
      <w:r w:rsidRPr="003C0B01">
        <w:rPr>
          <w:rFonts w:ascii="Times New Roman" w:hAnsi="Times New Roman" w:cs="Times New Roman"/>
          <w:b/>
          <w:bCs/>
        </w:rPr>
        <w:t>DO ENTENDIMENTO CONSOLIDADO QUANTO À AUSÊNCIA DE RESPONSABILIDADE SUPLETIVA DA PRESTADORA</w:t>
      </w:r>
    </w:p>
    <w:p w14:paraId="58B5F081" w14:textId="16414E39"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A própria orientação institucional da Procuradoria-Geral da Fazenda Nacional reconheceu que, quanto aos valores retidos na forma do art. 31 da Lei nº 8.212/1991, eventual falta de recolhimento pela tomadora dos serviços não gera responsabilidade subsidiária ou sucessiva da empresa cedente. </w:t>
      </w:r>
    </w:p>
    <w:p w14:paraId="4864F227" w14:textId="6262A1BE"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Em outras palavras, a responsabilidade pelo recolhimento é da tomadora, e somente dela. </w:t>
      </w:r>
    </w:p>
    <w:p w14:paraId="24FE9594" w14:textId="7CE3E956"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Esse entendimento está em consonância com a jurisprudência dos Tribunais Regionais Federais, que já assentou, sob a redação do art. 31 da Lei nº 9.711/1998, que a retenção e o recolhimento da contribuição previdenciária competem à tomadora, afastando-se a responsabilidade supletiva da prestadora.</w:t>
      </w:r>
    </w:p>
    <w:p w14:paraId="1354BD63" w14:textId="3A21EBD8" w:rsidR="00407D27" w:rsidRPr="00407D27" w:rsidRDefault="003C0B01" w:rsidP="00407D27">
      <w:pPr>
        <w:ind w:right="-568"/>
        <w:jc w:val="both"/>
        <w:rPr>
          <w:rFonts w:ascii="Times New Roman" w:hAnsi="Times New Roman" w:cs="Times New Roman"/>
        </w:rPr>
      </w:pPr>
      <w:r>
        <w:rPr>
          <w:rFonts w:ascii="Times New Roman" w:hAnsi="Times New Roman" w:cs="Times New Roman"/>
        </w:rPr>
        <w:t>“</w:t>
      </w:r>
      <w:r w:rsidR="00407D27" w:rsidRPr="003C0B01">
        <w:rPr>
          <w:rFonts w:ascii="Times New Roman" w:hAnsi="Times New Roman" w:cs="Times New Roman"/>
          <w:i/>
          <w:iCs/>
        </w:rPr>
        <w:t>TRIBUTÁRIO. PEDIDOS DE COMPENSAÇÃO. NÃO HOMOLOGAÇÃO. SUBSITUIÇÃO TRIBUTÁRIA. RETENÇÃO DE IMPOSTO PELO TOMADOR DOS SERVIÇOS. COMPROVAÇÃO. AUSÊNCIA DE APRESENTAÇÃO DE DIRF.  1. O não cumprimento da obrigação acessória (informação da retenção em DIRF) e/ou da principal (recolhimento do tributo) pelo responsável tributário (tomador do serviço), NÃO constitui óbice à utilização do crédito pelo contribuinte, desde que, comprovado o desconto/retenção na fonte do IRPJ. 2. Demonstrado que a contribuinte de fato da obrigação já suportou o ônus financeiro quando da retenção do valor do tributo no momento do faturamento do serviço</w:t>
      </w:r>
      <w:r w:rsidR="00407D27" w:rsidRPr="00407D27">
        <w:rPr>
          <w:rFonts w:ascii="Times New Roman" w:hAnsi="Times New Roman" w:cs="Times New Roman"/>
        </w:rPr>
        <w:t>.</w:t>
      </w:r>
      <w:r>
        <w:rPr>
          <w:rFonts w:ascii="Times New Roman" w:hAnsi="Times New Roman" w:cs="Times New Roman"/>
        </w:rPr>
        <w:t xml:space="preserve">” </w:t>
      </w:r>
      <w:r w:rsidR="00407D27" w:rsidRPr="00407D27">
        <w:rPr>
          <w:rFonts w:ascii="Times New Roman" w:hAnsi="Times New Roman" w:cs="Times New Roman"/>
        </w:rPr>
        <w:t xml:space="preserve">[TRF4, </w:t>
      </w:r>
      <w:proofErr w:type="spellStart"/>
      <w:r w:rsidR="00407D27" w:rsidRPr="00407D27">
        <w:rPr>
          <w:rFonts w:ascii="Times New Roman" w:hAnsi="Times New Roman" w:cs="Times New Roman"/>
        </w:rPr>
        <w:t>ApRemNec</w:t>
      </w:r>
      <w:proofErr w:type="spellEnd"/>
      <w:r w:rsidR="00407D27" w:rsidRPr="00407D27">
        <w:rPr>
          <w:rFonts w:ascii="Times New Roman" w:hAnsi="Times New Roman" w:cs="Times New Roman"/>
        </w:rPr>
        <w:t xml:space="preserve"> 5003703-68.2016.4.04.7201, 1ª Turma, Rel. ROGER RAUPP RIOS, </w:t>
      </w:r>
      <w:proofErr w:type="spellStart"/>
      <w:r w:rsidR="00407D27" w:rsidRPr="00407D27">
        <w:rPr>
          <w:rFonts w:ascii="Times New Roman" w:hAnsi="Times New Roman" w:cs="Times New Roman"/>
        </w:rPr>
        <w:t>DJe</w:t>
      </w:r>
      <w:proofErr w:type="spellEnd"/>
      <w:r w:rsidR="00407D27" w:rsidRPr="00407D27">
        <w:rPr>
          <w:rFonts w:ascii="Times New Roman" w:hAnsi="Times New Roman" w:cs="Times New Roman"/>
        </w:rPr>
        <w:t xml:space="preserve"> 13/12/2017].</w:t>
      </w:r>
    </w:p>
    <w:p w14:paraId="17EA06E8" w14:textId="6AD1FF69" w:rsidR="00407D27" w:rsidRPr="00407D27" w:rsidRDefault="003C0B01" w:rsidP="00407D27">
      <w:pPr>
        <w:ind w:right="-568"/>
        <w:jc w:val="both"/>
        <w:rPr>
          <w:rFonts w:ascii="Times New Roman" w:hAnsi="Times New Roman" w:cs="Times New Roman"/>
        </w:rPr>
      </w:pPr>
      <w:r>
        <w:rPr>
          <w:rFonts w:ascii="Times New Roman" w:hAnsi="Times New Roman" w:cs="Times New Roman"/>
        </w:rPr>
        <w:t>“</w:t>
      </w:r>
      <w:r w:rsidR="00407D27" w:rsidRPr="003C0B01">
        <w:rPr>
          <w:rFonts w:ascii="Times New Roman" w:hAnsi="Times New Roman" w:cs="Times New Roman"/>
          <w:i/>
          <w:iCs/>
        </w:rPr>
        <w:t>DIREITO TRIBUTÁRIO. IRRF. RETENÇÃO. RESPONSÁVEL TRIBUTÁRIO. NOTAS FISCAIS E EXTRATOS. COMPROVAÇÃO. PER/DCOMP. DÉBITOS ANULADOS.</w:t>
      </w:r>
      <w:r w:rsidRPr="003C0B01">
        <w:rPr>
          <w:rFonts w:ascii="Times New Roman" w:hAnsi="Times New Roman" w:cs="Times New Roman"/>
          <w:i/>
          <w:iCs/>
        </w:rPr>
        <w:t xml:space="preserve"> </w:t>
      </w:r>
      <w:r w:rsidR="00407D27" w:rsidRPr="003C0B01">
        <w:rPr>
          <w:rFonts w:ascii="Times New Roman" w:hAnsi="Times New Roman" w:cs="Times New Roman"/>
          <w:i/>
          <w:iCs/>
        </w:rPr>
        <w:t xml:space="preserve">1. Comprovado por documentação, cuja idoneidade não restou questionada pela ré, que a autora, ao receber pela prestação de serviços, teve retido, por tomadores, imposto de renda na fonte, o crédito, oriundo de tais operações, não pode ser dado como inexistente, sem fiscalização junto aos responsáveis tributários, para efeito de não homologação de compensações de tributos declarados pelo contribuinte. </w:t>
      </w:r>
      <w:r w:rsidRPr="003C0B01">
        <w:rPr>
          <w:rFonts w:ascii="Times New Roman" w:hAnsi="Times New Roman" w:cs="Times New Roman"/>
          <w:i/>
          <w:iCs/>
        </w:rPr>
        <w:t xml:space="preserve"> </w:t>
      </w:r>
      <w:r w:rsidR="00407D27" w:rsidRPr="003C0B01">
        <w:rPr>
          <w:rFonts w:ascii="Times New Roman" w:hAnsi="Times New Roman" w:cs="Times New Roman"/>
          <w:i/>
          <w:iCs/>
        </w:rPr>
        <w:t xml:space="preserve">2. O contexto probatório é suficiente para evidenciar a retenção do imposto de renda e, portanto, a falta de declaração e de recolhimento do tributo pelos responsáveis tributários, sem que estes tivessem sido fiscalizados para imputar qualquer omissão ou ilegalidade ao contribuinte, a quem socorre, pois, o direito de utilizar-se dos créditos respectivos para compensação de débitos fiscais declarados. </w:t>
      </w:r>
      <w:r w:rsidRPr="003C0B01">
        <w:rPr>
          <w:rFonts w:ascii="Times New Roman" w:hAnsi="Times New Roman" w:cs="Times New Roman"/>
          <w:i/>
          <w:iCs/>
        </w:rPr>
        <w:t xml:space="preserve"> </w:t>
      </w:r>
      <w:r w:rsidR="00407D27" w:rsidRPr="003C0B01">
        <w:rPr>
          <w:rFonts w:ascii="Times New Roman" w:hAnsi="Times New Roman" w:cs="Times New Roman"/>
          <w:i/>
          <w:iCs/>
        </w:rPr>
        <w:t xml:space="preserve">3. A falta de manifestação de inconformidade contra decisões fiscais, das quais resultaram os créditos cobrados, não impede a propositura de ação anulatória e, comprovada a retenção na fonte dos valores devidos, sem demonstração de ilegalidade ou omissão do contribuinte no procedimento </w:t>
      </w:r>
      <w:r w:rsidR="00407D27" w:rsidRPr="003C0B01">
        <w:rPr>
          <w:rFonts w:ascii="Times New Roman" w:hAnsi="Times New Roman" w:cs="Times New Roman"/>
          <w:i/>
          <w:iCs/>
        </w:rPr>
        <w:lastRenderedPageBreak/>
        <w:t xml:space="preserve">adotado, não pode subsistir a não homologação das compensações requeridas. </w:t>
      </w:r>
      <w:r w:rsidRPr="003C0B01">
        <w:rPr>
          <w:rFonts w:ascii="Times New Roman" w:hAnsi="Times New Roman" w:cs="Times New Roman"/>
          <w:i/>
          <w:iCs/>
        </w:rPr>
        <w:t xml:space="preserve"> </w:t>
      </w:r>
      <w:r w:rsidR="00407D27" w:rsidRPr="003C0B01">
        <w:rPr>
          <w:rFonts w:ascii="Times New Roman" w:hAnsi="Times New Roman" w:cs="Times New Roman"/>
          <w:i/>
          <w:iCs/>
        </w:rPr>
        <w:t>4. Fixada verba honorária pelo trabalho adicional em grau recursal, em observância ao comando e critérios do artigo 85, §§ 2º a 6º, e 11, do Código de Processo Civil.</w:t>
      </w:r>
      <w:r w:rsidRPr="003C0B01">
        <w:rPr>
          <w:rFonts w:ascii="Times New Roman" w:hAnsi="Times New Roman" w:cs="Times New Roman"/>
          <w:i/>
          <w:iCs/>
        </w:rPr>
        <w:t xml:space="preserve"> </w:t>
      </w:r>
      <w:r w:rsidR="00407D27" w:rsidRPr="003C0B01">
        <w:rPr>
          <w:rFonts w:ascii="Times New Roman" w:hAnsi="Times New Roman" w:cs="Times New Roman"/>
          <w:i/>
          <w:iCs/>
        </w:rPr>
        <w:t>5. Apelação e remessa necessária desprovidas</w:t>
      </w:r>
      <w:proofErr w:type="gramStart"/>
      <w:r w:rsidR="00407D27" w:rsidRPr="00407D27">
        <w:rPr>
          <w:rFonts w:ascii="Times New Roman" w:hAnsi="Times New Roman" w:cs="Times New Roman"/>
        </w:rPr>
        <w:t>.</w:t>
      </w:r>
      <w:r>
        <w:rPr>
          <w:rFonts w:ascii="Times New Roman" w:hAnsi="Times New Roman" w:cs="Times New Roman"/>
        </w:rPr>
        <w:t>”</w:t>
      </w:r>
      <w:r w:rsidR="00407D27" w:rsidRPr="00407D27">
        <w:rPr>
          <w:rFonts w:ascii="Times New Roman" w:hAnsi="Times New Roman" w:cs="Times New Roman"/>
        </w:rPr>
        <w:t>[</w:t>
      </w:r>
      <w:proofErr w:type="gramEnd"/>
      <w:r w:rsidR="00407D27" w:rsidRPr="00407D27">
        <w:rPr>
          <w:rFonts w:ascii="Times New Roman" w:hAnsi="Times New Roman" w:cs="Times New Roman"/>
        </w:rPr>
        <w:t xml:space="preserve">TRF 3ª Região, 3ª Turma, </w:t>
      </w:r>
      <w:proofErr w:type="spellStart"/>
      <w:r w:rsidR="00407D27" w:rsidRPr="00407D27">
        <w:rPr>
          <w:rFonts w:ascii="Times New Roman" w:hAnsi="Times New Roman" w:cs="Times New Roman"/>
        </w:rPr>
        <w:t>ApelRemNec</w:t>
      </w:r>
      <w:proofErr w:type="spellEnd"/>
      <w:r w:rsidR="00407D27" w:rsidRPr="00407D27">
        <w:rPr>
          <w:rFonts w:ascii="Times New Roman" w:hAnsi="Times New Roman" w:cs="Times New Roman"/>
        </w:rPr>
        <w:t xml:space="preserve"> 5003697-19.2018.4.03.6102, Rel. Des. Federal LUIS CARLOS HIROKI MUTA, DJEN DATA: 08/02/2023].</w:t>
      </w:r>
    </w:p>
    <w:p w14:paraId="18B5967F" w14:textId="57FC724C" w:rsidR="00407D27" w:rsidRPr="003C0B01" w:rsidRDefault="003C0B01" w:rsidP="00407D27">
      <w:pPr>
        <w:ind w:right="-568"/>
        <w:jc w:val="both"/>
        <w:rPr>
          <w:rFonts w:ascii="Times New Roman" w:hAnsi="Times New Roman" w:cs="Times New Roman"/>
          <w:i/>
          <w:iCs/>
        </w:rPr>
      </w:pPr>
      <w:r>
        <w:rPr>
          <w:rFonts w:ascii="Times New Roman" w:hAnsi="Times New Roman" w:cs="Times New Roman"/>
        </w:rPr>
        <w:t>“</w:t>
      </w:r>
      <w:r w:rsidR="00407D27" w:rsidRPr="003C0B01">
        <w:rPr>
          <w:rFonts w:ascii="Times New Roman" w:hAnsi="Times New Roman" w:cs="Times New Roman"/>
          <w:i/>
          <w:iCs/>
        </w:rPr>
        <w:t>DIREITO TRIBUTÁRIO. EMBARGOS DE DECLARAÇÃO. IRRF. RETENÇÃO. RESPONSÁVEL TRIBUTÁRIO. NOTAS FISCAIS E EXTRATOS. COMPROVAÇÃO. PER/DCOMP. DÉBITOS ANULADOS. VÍCIOS INEXISTENTES. REJEIÇÃO.</w:t>
      </w:r>
      <w:r w:rsidRPr="003C0B01">
        <w:rPr>
          <w:rFonts w:ascii="Times New Roman" w:hAnsi="Times New Roman" w:cs="Times New Roman"/>
          <w:i/>
          <w:iCs/>
        </w:rPr>
        <w:t xml:space="preserve"> </w:t>
      </w:r>
      <w:r w:rsidR="00407D27" w:rsidRPr="003C0B01">
        <w:rPr>
          <w:rFonts w:ascii="Times New Roman" w:hAnsi="Times New Roman" w:cs="Times New Roman"/>
          <w:i/>
          <w:iCs/>
        </w:rPr>
        <w:t xml:space="preserve">1. São manifestamente improcedentes os embargos de declaração, inexistindo quaisquer dos vícios apontados, restando nítido que se cuida de recurso interposto com o objetivo de rediscutir a causa e manifestar inconformismo diante do acórdão embargado. As alegações não envolvem omissão, contradição, obscuridade ou erro material sanáveis em embargos de declaração, mas efetiva impugnação ao acórdão embargado, que teria incorrido em </w:t>
      </w:r>
      <w:proofErr w:type="spellStart"/>
      <w:r w:rsidR="00407D27" w:rsidRPr="003C0B01">
        <w:rPr>
          <w:rFonts w:ascii="Times New Roman" w:hAnsi="Times New Roman" w:cs="Times New Roman"/>
          <w:i/>
          <w:iCs/>
        </w:rPr>
        <w:t>error</w:t>
      </w:r>
      <w:proofErr w:type="spellEnd"/>
      <w:r w:rsidR="00407D27" w:rsidRPr="003C0B01">
        <w:rPr>
          <w:rFonts w:ascii="Times New Roman" w:hAnsi="Times New Roman" w:cs="Times New Roman"/>
          <w:i/>
          <w:iCs/>
        </w:rPr>
        <w:t xml:space="preserve"> in </w:t>
      </w:r>
      <w:proofErr w:type="spellStart"/>
      <w:r w:rsidR="00407D27" w:rsidRPr="003C0B01">
        <w:rPr>
          <w:rFonts w:ascii="Times New Roman" w:hAnsi="Times New Roman" w:cs="Times New Roman"/>
          <w:i/>
          <w:iCs/>
        </w:rPr>
        <w:t>judicando</w:t>
      </w:r>
      <w:proofErr w:type="spellEnd"/>
      <w:r w:rsidR="00407D27" w:rsidRPr="003C0B01">
        <w:rPr>
          <w:rFonts w:ascii="Times New Roman" w:hAnsi="Times New Roman" w:cs="Times New Roman"/>
          <w:i/>
          <w:iCs/>
        </w:rPr>
        <w:t xml:space="preserve">, desvirtuando, pois, a própria natureza do recurso, que não é a de reapreciar a causa como pretendido. </w:t>
      </w:r>
      <w:r w:rsidRPr="003C0B01">
        <w:rPr>
          <w:rFonts w:ascii="Times New Roman" w:hAnsi="Times New Roman" w:cs="Times New Roman"/>
          <w:i/>
          <w:iCs/>
        </w:rPr>
        <w:t xml:space="preserve"> </w:t>
      </w:r>
      <w:r w:rsidR="00407D27" w:rsidRPr="003C0B01">
        <w:rPr>
          <w:rFonts w:ascii="Times New Roman" w:hAnsi="Times New Roman" w:cs="Times New Roman"/>
          <w:i/>
          <w:iCs/>
        </w:rPr>
        <w:t>2. Com efeito, demonstrando inexistência de qualquer vício, registrou o acórdão embargado que: "[...] pleiteou-se anulação de decisões fiscais que não homologaram PER/</w:t>
      </w:r>
      <w:proofErr w:type="spellStart"/>
      <w:r w:rsidR="00407D27" w:rsidRPr="003C0B01">
        <w:rPr>
          <w:rFonts w:ascii="Times New Roman" w:hAnsi="Times New Roman" w:cs="Times New Roman"/>
          <w:i/>
          <w:iCs/>
        </w:rPr>
        <w:t>DCOMP's</w:t>
      </w:r>
      <w:proofErr w:type="spellEnd"/>
      <w:r w:rsidR="00407D27" w:rsidRPr="003C0B01">
        <w:rPr>
          <w:rFonts w:ascii="Times New Roman" w:hAnsi="Times New Roman" w:cs="Times New Roman"/>
          <w:i/>
          <w:iCs/>
        </w:rPr>
        <w:t xml:space="preserve"> 19477.81250.190413.1.3.05-7096, 23659.64608.160813.1.3.05-2547 e 03166.25026.190214.1.3.05-8005 (ID 141126869, f. 1 e seguintes), alegando retenção de imposto de renda por tomadores de serviço, tornando indevido os débitos fiscais constituídos. Os documentos juntados revelam que tomadores de serviço descontaram do valor bruto a ser repassado à autora o valor do IRRF, pagando apenas o valor líquido de notas fiscais (ID 141126869, f. 7/19; ID 141126870, f. 7/16; e ID 141126871, f. 8/41). Assim, caberia aos tomadores, enquanto responsáveis tributários, nos termos do artigo 45, parágrafo único, CTN, recolher o tributo aos cofres públicos, entendendo a sentença que exigir o pagamento da autora configuraria “bis in idem”. Em que pese a alegação fazendária de que não localizou os créditos informados na compensação, pois alguns tomadores, dentre os quais entes públicos sediados em vários municípios, não declararam retenção em DIRF, as notas fiscais juntadas aos autos demonstram claramente as retenções pelos tomadores".</w:t>
      </w:r>
      <w:r>
        <w:rPr>
          <w:rFonts w:ascii="Times New Roman" w:hAnsi="Times New Roman" w:cs="Times New Roman"/>
          <w:i/>
          <w:iCs/>
        </w:rPr>
        <w:t xml:space="preserve"> </w:t>
      </w:r>
      <w:r w:rsidR="00407D27" w:rsidRPr="003C0B01">
        <w:rPr>
          <w:rFonts w:ascii="Times New Roman" w:hAnsi="Times New Roman" w:cs="Times New Roman"/>
          <w:i/>
          <w:iCs/>
        </w:rPr>
        <w:t xml:space="preserve">3. Consignou o julgado, ademais, que: "Demonstrado, documentalmente, por notas fiscais que houve retenção do imposto por tomadores, recebendo a prestadora apenas o valor líquido com desconto da tributação, não pode prevalecer o indeferimento de compensações, por falta dos créditos utilizados, com constituição dos tributos que, na perspectiva do Fisco, deixaram de ser satisfeitos, pois, em verdade, o conteúdo da prova produzida sinaliza que houve descumprimento de obrigação legal atribuída aos responsáveis tributários no sentido de declarar e recolher os tributos retidos na fonte, quando do pagamento da prestação de serviço pelo contribuinte. Não havendo questionamento quanto à idoneidade das notas fiscais, que suportaram os pedidos de compensação, cujas informações apontam indícios documentais de que não houve declaração e recolhimento de tributos retidos quando do pagamento de serviços prestados pela autora, ao Fisco cabia diligenciar juntos aos responsáveis tributários, e não indeferir a utilização de créditos pelo contribuinte como se a este pudesse ser atribuída omissão ou ilegalidade quanto ao recolhimento do tributo".4. Concluiu o julgado, assim, que: "O fato de não ter o contribuinte manifestado inconformismo diante da decisão de não homologação de tais compensações não impede a anulação judicial dos débitos que, declarados, foram dados como não extintos por </w:t>
      </w:r>
      <w:r w:rsidR="00407D27" w:rsidRPr="003C0B01">
        <w:rPr>
          <w:rFonts w:ascii="Times New Roman" w:hAnsi="Times New Roman" w:cs="Times New Roman"/>
          <w:i/>
          <w:iCs/>
        </w:rPr>
        <w:lastRenderedPageBreak/>
        <w:t>inexistência de créditos à respectiva compensação. A base documental respalda a pretensão de que os créditos podem ser utilizados pelo contribuinte em sede de compensação, na medida em que sinaliza o descumprimento, por responsáveis tributários, da obrigação legal de declarar e recolher tributos retidos na fonte, quando do pagamento da prestação de serviços</w:t>
      </w:r>
      <w:r w:rsidR="00407D27" w:rsidRPr="00407D27">
        <w:rPr>
          <w:rFonts w:ascii="Times New Roman" w:hAnsi="Times New Roman" w:cs="Times New Roman"/>
        </w:rPr>
        <w:t xml:space="preserve">". [TRF 3ª Região, 3ª Turma, </w:t>
      </w:r>
      <w:proofErr w:type="spellStart"/>
      <w:r w:rsidR="00407D27" w:rsidRPr="00407D27">
        <w:rPr>
          <w:rFonts w:ascii="Times New Roman" w:hAnsi="Times New Roman" w:cs="Times New Roman"/>
        </w:rPr>
        <w:t>ApelRemNec</w:t>
      </w:r>
      <w:proofErr w:type="spellEnd"/>
      <w:r w:rsidR="00407D27" w:rsidRPr="00407D27">
        <w:rPr>
          <w:rFonts w:ascii="Times New Roman" w:hAnsi="Times New Roman" w:cs="Times New Roman"/>
        </w:rPr>
        <w:t xml:space="preserve"> 5003697-19.2018.4.03.6102, Rel. Des. Federal RENATO LOPES BECHO, DJEN DATA: 02/05/2023].</w:t>
      </w:r>
    </w:p>
    <w:p w14:paraId="0B39D3A9" w14:textId="0AB9ACFF"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Destaca-se que a própria União Federal incorre em</w:t>
      </w:r>
      <w:r w:rsidRPr="003C0B01">
        <w:rPr>
          <w:rFonts w:ascii="Times New Roman" w:hAnsi="Times New Roman" w:cs="Times New Roman"/>
          <w:i/>
          <w:iCs/>
        </w:rPr>
        <w:t xml:space="preserve"> </w:t>
      </w:r>
      <w:proofErr w:type="spellStart"/>
      <w:r w:rsidRPr="003C0B01">
        <w:rPr>
          <w:rFonts w:ascii="Times New Roman" w:hAnsi="Times New Roman" w:cs="Times New Roman"/>
          <w:i/>
          <w:iCs/>
        </w:rPr>
        <w:t>venire</w:t>
      </w:r>
      <w:proofErr w:type="spellEnd"/>
      <w:r w:rsidRPr="003C0B01">
        <w:rPr>
          <w:rFonts w:ascii="Times New Roman" w:hAnsi="Times New Roman" w:cs="Times New Roman"/>
          <w:i/>
          <w:iCs/>
        </w:rPr>
        <w:t xml:space="preserve"> contra </w:t>
      </w:r>
      <w:proofErr w:type="spellStart"/>
      <w:r w:rsidRPr="003C0B01">
        <w:rPr>
          <w:rFonts w:ascii="Times New Roman" w:hAnsi="Times New Roman" w:cs="Times New Roman"/>
          <w:i/>
          <w:iCs/>
        </w:rPr>
        <w:t>factum</w:t>
      </w:r>
      <w:proofErr w:type="spellEnd"/>
      <w:r w:rsidRPr="003C0B01">
        <w:rPr>
          <w:rFonts w:ascii="Times New Roman" w:hAnsi="Times New Roman" w:cs="Times New Roman"/>
          <w:i/>
          <w:iCs/>
        </w:rPr>
        <w:t xml:space="preserve"> </w:t>
      </w:r>
      <w:proofErr w:type="spellStart"/>
      <w:r w:rsidRPr="003C0B01">
        <w:rPr>
          <w:rFonts w:ascii="Times New Roman" w:hAnsi="Times New Roman" w:cs="Times New Roman"/>
          <w:i/>
          <w:iCs/>
        </w:rPr>
        <w:t>proprium</w:t>
      </w:r>
      <w:proofErr w:type="spellEnd"/>
      <w:r w:rsidRPr="00407D27">
        <w:rPr>
          <w:rFonts w:ascii="Times New Roman" w:hAnsi="Times New Roman" w:cs="Times New Roman"/>
        </w:rPr>
        <w:t>, uma vez que, pela sua própria documentação juntada, nunca se opôs ou estipulou condição a qualquer compensação requerida e realizada mensalmente pela parte Autora.</w:t>
      </w:r>
    </w:p>
    <w:p w14:paraId="0AA89A58" w14:textId="102E6EE2"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O presente pedido de restituição é somente uma consequência da existência de excesso de retenção sofrida, após realizadas todas as compensações permitidas por lei. Novamente, nunca se opondo a União a qualquer pedido de compensação realizada administrativamente.</w:t>
      </w:r>
    </w:p>
    <w:p w14:paraId="3BE25353" w14:textId="727787D9" w:rsidR="00407D27" w:rsidRPr="003C0B01" w:rsidRDefault="00407D27" w:rsidP="00407D27">
      <w:pPr>
        <w:ind w:right="-568"/>
        <w:jc w:val="both"/>
        <w:rPr>
          <w:rFonts w:ascii="Times New Roman" w:hAnsi="Times New Roman" w:cs="Times New Roman"/>
          <w:b/>
          <w:bCs/>
        </w:rPr>
      </w:pPr>
      <w:r w:rsidRPr="003C0B01">
        <w:rPr>
          <w:rFonts w:ascii="Times New Roman" w:hAnsi="Times New Roman" w:cs="Times New Roman"/>
          <w:b/>
          <w:bCs/>
        </w:rPr>
        <w:t>VI- DA INEXISTÊNCIA DE CAMINHO LEGAL PARA A AUTORA COBRAR OU EXECUTAR O TRIBUTO DA TOMADORA</w:t>
      </w:r>
      <w:r w:rsidRPr="003C0B01">
        <w:rPr>
          <w:rFonts w:ascii="Times New Roman" w:hAnsi="Times New Roman" w:cs="Times New Roman"/>
          <w:b/>
          <w:bCs/>
        </w:rPr>
        <w:tab/>
      </w:r>
    </w:p>
    <w:p w14:paraId="74A3699C" w14:textId="77777777"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A improcedência da tese defensiva se torna ainda mais evidente quando se observa que a autora sequer dispõe de meio jurídico para compelir a tomadora a recolher tributo em favor da União.</w:t>
      </w:r>
    </w:p>
    <w:p w14:paraId="69FF7C28" w14:textId="6EA389E3"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Ora, se a lei excluiu a responsabilidade da prestadora quanto ao pagamento do montante retido, não pode a União, contraditoriamente, invocar o inadimplemento do tomador para negar à prestadora o exercício do direito creditório que a própria legislação lhe assegura</w:t>
      </w:r>
    </w:p>
    <w:p w14:paraId="3505B135" w14:textId="12EDC5A0"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Nos termos do art. 142 do CTN, compete privativamente à autoridade administrativa constituir o crédito tributário pelo lançamento. A constituição formal do crédito tributário, portanto, não pertence ao particular, muito menos à empresa prestadora de serviços.</w:t>
      </w:r>
    </w:p>
    <w:p w14:paraId="6E23AFBE" w14:textId="46C33DDA"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De igual modo, a Lei nº 6.830/1980 reserva à Fazenda Pública a execução judicial da dívida ativa, ao passo que a Lei nº 11.457/2007 atribui à Receita Federal do Brasil as atividades de tributação, fiscalização, arrecadação, cobrança e recolhimento das contribuições sociais previstas na Lei nº 8.212/1991. Logo, eventual inadimplemento da tomadora deve ser apurado, lançado, cobrado e eventualmente executado pela própria União, por seus órgãos competentes.</w:t>
      </w:r>
    </w:p>
    <w:p w14:paraId="7D84E341" w14:textId="4B28ACE9"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Não há qualquer base legal que autorize a autora a substituir o Fisco nessa atividade. Não lhe cabe lançar tributo, inscrever débito em dívida ativa, promover execução fiscal ou exigir, em nome da União, o pagamento de contribuição previdenciária inadimplida pelo responsável tributário legal.</w:t>
      </w:r>
    </w:p>
    <w:p w14:paraId="5619F93E" w14:textId="727E42E1"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Em outras palavras, a autora/prestadora não dispõe de via legal para “</w:t>
      </w:r>
      <w:r w:rsidRPr="003C0B01">
        <w:rPr>
          <w:rFonts w:ascii="Times New Roman" w:hAnsi="Times New Roman" w:cs="Times New Roman"/>
          <w:i/>
          <w:iCs/>
        </w:rPr>
        <w:t>substituir</w:t>
      </w:r>
      <w:r w:rsidRPr="00407D27">
        <w:rPr>
          <w:rFonts w:ascii="Times New Roman" w:hAnsi="Times New Roman" w:cs="Times New Roman"/>
        </w:rPr>
        <w:t>” a União na persecução do crédito tributário. Não lhe cabe lavrar lançamento, exigir administrativamente o tributo como sujeito ativo da obrigação, inscrever débito em dívida ativa nem ajuizar execução fiscal para compelir o tomador ao recolhimento de contribuição social previdenciária. Essa atribuição é exclusiva da Administração Tributária federal e da representação judicial da Fazenda Nacional, na forma do CTN, da Lei nº 11.457/2007 e da Lei de Execução Fiscal. Exigir da prestadora a adoção de providência que a lei não lhe autoriza a praticar equivaleria a negar-</w:t>
      </w:r>
      <w:r w:rsidRPr="00407D27">
        <w:rPr>
          <w:rFonts w:ascii="Times New Roman" w:hAnsi="Times New Roman" w:cs="Times New Roman"/>
        </w:rPr>
        <w:lastRenderedPageBreak/>
        <w:t>lhe o direito à restituição com base em ônus jurídico impossível e estranho à sua esfera de atribuições.</w:t>
      </w:r>
    </w:p>
    <w:p w14:paraId="40FBCE74" w14:textId="70D8A294"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A tese fazendária, nesse ponto, revela sua incoerência interna: pretende negar o direito da autora com fundamento em providência que a autora não tem legitimidade nem poder legal para praticar. Ou seja, transfere-se ao contribuinte o risco do inadimplemento de terceiro e, ao mesmo tempo, nega-se a esse mesmo contribuinte qualquer instrumento jurídico para sanar tal inadimplemento. Trata-se de construção manifestamente incompatível com a legalidade e com a segurança jurídica.</w:t>
      </w:r>
    </w:p>
    <w:p w14:paraId="115E747D" w14:textId="41E1F6E2"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A exigência, construída pela União, de que a autora demonstre o efetivo recolhimento por terceiro como condição para a restituição ou compensação não consta da lei, da sentença e não pode ser criada por interpretação restritiva em prejuízo do contribuinte.</w:t>
      </w:r>
    </w:p>
    <w:p w14:paraId="09F48910" w14:textId="14C92454"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Portanto, demonstrado que a autora emitiu as notas fiscais em conformidade com a legislação, com o devido destaque da retenção previdenciária, não pode a União opor, como fato impeditivo do direito à restituição ou compensação, a falta de recolhimento pelo tomador do serviço. </w:t>
      </w:r>
    </w:p>
    <w:p w14:paraId="40BEB3EA" w14:textId="03837765"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 xml:space="preserve">O eventual inadimplemento do responsável tributário legalmente designado ou o depósito judicial em outra lide da qual o autor não participa, torna óbvio e ululante que não extingue nem neutraliza o crédito da prestadora, tampouco desloca para ela obrigação que a lei expressamente lhe retirou. </w:t>
      </w:r>
    </w:p>
    <w:p w14:paraId="4463ECD1" w14:textId="65881F1A" w:rsidR="00407D27" w:rsidRPr="00407D27" w:rsidRDefault="00407D27" w:rsidP="00407D27">
      <w:pPr>
        <w:ind w:right="-568"/>
        <w:jc w:val="both"/>
        <w:rPr>
          <w:rFonts w:ascii="Times New Roman" w:hAnsi="Times New Roman" w:cs="Times New Roman"/>
        </w:rPr>
      </w:pPr>
      <w:r w:rsidRPr="00407D27">
        <w:rPr>
          <w:rFonts w:ascii="Times New Roman" w:hAnsi="Times New Roman" w:cs="Times New Roman"/>
        </w:rPr>
        <w:t>Sendo o tomador o responsável exclusivo pela retenção e recolhimento, eventual omissão sua deve ser perseguida pela própria União, nos meios e formas legalmente previstos, sem prejuízo do direito da autora de reaver ou compensar os valores indevidamente retidos ou recolhidos a maior</w:t>
      </w:r>
    </w:p>
    <w:p w14:paraId="5A31DE8E" w14:textId="321E183D" w:rsidR="00407D27" w:rsidRPr="003C0B01" w:rsidRDefault="00407D27" w:rsidP="00407D27">
      <w:pPr>
        <w:ind w:right="-568"/>
        <w:jc w:val="both"/>
        <w:rPr>
          <w:rFonts w:ascii="Times New Roman" w:hAnsi="Times New Roman" w:cs="Times New Roman"/>
          <w:b/>
          <w:bCs/>
        </w:rPr>
      </w:pPr>
      <w:r w:rsidRPr="003C0B01">
        <w:rPr>
          <w:rFonts w:ascii="Times New Roman" w:hAnsi="Times New Roman" w:cs="Times New Roman"/>
          <w:b/>
          <w:bCs/>
        </w:rPr>
        <w:t>VII- PEDIDOS</w:t>
      </w:r>
    </w:p>
    <w:p w14:paraId="47003AFE" w14:textId="66578FD8" w:rsidR="00407D27" w:rsidRPr="00407D27" w:rsidRDefault="00407D27" w:rsidP="00407D27">
      <w:pPr>
        <w:ind w:right="-568"/>
        <w:jc w:val="both"/>
        <w:rPr>
          <w:rFonts w:ascii="Times New Roman" w:hAnsi="Times New Roman" w:cs="Times New Roman"/>
        </w:rPr>
      </w:pPr>
      <w:proofErr w:type="spellStart"/>
      <w:r w:rsidRPr="003C0B01">
        <w:rPr>
          <w:rFonts w:ascii="Times New Roman" w:hAnsi="Times New Roman" w:cs="Times New Roman"/>
          <w:b/>
          <w:bCs/>
          <w:i/>
          <w:iCs/>
        </w:rPr>
        <w:t>Ex</w:t>
      </w:r>
      <w:proofErr w:type="spellEnd"/>
      <w:r w:rsidRPr="003C0B01">
        <w:rPr>
          <w:rFonts w:ascii="Times New Roman" w:hAnsi="Times New Roman" w:cs="Times New Roman"/>
          <w:b/>
          <w:bCs/>
          <w:i/>
          <w:iCs/>
        </w:rPr>
        <w:t xml:space="preserve"> positis</w:t>
      </w:r>
      <w:r w:rsidRPr="00407D27">
        <w:rPr>
          <w:rFonts w:ascii="Times New Roman" w:hAnsi="Times New Roman" w:cs="Times New Roman"/>
        </w:rPr>
        <w:t xml:space="preserve">, a autora requer seja HOMOLOGO o incontestável valor apresentado pelo autor no Laudo Pericial Contábil do Evento </w:t>
      </w:r>
      <w:r w:rsidR="003C0B01">
        <w:rPr>
          <w:rFonts w:ascii="Times New Roman" w:hAnsi="Times New Roman" w:cs="Times New Roman"/>
        </w:rPr>
        <w:t>...</w:t>
      </w:r>
      <w:r w:rsidRPr="00407D27">
        <w:rPr>
          <w:rFonts w:ascii="Times New Roman" w:hAnsi="Times New Roman" w:cs="Times New Roman"/>
        </w:rPr>
        <w:t xml:space="preserve"> no valor a ser restituído de R$ </w:t>
      </w:r>
      <w:r w:rsidR="003C0B01">
        <w:rPr>
          <w:rFonts w:ascii="Times New Roman" w:hAnsi="Times New Roman" w:cs="Times New Roman"/>
        </w:rPr>
        <w:t>...</w:t>
      </w:r>
      <w:r w:rsidRPr="00407D27">
        <w:rPr>
          <w:rFonts w:ascii="Times New Roman" w:hAnsi="Times New Roman" w:cs="Times New Roman"/>
        </w:rPr>
        <w:t xml:space="preserve"> [</w:t>
      </w:r>
      <w:r w:rsidR="003C0B01">
        <w:rPr>
          <w:rFonts w:ascii="Times New Roman" w:hAnsi="Times New Roman" w:cs="Times New Roman"/>
        </w:rPr>
        <w:t>...</w:t>
      </w:r>
      <w:r w:rsidRPr="00407D27">
        <w:rPr>
          <w:rFonts w:ascii="Times New Roman" w:hAnsi="Times New Roman" w:cs="Times New Roman"/>
        </w:rPr>
        <w:t xml:space="preserve">], apurado em </w:t>
      </w:r>
      <w:r w:rsidR="003C0B01">
        <w:rPr>
          <w:rFonts w:ascii="Times New Roman" w:hAnsi="Times New Roman" w:cs="Times New Roman"/>
        </w:rPr>
        <w:t>...</w:t>
      </w:r>
      <w:r w:rsidRPr="00407D27">
        <w:rPr>
          <w:rFonts w:ascii="Times New Roman" w:hAnsi="Times New Roman" w:cs="Times New Roman"/>
        </w:rPr>
        <w:t>, a ser atualizado dessa data de sua feitura até a data do efetivo pagamento, acrescido de juros de mora e correção monetária.</w:t>
      </w:r>
    </w:p>
    <w:p w14:paraId="6EE40CD2" w14:textId="616896F1" w:rsidR="00407D27" w:rsidRDefault="00407D27" w:rsidP="003C0B01">
      <w:pPr>
        <w:spacing w:after="0" w:line="240" w:lineRule="auto"/>
        <w:ind w:right="-567"/>
        <w:jc w:val="center"/>
        <w:rPr>
          <w:rFonts w:ascii="Times New Roman" w:hAnsi="Times New Roman" w:cs="Times New Roman"/>
        </w:rPr>
      </w:pPr>
      <w:r w:rsidRPr="00407D27">
        <w:rPr>
          <w:rFonts w:ascii="Times New Roman" w:hAnsi="Times New Roman" w:cs="Times New Roman"/>
        </w:rPr>
        <w:t>P</w:t>
      </w:r>
      <w:r w:rsidR="003C0B01">
        <w:rPr>
          <w:rFonts w:ascii="Times New Roman" w:hAnsi="Times New Roman" w:cs="Times New Roman"/>
        </w:rPr>
        <w:t>ede</w:t>
      </w:r>
      <w:r w:rsidRPr="00407D27">
        <w:rPr>
          <w:rFonts w:ascii="Times New Roman" w:hAnsi="Times New Roman" w:cs="Times New Roman"/>
        </w:rPr>
        <w:t xml:space="preserve"> Deferimento.</w:t>
      </w:r>
    </w:p>
    <w:p w14:paraId="66E2456A" w14:textId="0AFA4DA7" w:rsidR="003C0B01" w:rsidRDefault="003C0B01" w:rsidP="003C0B01">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7096C385" w14:textId="7524494E" w:rsidR="003C0B01" w:rsidRPr="00407D27" w:rsidRDefault="003C0B01" w:rsidP="003C0B01">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p w14:paraId="22AF8527" w14:textId="04737F5C" w:rsidR="00407D27" w:rsidRPr="00407D27" w:rsidRDefault="00407D27" w:rsidP="00407D27">
      <w:pPr>
        <w:ind w:right="-568"/>
        <w:jc w:val="both"/>
        <w:rPr>
          <w:rFonts w:ascii="Times New Roman" w:hAnsi="Times New Roman" w:cs="Times New Roman"/>
        </w:rPr>
      </w:pPr>
    </w:p>
    <w:sectPr w:rsidR="00407D27" w:rsidRPr="00407D2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58719" w14:textId="77777777" w:rsidR="00291327" w:rsidRDefault="00291327" w:rsidP="00407D27">
      <w:pPr>
        <w:spacing w:after="0" w:line="240" w:lineRule="auto"/>
      </w:pPr>
      <w:r>
        <w:separator/>
      </w:r>
    </w:p>
  </w:endnote>
  <w:endnote w:type="continuationSeparator" w:id="0">
    <w:p w14:paraId="0B9593EF" w14:textId="77777777" w:rsidR="00291327" w:rsidRDefault="00291327" w:rsidP="0040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7798F" w14:textId="77777777" w:rsidR="00291327" w:rsidRDefault="00291327" w:rsidP="00407D27">
      <w:pPr>
        <w:spacing w:after="0" w:line="240" w:lineRule="auto"/>
      </w:pPr>
      <w:r>
        <w:separator/>
      </w:r>
    </w:p>
  </w:footnote>
  <w:footnote w:type="continuationSeparator" w:id="0">
    <w:p w14:paraId="7FE787F8" w14:textId="77777777" w:rsidR="00291327" w:rsidRDefault="00291327" w:rsidP="00407D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27"/>
    <w:rsid w:val="00291327"/>
    <w:rsid w:val="003A3518"/>
    <w:rsid w:val="003C0B01"/>
    <w:rsid w:val="00407D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D3617"/>
  <w15:chartTrackingRefBased/>
  <w15:docId w15:val="{C9E085BF-829F-411E-A780-B8071B8A4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407D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407D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407D2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407D2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407D2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407D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07D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07D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07D2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07D2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407D2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407D27"/>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407D27"/>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407D27"/>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407D2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07D2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07D2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07D27"/>
    <w:rPr>
      <w:rFonts w:eastAsiaTheme="majorEastAsia" w:cstheme="majorBidi"/>
      <w:color w:val="272727" w:themeColor="text1" w:themeTint="D8"/>
    </w:rPr>
  </w:style>
  <w:style w:type="paragraph" w:styleId="Ttulo">
    <w:name w:val="Title"/>
    <w:basedOn w:val="Normal"/>
    <w:next w:val="Normal"/>
    <w:link w:val="TtuloChar"/>
    <w:uiPriority w:val="10"/>
    <w:qFormat/>
    <w:rsid w:val="00407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07D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07D2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07D2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07D27"/>
    <w:pPr>
      <w:spacing w:before="160"/>
      <w:jc w:val="center"/>
    </w:pPr>
    <w:rPr>
      <w:i/>
      <w:iCs/>
      <w:color w:val="404040" w:themeColor="text1" w:themeTint="BF"/>
    </w:rPr>
  </w:style>
  <w:style w:type="character" w:customStyle="1" w:styleId="CitaoChar">
    <w:name w:val="Citação Char"/>
    <w:basedOn w:val="Fontepargpadro"/>
    <w:link w:val="Citao"/>
    <w:uiPriority w:val="29"/>
    <w:rsid w:val="00407D27"/>
    <w:rPr>
      <w:i/>
      <w:iCs/>
      <w:color w:val="404040" w:themeColor="text1" w:themeTint="BF"/>
    </w:rPr>
  </w:style>
  <w:style w:type="paragraph" w:styleId="PargrafodaLista">
    <w:name w:val="List Paragraph"/>
    <w:basedOn w:val="Normal"/>
    <w:uiPriority w:val="34"/>
    <w:qFormat/>
    <w:rsid w:val="00407D27"/>
    <w:pPr>
      <w:ind w:left="720"/>
      <w:contextualSpacing/>
    </w:pPr>
  </w:style>
  <w:style w:type="character" w:styleId="nfaseIntensa">
    <w:name w:val="Intense Emphasis"/>
    <w:basedOn w:val="Fontepargpadro"/>
    <w:uiPriority w:val="21"/>
    <w:qFormat/>
    <w:rsid w:val="00407D27"/>
    <w:rPr>
      <w:i/>
      <w:iCs/>
      <w:color w:val="2F5496" w:themeColor="accent1" w:themeShade="BF"/>
    </w:rPr>
  </w:style>
  <w:style w:type="paragraph" w:styleId="CitaoIntensa">
    <w:name w:val="Intense Quote"/>
    <w:basedOn w:val="Normal"/>
    <w:next w:val="Normal"/>
    <w:link w:val="CitaoIntensaChar"/>
    <w:uiPriority w:val="30"/>
    <w:qFormat/>
    <w:rsid w:val="00407D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407D27"/>
    <w:rPr>
      <w:i/>
      <w:iCs/>
      <w:color w:val="2F5496" w:themeColor="accent1" w:themeShade="BF"/>
    </w:rPr>
  </w:style>
  <w:style w:type="character" w:styleId="RefernciaIntensa">
    <w:name w:val="Intense Reference"/>
    <w:basedOn w:val="Fontepargpadro"/>
    <w:uiPriority w:val="32"/>
    <w:qFormat/>
    <w:rsid w:val="00407D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4002</Words>
  <Characters>21616</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2026-09-22T16:03:00Z</dcterms:created>
  <dcterms:modified xsi:type="dcterms:W3CDTF">2026-09-22T16:22:00Z</dcterms:modified>
</cp:coreProperties>
</file>