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2EAFD" w14:textId="77777777" w:rsidR="00792730" w:rsidRPr="00792730" w:rsidRDefault="00792730" w:rsidP="00792730">
      <w:pPr>
        <w:spacing w:after="0" w:line="240" w:lineRule="auto"/>
        <w:ind w:right="-567"/>
        <w:jc w:val="center"/>
        <w:rPr>
          <w:rFonts w:ascii="Arial Black" w:hAnsi="Arial Black" w:cs="Times New Roman"/>
          <w:b/>
          <w:bCs/>
        </w:rPr>
      </w:pPr>
      <w:r w:rsidRPr="00792730">
        <w:rPr>
          <w:rFonts w:ascii="Arial Black" w:hAnsi="Arial Black" w:cs="Times New Roman"/>
          <w:b/>
          <w:bCs/>
        </w:rPr>
        <w:t>MODELO DE PETIÇÃO</w:t>
      </w:r>
    </w:p>
    <w:p w14:paraId="199DBC50" w14:textId="77777777" w:rsidR="00792730" w:rsidRPr="00792730" w:rsidRDefault="00792730" w:rsidP="00792730">
      <w:pPr>
        <w:spacing w:after="0" w:line="240" w:lineRule="auto"/>
        <w:ind w:right="-567"/>
        <w:jc w:val="center"/>
        <w:rPr>
          <w:rFonts w:ascii="Arial Black" w:hAnsi="Arial Black" w:cs="Times New Roman"/>
          <w:b/>
          <w:bCs/>
        </w:rPr>
      </w:pPr>
      <w:r w:rsidRPr="00792730">
        <w:rPr>
          <w:rFonts w:ascii="Arial Black" w:hAnsi="Arial Black" w:cs="Times New Roman"/>
          <w:b/>
          <w:bCs/>
        </w:rPr>
        <w:t>PRECLUSÃO. DECISÃO INTERLOCUTÓRIA NÃO PUBLICADA.</w:t>
      </w:r>
    </w:p>
    <w:p w14:paraId="714B7266" w14:textId="16C8DD8B" w:rsidR="00792730" w:rsidRPr="00792730" w:rsidRDefault="00792730" w:rsidP="00792730">
      <w:pPr>
        <w:spacing w:after="0" w:line="240" w:lineRule="auto"/>
        <w:ind w:right="-567"/>
        <w:jc w:val="center"/>
        <w:rPr>
          <w:rFonts w:ascii="Arial Black" w:hAnsi="Arial Black" w:cs="Times New Roman"/>
          <w:b/>
          <w:bCs/>
        </w:rPr>
      </w:pPr>
      <w:r w:rsidRPr="00792730">
        <w:rPr>
          <w:rFonts w:ascii="Arial Black" w:hAnsi="Arial Black" w:cs="Times New Roman"/>
          <w:b/>
          <w:bCs/>
        </w:rPr>
        <w:t>INSUBSISTÊNCIA DO ATO DECISÓRIO.</w:t>
      </w:r>
      <w:r w:rsidRPr="00792730">
        <w:rPr>
          <w:rFonts w:ascii="Arial Black" w:hAnsi="Arial Black" w:cs="Times New Roman"/>
          <w:b/>
          <w:bCs/>
        </w:rPr>
        <w:t xml:space="preserve"> </w:t>
      </w:r>
      <w:r w:rsidRPr="00792730">
        <w:rPr>
          <w:rFonts w:ascii="Arial Black" w:hAnsi="Arial Black" w:cs="Times New Roman"/>
          <w:b/>
          <w:bCs/>
        </w:rPr>
        <w:t>INDISPENSÁVEL O CONHECIMENTO DAS PARTES DO TEOR DA DECISÃO. PRECLUSÃO AFASTADA. PETIÇÃO</w:t>
      </w:r>
    </w:p>
    <w:p w14:paraId="76709ECC" w14:textId="77777777" w:rsidR="00792730" w:rsidRPr="00792730" w:rsidRDefault="00792730" w:rsidP="00792730">
      <w:pPr>
        <w:spacing w:after="0" w:line="240" w:lineRule="auto"/>
        <w:ind w:right="-567"/>
        <w:jc w:val="right"/>
        <w:rPr>
          <w:rFonts w:ascii="Arial Black" w:hAnsi="Arial Black" w:cs="Times New Roman"/>
          <w:b/>
          <w:bCs/>
        </w:rPr>
      </w:pPr>
      <w:proofErr w:type="spellStart"/>
      <w:r w:rsidRPr="00792730">
        <w:rPr>
          <w:rFonts w:ascii="Arial Black" w:hAnsi="Arial Black" w:cs="Times New Roman"/>
          <w:b/>
          <w:bCs/>
        </w:rPr>
        <w:t>Rénan</w:t>
      </w:r>
      <w:proofErr w:type="spellEnd"/>
      <w:r w:rsidRPr="00792730">
        <w:rPr>
          <w:rFonts w:ascii="Arial Black" w:hAnsi="Arial Black" w:cs="Times New Roman"/>
          <w:b/>
          <w:bCs/>
        </w:rPr>
        <w:t xml:space="preserve"> </w:t>
      </w:r>
      <w:proofErr w:type="spellStart"/>
      <w:r w:rsidRPr="00792730">
        <w:rPr>
          <w:rFonts w:ascii="Arial Black" w:hAnsi="Arial Black" w:cs="Times New Roman"/>
          <w:b/>
          <w:bCs/>
        </w:rPr>
        <w:t>Kfuri</w:t>
      </w:r>
      <w:proofErr w:type="spellEnd"/>
      <w:r w:rsidRPr="00792730">
        <w:rPr>
          <w:rFonts w:ascii="Arial Black" w:hAnsi="Arial Black" w:cs="Times New Roman"/>
          <w:b/>
          <w:bCs/>
        </w:rPr>
        <w:t xml:space="preserve"> Lopes</w:t>
      </w:r>
    </w:p>
    <w:p w14:paraId="5989001A" w14:textId="77777777" w:rsidR="00792730" w:rsidRPr="00792730" w:rsidRDefault="00792730" w:rsidP="00792730">
      <w:pPr>
        <w:ind w:right="-568"/>
        <w:jc w:val="both"/>
        <w:rPr>
          <w:rFonts w:ascii="Times New Roman" w:hAnsi="Times New Roman" w:cs="Times New Roman"/>
        </w:rPr>
      </w:pPr>
    </w:p>
    <w:p w14:paraId="7A41817E" w14:textId="77777777" w:rsidR="00792730" w:rsidRDefault="00792730" w:rsidP="00792730">
      <w:pPr>
        <w:ind w:right="-568"/>
        <w:jc w:val="both"/>
        <w:rPr>
          <w:rFonts w:ascii="Times New Roman" w:hAnsi="Times New Roman" w:cs="Times New Roman"/>
        </w:rPr>
      </w:pPr>
      <w:r w:rsidRPr="00792730">
        <w:rPr>
          <w:rFonts w:ascii="Times New Roman" w:hAnsi="Times New Roman" w:cs="Times New Roman"/>
        </w:rPr>
        <w:t>E</w:t>
      </w:r>
      <w:r>
        <w:rPr>
          <w:rFonts w:ascii="Times New Roman" w:hAnsi="Times New Roman" w:cs="Times New Roman"/>
        </w:rPr>
        <w:t>xmo. Sr. Des. ...- DD. Relator da Apelação Cível n. ... - ...ª Câmara Cível do TJ...</w:t>
      </w:r>
    </w:p>
    <w:p w14:paraId="147A94C6" w14:textId="0B8812D8" w:rsidR="00792730" w:rsidRPr="00792730" w:rsidRDefault="00792730" w:rsidP="00792730">
      <w:pPr>
        <w:ind w:right="-568"/>
        <w:jc w:val="both"/>
        <w:rPr>
          <w:rFonts w:ascii="Times New Roman" w:hAnsi="Times New Roman" w:cs="Times New Roman"/>
        </w:rPr>
      </w:pPr>
      <w:r>
        <w:rPr>
          <w:rFonts w:ascii="Times New Roman" w:hAnsi="Times New Roman" w:cs="Times New Roman"/>
        </w:rPr>
        <w:t>...</w:t>
      </w:r>
      <w:r w:rsidRPr="00792730">
        <w:rPr>
          <w:rFonts w:ascii="Times New Roman" w:hAnsi="Times New Roman" w:cs="Times New Roman"/>
        </w:rPr>
        <w:t xml:space="preserve"> e </w:t>
      </w:r>
      <w:r>
        <w:rPr>
          <w:rFonts w:ascii="Times New Roman" w:hAnsi="Times New Roman" w:cs="Times New Roman"/>
        </w:rPr>
        <w:t>...</w:t>
      </w:r>
      <w:r w:rsidRPr="00792730">
        <w:rPr>
          <w:rFonts w:ascii="Times New Roman" w:hAnsi="Times New Roman" w:cs="Times New Roman"/>
        </w:rPr>
        <w:t xml:space="preserve">, apelados, pelos comuns advogados in fine assinados, nos autos epigrafados que contendem contra </w:t>
      </w:r>
      <w:r>
        <w:rPr>
          <w:rFonts w:ascii="Times New Roman" w:hAnsi="Times New Roman" w:cs="Times New Roman"/>
        </w:rPr>
        <w:t>...</w:t>
      </w:r>
      <w:r w:rsidRPr="00792730">
        <w:rPr>
          <w:rFonts w:ascii="Times New Roman" w:hAnsi="Times New Roman" w:cs="Times New Roman"/>
        </w:rPr>
        <w:t xml:space="preserve"> e </w:t>
      </w:r>
      <w:r>
        <w:rPr>
          <w:rFonts w:ascii="Times New Roman" w:hAnsi="Times New Roman" w:cs="Times New Roman"/>
        </w:rPr>
        <w:t>...</w:t>
      </w:r>
      <w:r w:rsidRPr="00792730">
        <w:rPr>
          <w:rFonts w:ascii="Times New Roman" w:hAnsi="Times New Roman" w:cs="Times New Roman"/>
        </w:rPr>
        <w:t xml:space="preserve">, apelantes, vêm, respeitosamente, em atenção do r. despacho do Evento </w:t>
      </w:r>
      <w:r>
        <w:rPr>
          <w:rFonts w:ascii="Times New Roman" w:hAnsi="Times New Roman" w:cs="Times New Roman"/>
        </w:rPr>
        <w:t>...</w:t>
      </w:r>
      <w:r w:rsidRPr="00792730">
        <w:rPr>
          <w:rFonts w:ascii="Times New Roman" w:hAnsi="Times New Roman" w:cs="Times New Roman"/>
        </w:rPr>
        <w:t xml:space="preserve">, manifestar-se acerca da ausência de ocorrência de preclusão </w:t>
      </w:r>
      <w:r w:rsidRPr="00792730">
        <w:rPr>
          <w:rFonts w:ascii="Times New Roman" w:hAnsi="Times New Roman" w:cs="Times New Roman"/>
          <w:i/>
          <w:iCs/>
        </w:rPr>
        <w:t xml:space="preserve">pro </w:t>
      </w:r>
      <w:proofErr w:type="spellStart"/>
      <w:r w:rsidRPr="00792730">
        <w:rPr>
          <w:rFonts w:ascii="Times New Roman" w:hAnsi="Times New Roman" w:cs="Times New Roman"/>
          <w:i/>
          <w:iCs/>
        </w:rPr>
        <w:t>judicato</w:t>
      </w:r>
      <w:proofErr w:type="spellEnd"/>
      <w:r w:rsidRPr="00792730">
        <w:rPr>
          <w:rFonts w:ascii="Times New Roman" w:hAnsi="Times New Roman" w:cs="Times New Roman"/>
        </w:rPr>
        <w:t>, pelas razões adiante articuladas:</w:t>
      </w:r>
    </w:p>
    <w:p w14:paraId="76B94295" w14:textId="77777777" w:rsidR="00792730" w:rsidRPr="00792730" w:rsidRDefault="00792730" w:rsidP="00792730">
      <w:pPr>
        <w:ind w:right="-568"/>
        <w:jc w:val="both"/>
        <w:rPr>
          <w:rFonts w:ascii="Times New Roman" w:hAnsi="Times New Roman" w:cs="Times New Roman"/>
          <w:b/>
          <w:bCs/>
        </w:rPr>
      </w:pPr>
      <w:r w:rsidRPr="00792730">
        <w:rPr>
          <w:rFonts w:ascii="Times New Roman" w:hAnsi="Times New Roman" w:cs="Times New Roman"/>
          <w:b/>
          <w:bCs/>
        </w:rPr>
        <w:t xml:space="preserve">PROCESSUAL CIVIL. APELAÇÃO CÍVEL. MANIFESTAÇÃO EM ATENÇÃO AO DESPACHO DO EVENTO 22. ART. 10 DO CPC. </w:t>
      </w:r>
    </w:p>
    <w:p w14:paraId="706226F3" w14:textId="6CDBDDCD"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 xml:space="preserve">Determinação do d. Relator no sentido de intimar as partes para que se manifestem sobre a possível ocorrência de preclusão </w:t>
      </w:r>
      <w:r w:rsidRPr="00792730">
        <w:rPr>
          <w:rFonts w:ascii="Times New Roman" w:hAnsi="Times New Roman" w:cs="Times New Roman"/>
          <w:i/>
          <w:iCs/>
        </w:rPr>
        <w:t xml:space="preserve">pro </w:t>
      </w:r>
      <w:proofErr w:type="spellStart"/>
      <w:r w:rsidRPr="00792730">
        <w:rPr>
          <w:rFonts w:ascii="Times New Roman" w:hAnsi="Times New Roman" w:cs="Times New Roman"/>
          <w:i/>
          <w:iCs/>
        </w:rPr>
        <w:t>judicato</w:t>
      </w:r>
      <w:proofErr w:type="spellEnd"/>
      <w:r w:rsidRPr="00792730">
        <w:rPr>
          <w:rFonts w:ascii="Times New Roman" w:hAnsi="Times New Roman" w:cs="Times New Roman"/>
        </w:rPr>
        <w:t xml:space="preserve">, tendo em vista que a matéria de prescrição intercorrente, em tese, já teria sido apreciada e rejeitada no Evento </w:t>
      </w:r>
      <w:r>
        <w:rPr>
          <w:rFonts w:ascii="Times New Roman" w:hAnsi="Times New Roman" w:cs="Times New Roman"/>
        </w:rPr>
        <w:t>...</w:t>
      </w:r>
      <w:r w:rsidRPr="00792730">
        <w:rPr>
          <w:rFonts w:ascii="Times New Roman" w:hAnsi="Times New Roman" w:cs="Times New Roman"/>
        </w:rPr>
        <w:t>. Cautela que não importa em declaração de preclusão, mas em abertura de oportunidade às partes para demonstrar se estão presentes os pressupostos de sua incidência.</w:t>
      </w:r>
    </w:p>
    <w:p w14:paraId="007D3C74" w14:textId="77777777" w:rsidR="00792730" w:rsidRPr="00792730" w:rsidRDefault="00792730" w:rsidP="00792730">
      <w:pPr>
        <w:ind w:right="-568"/>
        <w:jc w:val="both"/>
        <w:rPr>
          <w:rFonts w:ascii="Times New Roman" w:hAnsi="Times New Roman" w:cs="Times New Roman"/>
          <w:b/>
          <w:bCs/>
        </w:rPr>
      </w:pPr>
      <w:r w:rsidRPr="00792730">
        <w:rPr>
          <w:rFonts w:ascii="Times New Roman" w:hAnsi="Times New Roman" w:cs="Times New Roman"/>
          <w:b/>
          <w:bCs/>
        </w:rPr>
        <w:t xml:space="preserve">PRECLUSÃO </w:t>
      </w:r>
      <w:r w:rsidRPr="00792730">
        <w:rPr>
          <w:rFonts w:ascii="Times New Roman" w:hAnsi="Times New Roman" w:cs="Times New Roman"/>
          <w:b/>
          <w:bCs/>
          <w:i/>
          <w:iCs/>
        </w:rPr>
        <w:t>PRO JUDICATO</w:t>
      </w:r>
      <w:r w:rsidRPr="00792730">
        <w:rPr>
          <w:rFonts w:ascii="Times New Roman" w:hAnsi="Times New Roman" w:cs="Times New Roman"/>
          <w:b/>
          <w:bCs/>
        </w:rPr>
        <w:t xml:space="preserve">. ARTS. 505 E 507 DO CPC. PRESSUPOSTOS. </w:t>
      </w:r>
    </w:p>
    <w:p w14:paraId="0A31A0A8" w14:textId="49D8F011"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 xml:space="preserve">A preclusão </w:t>
      </w:r>
      <w:r w:rsidRPr="00792730">
        <w:rPr>
          <w:rFonts w:ascii="Times New Roman" w:hAnsi="Times New Roman" w:cs="Times New Roman"/>
          <w:i/>
          <w:iCs/>
        </w:rPr>
        <w:t xml:space="preserve">pro </w:t>
      </w:r>
      <w:proofErr w:type="spellStart"/>
      <w:r w:rsidRPr="00792730">
        <w:rPr>
          <w:rFonts w:ascii="Times New Roman" w:hAnsi="Times New Roman" w:cs="Times New Roman"/>
          <w:i/>
          <w:iCs/>
        </w:rPr>
        <w:t>judicato</w:t>
      </w:r>
      <w:proofErr w:type="spellEnd"/>
      <w:r w:rsidRPr="00792730">
        <w:rPr>
          <w:rFonts w:ascii="Times New Roman" w:hAnsi="Times New Roman" w:cs="Times New Roman"/>
        </w:rPr>
        <w:t xml:space="preserve"> pressupõe a existência de uma questão de direito anteriormente decidida, cognoscível e objetivamente identificável, não bastando a mera referência nominal ao instituto ou a existência formal de um registro de movimentação processual. Para que se possa afirmar que o Juízo tornou a decidir determinada matéria, é indispensável identificar previamente o que foi resolvido e quais os limites daquela deliberação.</w:t>
      </w:r>
    </w:p>
    <w:p w14:paraId="2CED1437" w14:textId="68A5944B" w:rsidR="00792730" w:rsidRPr="00792730" w:rsidRDefault="00792730" w:rsidP="00792730">
      <w:pPr>
        <w:ind w:right="-568"/>
        <w:jc w:val="both"/>
        <w:rPr>
          <w:rFonts w:ascii="Times New Roman" w:hAnsi="Times New Roman" w:cs="Times New Roman"/>
          <w:b/>
          <w:bCs/>
        </w:rPr>
      </w:pPr>
      <w:r w:rsidRPr="00792730">
        <w:rPr>
          <w:rFonts w:ascii="Times New Roman" w:hAnsi="Times New Roman" w:cs="Times New Roman"/>
          <w:b/>
          <w:bCs/>
        </w:rPr>
        <w:t xml:space="preserve">AUSÊNCIA DE CONTEÚDO DECISÓRIO DISPONÍVEL ÀS PARTES. EVENTO </w:t>
      </w:r>
      <w:r>
        <w:rPr>
          <w:rFonts w:ascii="Times New Roman" w:hAnsi="Times New Roman" w:cs="Times New Roman"/>
          <w:b/>
          <w:bCs/>
        </w:rPr>
        <w:t>...</w:t>
      </w:r>
      <w:r w:rsidRPr="00792730">
        <w:rPr>
          <w:rFonts w:ascii="Times New Roman" w:hAnsi="Times New Roman" w:cs="Times New Roman"/>
          <w:b/>
          <w:bCs/>
        </w:rPr>
        <w:t xml:space="preserve"> </w:t>
      </w:r>
    </w:p>
    <w:p w14:paraId="4A9EB630" w14:textId="4CE36D55"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 xml:space="preserve">O traslado processual, quanto ao Evento </w:t>
      </w:r>
      <w:r>
        <w:rPr>
          <w:rFonts w:ascii="Times New Roman" w:hAnsi="Times New Roman" w:cs="Times New Roman"/>
        </w:rPr>
        <w:t>...</w:t>
      </w:r>
      <w:r w:rsidRPr="00792730">
        <w:rPr>
          <w:rFonts w:ascii="Times New Roman" w:hAnsi="Times New Roman" w:cs="Times New Roman"/>
        </w:rPr>
        <w:t xml:space="preserve">, reproduz apenas a página de separação gerada automaticamente pelo sistema </w:t>
      </w:r>
      <w:proofErr w:type="spellStart"/>
      <w:r w:rsidRPr="00792730">
        <w:rPr>
          <w:rFonts w:ascii="Times New Roman" w:hAnsi="Times New Roman" w:cs="Times New Roman"/>
        </w:rPr>
        <w:t>ePROC</w:t>
      </w:r>
      <w:proofErr w:type="spellEnd"/>
      <w:r w:rsidRPr="00792730">
        <w:rPr>
          <w:rFonts w:ascii="Times New Roman" w:hAnsi="Times New Roman" w:cs="Times New Roman"/>
        </w:rPr>
        <w:t>, contendo tão somente identificação do evento, data, usuário e numeração do processo, sem trazer fundamentação, dispositivo, assinatura eletrônica ou qualquer elemento que permita conhecer e autenticar o pronunciamento jurisdicional. O próprio relatório de movimentações processuais disponibilizado pelo sistema registra, expressamente, que o "</w:t>
      </w:r>
      <w:r w:rsidRPr="00792730">
        <w:rPr>
          <w:rFonts w:ascii="Times New Roman" w:hAnsi="Times New Roman" w:cs="Times New Roman"/>
          <w:i/>
          <w:iCs/>
        </w:rPr>
        <w:t>evento não gerou documento</w:t>
      </w:r>
      <w:r w:rsidRPr="00792730">
        <w:rPr>
          <w:rFonts w:ascii="Times New Roman" w:hAnsi="Times New Roman" w:cs="Times New Roman"/>
        </w:rPr>
        <w:t>", circunstância que evidencia a inexistência de conteúdo decisório acessível aos litigantes.</w:t>
      </w:r>
    </w:p>
    <w:p w14:paraId="45C03377" w14:textId="77777777" w:rsidR="00792730" w:rsidRPr="00792730" w:rsidRDefault="00792730" w:rsidP="00792730">
      <w:pPr>
        <w:ind w:right="-568"/>
        <w:jc w:val="both"/>
        <w:rPr>
          <w:rFonts w:ascii="Times New Roman" w:hAnsi="Times New Roman" w:cs="Times New Roman"/>
          <w:b/>
          <w:bCs/>
        </w:rPr>
      </w:pPr>
      <w:r w:rsidRPr="00792730">
        <w:rPr>
          <w:rFonts w:ascii="Times New Roman" w:hAnsi="Times New Roman" w:cs="Times New Roman"/>
          <w:b/>
          <w:bCs/>
        </w:rPr>
        <w:t xml:space="preserve">AUSÊNCIA DE PUBLICAÇÃO NO DJE/DJEN. </w:t>
      </w:r>
    </w:p>
    <w:p w14:paraId="798348E0" w14:textId="5216933E"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Constatada, mediante pesquisa nos sistemas oficiais de comunicação processual, a ausência de qualquer publicação referente ao processo no período correspondente à data do pronunciamento (</w:t>
      </w:r>
      <w:r>
        <w:rPr>
          <w:rFonts w:ascii="Times New Roman" w:hAnsi="Times New Roman" w:cs="Times New Roman"/>
        </w:rPr>
        <w:t>...</w:t>
      </w:r>
      <w:r w:rsidRPr="00792730">
        <w:rPr>
          <w:rFonts w:ascii="Times New Roman" w:hAnsi="Times New Roman" w:cs="Times New Roman"/>
        </w:rPr>
        <w:t xml:space="preserve"> a </w:t>
      </w:r>
      <w:r>
        <w:rPr>
          <w:rFonts w:ascii="Times New Roman" w:hAnsi="Times New Roman" w:cs="Times New Roman"/>
        </w:rPr>
        <w:t>...</w:t>
      </w:r>
      <w:r w:rsidRPr="00792730">
        <w:rPr>
          <w:rFonts w:ascii="Times New Roman" w:hAnsi="Times New Roman" w:cs="Times New Roman"/>
        </w:rPr>
        <w:t>), circunstância que reforça a inexistência de ciência das partes quanto ao teor do ato.</w:t>
      </w:r>
    </w:p>
    <w:p w14:paraId="3C8FA1C0" w14:textId="77777777" w:rsidR="00792730" w:rsidRPr="00792730" w:rsidRDefault="00792730" w:rsidP="00792730">
      <w:pPr>
        <w:ind w:right="-568"/>
        <w:jc w:val="both"/>
        <w:rPr>
          <w:rFonts w:ascii="Times New Roman" w:hAnsi="Times New Roman" w:cs="Times New Roman"/>
        </w:rPr>
      </w:pPr>
    </w:p>
    <w:p w14:paraId="6D3D1DA3" w14:textId="77777777"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lastRenderedPageBreak/>
        <w:t xml:space="preserve">INTIMAÇÃO COMO PRESSUPOSTO DE CIÊNCIA. ARTS. 203, 205 E 269 DO CPC. A intimação é o ato pelo qual se dá ciência à parte dos atos e termos do processo, pressupondo a existência de pronunciamento redigido, datado e assinado pelo magistrado, cuja publicidade constitui condição de eficácia e validade do </w:t>
      </w:r>
      <w:r w:rsidRPr="00792730">
        <w:rPr>
          <w:rFonts w:ascii="Times New Roman" w:hAnsi="Times New Roman" w:cs="Times New Roman"/>
          <w:i/>
          <w:iCs/>
        </w:rPr>
        <w:t>decisum</w:t>
      </w:r>
      <w:r w:rsidRPr="00792730">
        <w:rPr>
          <w:rFonts w:ascii="Times New Roman" w:hAnsi="Times New Roman" w:cs="Times New Roman"/>
        </w:rPr>
        <w:t>. A comunicação processual não possui existência autônoma em relação ao ato que comunica, não se prestando uma simples indexação cadastral, desacompanhada do conteúdo da decisão, a produzir efeitos processuais, notadamente para fins de preclusão.</w:t>
      </w:r>
    </w:p>
    <w:p w14:paraId="48E52E24" w14:textId="77777777" w:rsidR="00792730" w:rsidRPr="00792730" w:rsidRDefault="00792730" w:rsidP="00792730">
      <w:pPr>
        <w:ind w:right="-568"/>
        <w:jc w:val="both"/>
        <w:rPr>
          <w:rFonts w:ascii="Times New Roman" w:hAnsi="Times New Roman" w:cs="Times New Roman"/>
          <w:b/>
          <w:bCs/>
        </w:rPr>
      </w:pPr>
      <w:r w:rsidRPr="00792730">
        <w:rPr>
          <w:rFonts w:ascii="Times New Roman" w:hAnsi="Times New Roman" w:cs="Times New Roman"/>
          <w:b/>
          <w:bCs/>
        </w:rPr>
        <w:t xml:space="preserve">IMPOSSIBILIDADE DE RECONSTITUIÇÃO RETROSPECTIVA DO CONTEÚDO DECISÓRIO A PARTIR DA SENTENÇA POSTERIOR. </w:t>
      </w:r>
    </w:p>
    <w:p w14:paraId="679B0527" w14:textId="6C5CDD9B"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 xml:space="preserve">A menção genérica, constante da sentença apelada (Evento </w:t>
      </w:r>
      <w:r>
        <w:rPr>
          <w:rFonts w:ascii="Times New Roman" w:hAnsi="Times New Roman" w:cs="Times New Roman"/>
        </w:rPr>
        <w:t>...</w:t>
      </w:r>
      <w:r w:rsidRPr="00792730">
        <w:rPr>
          <w:rFonts w:ascii="Times New Roman" w:hAnsi="Times New Roman" w:cs="Times New Roman"/>
        </w:rPr>
        <w:t>), a uma "</w:t>
      </w:r>
      <w:r w:rsidRPr="00792730">
        <w:rPr>
          <w:rFonts w:ascii="Times New Roman" w:hAnsi="Times New Roman" w:cs="Times New Roman"/>
          <w:i/>
          <w:iCs/>
        </w:rPr>
        <w:t>anterior decisão deste juízo afastando a prescrição intercorrente</w:t>
      </w:r>
      <w:r w:rsidRPr="00792730">
        <w:rPr>
          <w:rFonts w:ascii="Times New Roman" w:hAnsi="Times New Roman" w:cs="Times New Roman"/>
        </w:rPr>
        <w:t>" permite conhecer apenas o resultado que o próprio magistrado atribuiu, retrospectivamente, à deliberação precedente, mas não recompõe o conteúdo efetivamente examinado e decidido naquela oportunidade, sendo inviável presumir a identidade de questões exigida pelo art. 505 do CPC a partir dessa única referência.</w:t>
      </w:r>
    </w:p>
    <w:p w14:paraId="412193B7" w14:textId="77777777" w:rsidR="00792730" w:rsidRPr="00792730" w:rsidRDefault="00792730" w:rsidP="00792730">
      <w:pPr>
        <w:ind w:right="-568"/>
        <w:jc w:val="both"/>
        <w:rPr>
          <w:rFonts w:ascii="Times New Roman" w:hAnsi="Times New Roman" w:cs="Times New Roman"/>
          <w:b/>
          <w:bCs/>
        </w:rPr>
      </w:pPr>
      <w:r w:rsidRPr="00792730">
        <w:rPr>
          <w:rFonts w:ascii="Times New Roman" w:hAnsi="Times New Roman" w:cs="Times New Roman"/>
          <w:b/>
          <w:bCs/>
        </w:rPr>
        <w:t>INTIMAÇÃO ELETRÔNICA. LEI N. 11.419/2006, ART. 5º, § 3º. FICÇÃO LEGAL QUE NÃO SUPRE A AUSÊNCIA DE CONTEÚDO.</w:t>
      </w:r>
    </w:p>
    <w:p w14:paraId="0EB12111" w14:textId="41AE6384"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A ficção de intimação realizada, prevista para a hipótese de não consulta ao teor da comunicação no prazo legal, define apenas o momento em que se considera cumprido o ato, não demonstrando, por si só, qual conteúdo decisório foi efetivamente disponibilizado ao destinatário.</w:t>
      </w:r>
    </w:p>
    <w:p w14:paraId="3C4E37DB" w14:textId="77777777" w:rsidR="00792730" w:rsidRPr="00792730" w:rsidRDefault="00792730" w:rsidP="00792730">
      <w:pPr>
        <w:ind w:right="-568"/>
        <w:jc w:val="both"/>
        <w:rPr>
          <w:rFonts w:ascii="Times New Roman" w:hAnsi="Times New Roman" w:cs="Times New Roman"/>
          <w:b/>
          <w:bCs/>
        </w:rPr>
      </w:pPr>
      <w:r w:rsidRPr="00792730">
        <w:rPr>
          <w:rFonts w:ascii="Times New Roman" w:hAnsi="Times New Roman" w:cs="Times New Roman"/>
          <w:b/>
          <w:bCs/>
        </w:rPr>
        <w:t xml:space="preserve">PRECEDENTE DO SUPERIOR TRIBUNAL DE JUSTIÇA. </w:t>
      </w:r>
    </w:p>
    <w:p w14:paraId="6407FDFE" w14:textId="37FB302E"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 xml:space="preserve">Orientação da Corte Superior no sentido de que o vício relativo à ausência de intimação apenas se submete à preclusão quando a parte tenha sido efetivamente provocada a atuar processualmente, isto é, colocada em situação concreta de exercer a faculdade correspondente [STJ, REsp n. 2.001.562/SC, Rel. Min. Gurgel de Faria, Primeira Turma, </w:t>
      </w:r>
      <w:proofErr w:type="spellStart"/>
      <w:r w:rsidRPr="00792730">
        <w:rPr>
          <w:rFonts w:ascii="Times New Roman" w:hAnsi="Times New Roman" w:cs="Times New Roman"/>
        </w:rPr>
        <w:t>DJe</w:t>
      </w:r>
      <w:proofErr w:type="spellEnd"/>
      <w:r w:rsidRPr="00792730">
        <w:rPr>
          <w:rFonts w:ascii="Times New Roman" w:hAnsi="Times New Roman" w:cs="Times New Roman"/>
        </w:rPr>
        <w:t xml:space="preserve"> 18.06.2024], circunstância inocorrente na espécie, ante o desconhecimento do teor do Evento </w:t>
      </w:r>
      <w:r>
        <w:rPr>
          <w:rFonts w:ascii="Times New Roman" w:hAnsi="Times New Roman" w:cs="Times New Roman"/>
        </w:rPr>
        <w:t>...</w:t>
      </w:r>
      <w:r w:rsidRPr="00792730">
        <w:rPr>
          <w:rFonts w:ascii="Times New Roman" w:hAnsi="Times New Roman" w:cs="Times New Roman"/>
        </w:rPr>
        <w:t xml:space="preserve"> pelos apelados.</w:t>
      </w:r>
    </w:p>
    <w:p w14:paraId="21A7D5E3" w14:textId="77777777" w:rsidR="00792730" w:rsidRPr="00792730" w:rsidRDefault="00792730" w:rsidP="00792730">
      <w:pPr>
        <w:ind w:right="-568"/>
        <w:jc w:val="both"/>
        <w:rPr>
          <w:rFonts w:ascii="Times New Roman" w:hAnsi="Times New Roman" w:cs="Times New Roman"/>
          <w:b/>
          <w:bCs/>
        </w:rPr>
      </w:pPr>
      <w:r w:rsidRPr="00792730">
        <w:rPr>
          <w:rFonts w:ascii="Times New Roman" w:hAnsi="Times New Roman" w:cs="Times New Roman"/>
          <w:b/>
          <w:bCs/>
        </w:rPr>
        <w:t xml:space="preserve">AFASTAMENTO DA PRECLUSÃO. PEDIDO PRINCIPAL. </w:t>
      </w:r>
    </w:p>
    <w:p w14:paraId="2D460599" w14:textId="0FAA2215"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 xml:space="preserve">Inexistindo pronunciamento cognoscível e objetivamente delimitável, não há atividade jurisdicional oponível às partes apta a ensejar a preclusão </w:t>
      </w:r>
      <w:r w:rsidRPr="00792730">
        <w:rPr>
          <w:rFonts w:ascii="Times New Roman" w:hAnsi="Times New Roman" w:cs="Times New Roman"/>
          <w:i/>
          <w:iCs/>
        </w:rPr>
        <w:t xml:space="preserve">pro </w:t>
      </w:r>
      <w:proofErr w:type="spellStart"/>
      <w:r w:rsidRPr="00792730">
        <w:rPr>
          <w:rFonts w:ascii="Times New Roman" w:hAnsi="Times New Roman" w:cs="Times New Roman"/>
          <w:i/>
          <w:iCs/>
        </w:rPr>
        <w:t>judicato</w:t>
      </w:r>
      <w:proofErr w:type="spellEnd"/>
      <w:r w:rsidRPr="00792730">
        <w:rPr>
          <w:rFonts w:ascii="Times New Roman" w:hAnsi="Times New Roman" w:cs="Times New Roman"/>
        </w:rPr>
        <w:t xml:space="preserve"> cogitada no Evento </w:t>
      </w:r>
      <w:r>
        <w:rPr>
          <w:rFonts w:ascii="Times New Roman" w:hAnsi="Times New Roman" w:cs="Times New Roman"/>
        </w:rPr>
        <w:t>...</w:t>
      </w:r>
      <w:r w:rsidRPr="00792730">
        <w:rPr>
          <w:rFonts w:ascii="Times New Roman" w:hAnsi="Times New Roman" w:cs="Times New Roman"/>
        </w:rPr>
        <w:t>, devendo o feito ser reincluído em pauta de julgamento, com o desprovimento da apelação e manutenção da sentença recorrida.</w:t>
      </w:r>
    </w:p>
    <w:p w14:paraId="72519AAB" w14:textId="77777777" w:rsidR="00792730" w:rsidRPr="00792730" w:rsidRDefault="00792730" w:rsidP="00792730">
      <w:pPr>
        <w:ind w:right="-568"/>
        <w:jc w:val="both"/>
        <w:rPr>
          <w:rFonts w:ascii="Times New Roman" w:hAnsi="Times New Roman" w:cs="Times New Roman"/>
          <w:b/>
          <w:bCs/>
        </w:rPr>
      </w:pPr>
      <w:r w:rsidRPr="00792730">
        <w:rPr>
          <w:rFonts w:ascii="Times New Roman" w:hAnsi="Times New Roman" w:cs="Times New Roman"/>
          <w:b/>
          <w:bCs/>
        </w:rPr>
        <w:t xml:space="preserve">PEDIDO SUBSIDIÁRIO. </w:t>
      </w:r>
    </w:p>
    <w:p w14:paraId="1865AE49" w14:textId="5A8B0661"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 xml:space="preserve">Subsidiariamente, requerida certidão da serventia judicial acerca da efetiva disponibilidade do inteiro teor do Evento </w:t>
      </w:r>
      <w:r>
        <w:rPr>
          <w:rFonts w:ascii="Times New Roman" w:hAnsi="Times New Roman" w:cs="Times New Roman"/>
        </w:rPr>
        <w:t>...</w:t>
      </w:r>
      <w:r w:rsidRPr="00792730">
        <w:rPr>
          <w:rFonts w:ascii="Times New Roman" w:hAnsi="Times New Roman" w:cs="Times New Roman"/>
        </w:rPr>
        <w:t xml:space="preserve"> às partes, assegurando-se, em qualquer hipótese, o contraditório específico e prévio a que se refere o art. 933 do CPC antes da atribuição de qualquer efeito preclusivo.</w:t>
      </w:r>
    </w:p>
    <w:p w14:paraId="0FDBD7AD" w14:textId="24B8DB94" w:rsidR="00792730" w:rsidRPr="00792730" w:rsidRDefault="00792730" w:rsidP="00792730">
      <w:pPr>
        <w:ind w:right="-568"/>
        <w:jc w:val="both"/>
        <w:rPr>
          <w:rFonts w:ascii="Times New Roman" w:hAnsi="Times New Roman" w:cs="Times New Roman"/>
          <w:b/>
          <w:bCs/>
        </w:rPr>
      </w:pPr>
      <w:r w:rsidRPr="00792730">
        <w:rPr>
          <w:rFonts w:ascii="Times New Roman" w:hAnsi="Times New Roman" w:cs="Times New Roman"/>
          <w:b/>
          <w:bCs/>
        </w:rPr>
        <w:t xml:space="preserve">I- </w:t>
      </w:r>
      <w:r w:rsidRPr="00792730">
        <w:rPr>
          <w:rFonts w:ascii="Times New Roman" w:hAnsi="Times New Roman" w:cs="Times New Roman"/>
          <w:b/>
          <w:bCs/>
        </w:rPr>
        <w:t>CONTEXTUALIZANDO</w:t>
      </w:r>
    </w:p>
    <w:p w14:paraId="5F1E267A" w14:textId="39F95430" w:rsidR="00792730" w:rsidRPr="00792730" w:rsidRDefault="00792730" w:rsidP="00792730">
      <w:pPr>
        <w:ind w:right="-568"/>
        <w:jc w:val="both"/>
        <w:rPr>
          <w:rFonts w:ascii="Times New Roman" w:hAnsi="Times New Roman" w:cs="Times New Roman"/>
          <w:b/>
          <w:bCs/>
        </w:rPr>
      </w:pPr>
      <w:r w:rsidRPr="00792730">
        <w:rPr>
          <w:rFonts w:ascii="Times New Roman" w:hAnsi="Times New Roman" w:cs="Times New Roman"/>
          <w:b/>
          <w:bCs/>
        </w:rPr>
        <w:lastRenderedPageBreak/>
        <w:t xml:space="preserve">A DETERMINAÇÃO DO D. RELATOR CONSTANTE NA R. DECISÃO DO EVENTO </w:t>
      </w:r>
      <w:r>
        <w:rPr>
          <w:rFonts w:ascii="Times New Roman" w:hAnsi="Times New Roman" w:cs="Times New Roman"/>
          <w:b/>
          <w:bCs/>
        </w:rPr>
        <w:t>...</w:t>
      </w:r>
      <w:r w:rsidRPr="00792730">
        <w:rPr>
          <w:rFonts w:ascii="Times New Roman" w:hAnsi="Times New Roman" w:cs="Times New Roman"/>
          <w:b/>
          <w:bCs/>
        </w:rPr>
        <w:t xml:space="preserve"> E A PREMISSA NECESSARIAMENTE ANTECEDENTE AO EXAME DA PRECLUSÃO </w:t>
      </w:r>
      <w:r w:rsidRPr="00792730">
        <w:rPr>
          <w:rFonts w:ascii="Times New Roman" w:hAnsi="Times New Roman" w:cs="Times New Roman"/>
          <w:b/>
          <w:bCs/>
          <w:i/>
          <w:iCs/>
        </w:rPr>
        <w:t>PRO JUDICATO</w:t>
      </w:r>
      <w:r w:rsidRPr="00792730">
        <w:rPr>
          <w:rFonts w:ascii="Times New Roman" w:hAnsi="Times New Roman" w:cs="Times New Roman"/>
          <w:b/>
          <w:bCs/>
        </w:rPr>
        <w:t>-</w:t>
      </w:r>
    </w:p>
    <w:p w14:paraId="22B6FF72" w14:textId="77777777" w:rsidR="00792730" w:rsidRPr="00792730" w:rsidRDefault="00792730" w:rsidP="00792730">
      <w:pPr>
        <w:ind w:right="-568"/>
        <w:jc w:val="both"/>
        <w:rPr>
          <w:rFonts w:ascii="Times New Roman" w:hAnsi="Times New Roman" w:cs="Times New Roman"/>
          <w:b/>
          <w:bCs/>
        </w:rPr>
      </w:pPr>
      <w:r w:rsidRPr="00792730">
        <w:rPr>
          <w:rFonts w:ascii="Times New Roman" w:hAnsi="Times New Roman" w:cs="Times New Roman"/>
          <w:b/>
          <w:bCs/>
        </w:rPr>
        <w:t>A INTIMAÇÃO COMO PRESSUPOSTO DE CIÊNCIA DA PARTE QUANTO AO CONTEÚDO DECISÓRIO-</w:t>
      </w:r>
    </w:p>
    <w:p w14:paraId="6DFADDC3" w14:textId="1558C9D5"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 xml:space="preserve">O r. despacho proferido no Evento </w:t>
      </w:r>
      <w:r>
        <w:rPr>
          <w:rFonts w:ascii="Times New Roman" w:hAnsi="Times New Roman" w:cs="Times New Roman"/>
        </w:rPr>
        <w:t>...</w:t>
      </w:r>
      <w:r w:rsidRPr="00792730">
        <w:rPr>
          <w:rFonts w:ascii="Times New Roman" w:hAnsi="Times New Roman" w:cs="Times New Roman"/>
        </w:rPr>
        <w:t xml:space="preserve"> delimitou com particular precisão a questão submetida ao contraditório ao consignar que a matéria referente à prescrição intercorrente, “</w:t>
      </w:r>
      <w:r w:rsidRPr="00792730">
        <w:rPr>
          <w:rFonts w:ascii="Times New Roman" w:hAnsi="Times New Roman" w:cs="Times New Roman"/>
          <w:i/>
          <w:iCs/>
        </w:rPr>
        <w:t>em tese</w:t>
      </w:r>
      <w:r w:rsidRPr="00792730">
        <w:rPr>
          <w:rFonts w:ascii="Times New Roman" w:hAnsi="Times New Roman" w:cs="Times New Roman"/>
        </w:rPr>
        <w:t xml:space="preserve">”, teria sido apreciada e rejeitada por anterior decisão do Evento 121, reputando possível, por conseguinte, a ocorrência de preclusão </w:t>
      </w:r>
      <w:r w:rsidRPr="00792730">
        <w:rPr>
          <w:rFonts w:ascii="Times New Roman" w:hAnsi="Times New Roman" w:cs="Times New Roman"/>
          <w:i/>
          <w:iCs/>
        </w:rPr>
        <w:t xml:space="preserve">pro </w:t>
      </w:r>
      <w:proofErr w:type="spellStart"/>
      <w:r w:rsidRPr="00792730">
        <w:rPr>
          <w:rFonts w:ascii="Times New Roman" w:hAnsi="Times New Roman" w:cs="Times New Roman"/>
          <w:i/>
          <w:iCs/>
        </w:rPr>
        <w:t>judicato</w:t>
      </w:r>
      <w:proofErr w:type="spellEnd"/>
      <w:r w:rsidRPr="00792730">
        <w:rPr>
          <w:rFonts w:ascii="Times New Roman" w:hAnsi="Times New Roman" w:cs="Times New Roman"/>
        </w:rPr>
        <w:t xml:space="preserve">, </w:t>
      </w:r>
      <w:r w:rsidRPr="00792730">
        <w:rPr>
          <w:rFonts w:ascii="Times New Roman" w:hAnsi="Times New Roman" w:cs="Times New Roman"/>
          <w:i/>
          <w:iCs/>
        </w:rPr>
        <w:t xml:space="preserve">in </w:t>
      </w:r>
      <w:proofErr w:type="spellStart"/>
      <w:r w:rsidRPr="00792730">
        <w:rPr>
          <w:rFonts w:ascii="Times New Roman" w:hAnsi="Times New Roman" w:cs="Times New Roman"/>
          <w:i/>
          <w:iCs/>
        </w:rPr>
        <w:t>verbis</w:t>
      </w:r>
      <w:proofErr w:type="spellEnd"/>
      <w:r w:rsidRPr="00792730">
        <w:rPr>
          <w:rFonts w:ascii="Times New Roman" w:hAnsi="Times New Roman" w:cs="Times New Roman"/>
        </w:rPr>
        <w:t>:</w:t>
      </w:r>
    </w:p>
    <w:p w14:paraId="4C1A7E73" w14:textId="77777777" w:rsidR="00792730" w:rsidRPr="00792730" w:rsidRDefault="00792730" w:rsidP="00792730">
      <w:pPr>
        <w:ind w:right="-568"/>
        <w:jc w:val="both"/>
        <w:rPr>
          <w:rFonts w:ascii="Times New Roman" w:hAnsi="Times New Roman" w:cs="Times New Roman"/>
          <w:b/>
          <w:bCs/>
        </w:rPr>
      </w:pPr>
      <w:r w:rsidRPr="00792730">
        <w:rPr>
          <w:rFonts w:ascii="Times New Roman" w:hAnsi="Times New Roman" w:cs="Times New Roman"/>
          <w:b/>
          <w:bCs/>
        </w:rPr>
        <w:t>DESPACHO/DECISÃO</w:t>
      </w:r>
    </w:p>
    <w:p w14:paraId="2F71CEE1" w14:textId="48391093"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 xml:space="preserve">Tendo em vista que a matéria alusiva à prescrição intercorrente, em tese, havia sido apreciada e rejeitada por decisão preclusa anterior (Evento </w:t>
      </w:r>
      <w:r>
        <w:rPr>
          <w:rFonts w:ascii="Times New Roman" w:hAnsi="Times New Roman" w:cs="Times New Roman"/>
        </w:rPr>
        <w:t>...</w:t>
      </w:r>
      <w:r w:rsidRPr="00792730">
        <w:rPr>
          <w:rFonts w:ascii="Times New Roman" w:hAnsi="Times New Roman" w:cs="Times New Roman"/>
        </w:rPr>
        <w:t xml:space="preserve">), intimem-se as partes, nos termos do art. 10 do CPC, para que, querendo, manifestem-se a respeito da possível ocorrência de preclusão </w:t>
      </w:r>
      <w:r w:rsidRPr="00792730">
        <w:rPr>
          <w:rFonts w:ascii="Times New Roman" w:hAnsi="Times New Roman" w:cs="Times New Roman"/>
          <w:i/>
          <w:iCs/>
        </w:rPr>
        <w:t xml:space="preserve">pro </w:t>
      </w:r>
      <w:proofErr w:type="spellStart"/>
      <w:r w:rsidRPr="00792730">
        <w:rPr>
          <w:rFonts w:ascii="Times New Roman" w:hAnsi="Times New Roman" w:cs="Times New Roman"/>
          <w:i/>
          <w:iCs/>
        </w:rPr>
        <w:t>judicato</w:t>
      </w:r>
      <w:proofErr w:type="spellEnd"/>
      <w:r w:rsidRPr="00792730">
        <w:rPr>
          <w:rFonts w:ascii="Times New Roman" w:hAnsi="Times New Roman" w:cs="Times New Roman"/>
        </w:rPr>
        <w:t>, no prazo comum de 5 (cinco) dias.</w:t>
      </w:r>
    </w:p>
    <w:p w14:paraId="3C1A640E" w14:textId="5769863C"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 xml:space="preserve">[Evento </w:t>
      </w:r>
      <w:r>
        <w:rPr>
          <w:rFonts w:ascii="Times New Roman" w:hAnsi="Times New Roman" w:cs="Times New Roman"/>
        </w:rPr>
        <w:t>...</w:t>
      </w:r>
      <w:r w:rsidRPr="00792730">
        <w:rPr>
          <w:rFonts w:ascii="Times New Roman" w:hAnsi="Times New Roman" w:cs="Times New Roman"/>
        </w:rPr>
        <w:t>]</w:t>
      </w:r>
    </w:p>
    <w:p w14:paraId="7186B337" w14:textId="064F8A23"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A cautela empregada por este d. Relator é juridicamente relevante porque impede que se tome como premissa já estabelecida aquilo que constitui justamente o objeto desta manifestação. Não houve declaração de ocorrência da preclusão; abriu-se às partes oportunidade de demonstrar se estão presentes os pressupostos necessários à produção desse efeito processual.</w:t>
      </w:r>
    </w:p>
    <w:p w14:paraId="3687E042" w14:textId="4AE00F4B"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 xml:space="preserve">O exame da matéria, portanto, antecede a discussão abstrata acerca da possibilidade de questões de ordem pública submeterem-se à preclusão. Há, antes, uma indagação elementar: qual pronunciamento foi efetivamente proferido no Evento </w:t>
      </w:r>
      <w:r>
        <w:rPr>
          <w:rFonts w:ascii="Times New Roman" w:hAnsi="Times New Roman" w:cs="Times New Roman"/>
        </w:rPr>
        <w:t>...</w:t>
      </w:r>
      <w:r w:rsidRPr="00792730">
        <w:rPr>
          <w:rFonts w:ascii="Times New Roman" w:hAnsi="Times New Roman" w:cs="Times New Roman"/>
        </w:rPr>
        <w:t>, qual era o seu conteúdo, que questão resolveu e se esse conteúdo foi colocado em condições de conhecimento pelas partes.</w:t>
      </w:r>
    </w:p>
    <w:p w14:paraId="13EA8855" w14:textId="10B78E6F"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A peculiaridade reside justamente aí.</w:t>
      </w:r>
    </w:p>
    <w:p w14:paraId="7DEA8080" w14:textId="671485D6"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 xml:space="preserve">Embora conste no </w:t>
      </w:r>
      <w:proofErr w:type="spellStart"/>
      <w:r w:rsidRPr="00792730">
        <w:rPr>
          <w:rFonts w:ascii="Times New Roman" w:hAnsi="Times New Roman" w:cs="Times New Roman"/>
        </w:rPr>
        <w:t>ePROC</w:t>
      </w:r>
      <w:proofErr w:type="spellEnd"/>
      <w:r w:rsidRPr="00792730">
        <w:rPr>
          <w:rFonts w:ascii="Times New Roman" w:hAnsi="Times New Roman" w:cs="Times New Roman"/>
        </w:rPr>
        <w:t xml:space="preserve"> o lançamento formal de uma movimentação intitulada “</w:t>
      </w:r>
      <w:r w:rsidRPr="00792730">
        <w:rPr>
          <w:rFonts w:ascii="Times New Roman" w:hAnsi="Times New Roman" w:cs="Times New Roman"/>
          <w:i/>
          <w:iCs/>
        </w:rPr>
        <w:t>Decisão Interlocutória</w:t>
      </w:r>
      <w:r w:rsidRPr="00792730">
        <w:rPr>
          <w:rFonts w:ascii="Times New Roman" w:hAnsi="Times New Roman" w:cs="Times New Roman"/>
        </w:rPr>
        <w:t xml:space="preserve">” no Evento </w:t>
      </w:r>
      <w:r>
        <w:rPr>
          <w:rFonts w:ascii="Times New Roman" w:hAnsi="Times New Roman" w:cs="Times New Roman"/>
        </w:rPr>
        <w:t>...</w:t>
      </w:r>
      <w:r w:rsidRPr="00792730">
        <w:rPr>
          <w:rFonts w:ascii="Times New Roman" w:hAnsi="Times New Roman" w:cs="Times New Roman"/>
        </w:rPr>
        <w:t>, o traslado do primeiro grau reproduz apenas a “</w:t>
      </w:r>
      <w:r w:rsidRPr="00792730">
        <w:rPr>
          <w:rFonts w:ascii="Times New Roman" w:hAnsi="Times New Roman" w:cs="Times New Roman"/>
          <w:i/>
          <w:iCs/>
        </w:rPr>
        <w:t>página de separação</w:t>
      </w:r>
      <w:r w:rsidRPr="00792730">
        <w:rPr>
          <w:rFonts w:ascii="Times New Roman" w:hAnsi="Times New Roman" w:cs="Times New Roman"/>
        </w:rPr>
        <w:t xml:space="preserve">” automaticamente gerada pelo sistema, constando identificação do evento, data, usuário e numeração do processo, sem trazer o conteúdo do pronunciamento propriamente dito, </w:t>
      </w:r>
      <w:r w:rsidRPr="00792730">
        <w:rPr>
          <w:rFonts w:ascii="Times New Roman" w:hAnsi="Times New Roman" w:cs="Times New Roman"/>
          <w:i/>
          <w:iCs/>
        </w:rPr>
        <w:t xml:space="preserve">ad </w:t>
      </w:r>
      <w:proofErr w:type="spellStart"/>
      <w:r w:rsidRPr="00792730">
        <w:rPr>
          <w:rFonts w:ascii="Times New Roman" w:hAnsi="Times New Roman" w:cs="Times New Roman"/>
          <w:i/>
          <w:iCs/>
        </w:rPr>
        <w:t>illustrandum</w:t>
      </w:r>
      <w:proofErr w:type="spellEnd"/>
      <w:r w:rsidRPr="00792730">
        <w:rPr>
          <w:rFonts w:ascii="Times New Roman" w:hAnsi="Times New Roman" w:cs="Times New Roman"/>
        </w:rPr>
        <w:t>:</w:t>
      </w:r>
    </w:p>
    <w:p w14:paraId="73C1E615" w14:textId="195F3DA2"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 xml:space="preserve">Quer dizer, não foi disponibilizado às partes – ao menos aos ora apelados – o conteúdo desse pronunciamento jurisdicional propriamente dito. Não há matéria decisória, fundamentação, dispositivo, assinatura eletrônica, código verificador ou qualquer outro componente por meio do qual seria possível conhecer e autenticar o ato exarado pelo d. Magistrado </w:t>
      </w:r>
      <w:r w:rsidRPr="00792730">
        <w:rPr>
          <w:rFonts w:ascii="Times New Roman" w:hAnsi="Times New Roman" w:cs="Times New Roman"/>
          <w:i/>
          <w:iCs/>
        </w:rPr>
        <w:t>a quo</w:t>
      </w:r>
      <w:r w:rsidRPr="00792730">
        <w:rPr>
          <w:rFonts w:ascii="Times New Roman" w:hAnsi="Times New Roman" w:cs="Times New Roman"/>
        </w:rPr>
        <w:t>.</w:t>
      </w:r>
    </w:p>
    <w:p w14:paraId="6C4E0C62" w14:textId="77777777" w:rsidR="00792730" w:rsidRDefault="00792730" w:rsidP="00792730">
      <w:pPr>
        <w:ind w:right="-568"/>
        <w:jc w:val="both"/>
        <w:rPr>
          <w:rFonts w:ascii="Times New Roman" w:hAnsi="Times New Roman" w:cs="Times New Roman"/>
        </w:rPr>
      </w:pPr>
      <w:r w:rsidRPr="00792730">
        <w:rPr>
          <w:rFonts w:ascii="Times New Roman" w:hAnsi="Times New Roman" w:cs="Times New Roman"/>
        </w:rPr>
        <w:t xml:space="preserve">A anomalia processual é confirmada pelo próprio relatório de eventos disponibilizado pelo sistema </w:t>
      </w:r>
      <w:proofErr w:type="spellStart"/>
      <w:r w:rsidRPr="00792730">
        <w:rPr>
          <w:rFonts w:ascii="Times New Roman" w:hAnsi="Times New Roman" w:cs="Times New Roman"/>
        </w:rPr>
        <w:t>ePROC</w:t>
      </w:r>
      <w:proofErr w:type="spellEnd"/>
      <w:r w:rsidRPr="00792730">
        <w:rPr>
          <w:rFonts w:ascii="Times New Roman" w:hAnsi="Times New Roman" w:cs="Times New Roman"/>
        </w:rPr>
        <w:t xml:space="preserve">, no qual, ao lado do </w:t>
      </w:r>
      <w:proofErr w:type="gramStart"/>
      <w:r w:rsidRPr="00792730">
        <w:rPr>
          <w:rFonts w:ascii="Times New Roman" w:hAnsi="Times New Roman" w:cs="Times New Roman"/>
        </w:rPr>
        <w:t xml:space="preserve">Evento </w:t>
      </w:r>
      <w:r>
        <w:rPr>
          <w:rFonts w:ascii="Times New Roman" w:hAnsi="Times New Roman" w:cs="Times New Roman"/>
        </w:rPr>
        <w:t>,</w:t>
      </w:r>
      <w:proofErr w:type="gramEnd"/>
      <w:r>
        <w:rPr>
          <w:rFonts w:ascii="Times New Roman" w:hAnsi="Times New Roman" w:cs="Times New Roman"/>
        </w:rPr>
        <w:t>,,</w:t>
      </w:r>
      <w:r w:rsidRPr="00792730">
        <w:rPr>
          <w:rFonts w:ascii="Times New Roman" w:hAnsi="Times New Roman" w:cs="Times New Roman"/>
        </w:rPr>
        <w:t xml:space="preserve"> consta a informação expressa de que o “</w:t>
      </w:r>
      <w:r w:rsidRPr="00792730">
        <w:rPr>
          <w:rFonts w:ascii="Times New Roman" w:hAnsi="Times New Roman" w:cs="Times New Roman"/>
          <w:i/>
          <w:iCs/>
        </w:rPr>
        <w:t>Evento não gerou documento</w:t>
      </w:r>
      <w:r w:rsidRPr="00792730">
        <w:rPr>
          <w:rFonts w:ascii="Times New Roman" w:hAnsi="Times New Roman" w:cs="Times New Roman"/>
        </w:rPr>
        <w:t>”:</w:t>
      </w:r>
      <w:r>
        <w:rPr>
          <w:rFonts w:ascii="Times New Roman" w:hAnsi="Times New Roman" w:cs="Times New Roman"/>
        </w:rPr>
        <w:t xml:space="preserve"> (descrever) </w:t>
      </w:r>
      <w:r w:rsidRPr="00792730">
        <w:rPr>
          <w:rFonts w:ascii="Times New Roman" w:hAnsi="Times New Roman" w:cs="Times New Roman"/>
        </w:rPr>
        <w:t>[doc.</w:t>
      </w:r>
      <w:r>
        <w:rPr>
          <w:rFonts w:ascii="Times New Roman" w:hAnsi="Times New Roman" w:cs="Times New Roman"/>
        </w:rPr>
        <w:t xml:space="preserve"> n. ...</w:t>
      </w:r>
      <w:r w:rsidRPr="00792730">
        <w:rPr>
          <w:rFonts w:ascii="Times New Roman" w:hAnsi="Times New Roman" w:cs="Times New Roman"/>
        </w:rPr>
        <w:t>]</w:t>
      </w:r>
    </w:p>
    <w:p w14:paraId="3FEE65F8" w14:textId="35933B13"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lastRenderedPageBreak/>
        <w:t>Nenhum dos atos posteriores dizem respeito à matéria prescricional, ressalvada a v. sentença apelada.</w:t>
      </w:r>
    </w:p>
    <w:p w14:paraId="7607CC71" w14:textId="69ED4849"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 xml:space="preserve">A isso se soma a ausência de publicação do mencionado ato no </w:t>
      </w:r>
      <w:proofErr w:type="spellStart"/>
      <w:r w:rsidRPr="00792730">
        <w:rPr>
          <w:rFonts w:ascii="Times New Roman" w:hAnsi="Times New Roman" w:cs="Times New Roman"/>
        </w:rPr>
        <w:t>DJe</w:t>
      </w:r>
      <w:proofErr w:type="spellEnd"/>
      <w:r w:rsidRPr="00792730">
        <w:rPr>
          <w:rFonts w:ascii="Times New Roman" w:hAnsi="Times New Roman" w:cs="Times New Roman"/>
        </w:rPr>
        <w:t xml:space="preserve"> ou DJEN entre </w:t>
      </w:r>
      <w:r>
        <w:rPr>
          <w:rFonts w:ascii="Times New Roman" w:hAnsi="Times New Roman" w:cs="Times New Roman"/>
        </w:rPr>
        <w:t>...</w:t>
      </w:r>
      <w:r w:rsidRPr="00792730">
        <w:rPr>
          <w:rFonts w:ascii="Times New Roman" w:hAnsi="Times New Roman" w:cs="Times New Roman"/>
        </w:rPr>
        <w:t xml:space="preserve"> e </w:t>
      </w:r>
      <w:r>
        <w:rPr>
          <w:rFonts w:ascii="Times New Roman" w:hAnsi="Times New Roman" w:cs="Times New Roman"/>
        </w:rPr>
        <w:t>...</w:t>
      </w:r>
      <w:r w:rsidRPr="00792730">
        <w:rPr>
          <w:rFonts w:ascii="Times New Roman" w:hAnsi="Times New Roman" w:cs="Times New Roman"/>
        </w:rPr>
        <w:t xml:space="preserve"> -época do pronunciamento jurisdicional-:</w:t>
      </w:r>
    </w:p>
    <w:p w14:paraId="2B5DACAF" w14:textId="0FFADD2B" w:rsidR="00792730" w:rsidRPr="00792730" w:rsidRDefault="00792730" w:rsidP="00792730">
      <w:pPr>
        <w:ind w:right="-568"/>
        <w:jc w:val="both"/>
        <w:rPr>
          <w:rFonts w:ascii="Times New Roman" w:hAnsi="Times New Roman" w:cs="Times New Roman"/>
        </w:rPr>
      </w:pPr>
      <w:r>
        <w:rPr>
          <w:rFonts w:ascii="Times New Roman" w:hAnsi="Times New Roman" w:cs="Times New Roman"/>
        </w:rPr>
        <w:t xml:space="preserve">(descrever) </w:t>
      </w:r>
      <w:r w:rsidRPr="00792730">
        <w:rPr>
          <w:rFonts w:ascii="Times New Roman" w:hAnsi="Times New Roman" w:cs="Times New Roman"/>
        </w:rPr>
        <w:t>[doc.</w:t>
      </w:r>
      <w:r>
        <w:rPr>
          <w:rFonts w:ascii="Times New Roman" w:hAnsi="Times New Roman" w:cs="Times New Roman"/>
        </w:rPr>
        <w:t xml:space="preserve"> n. ...</w:t>
      </w:r>
      <w:r w:rsidRPr="00792730">
        <w:rPr>
          <w:rFonts w:ascii="Times New Roman" w:hAnsi="Times New Roman" w:cs="Times New Roman"/>
        </w:rPr>
        <w:t>]</w:t>
      </w:r>
    </w:p>
    <w:p w14:paraId="60A09019" w14:textId="2603784A"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 xml:space="preserve">Resumidamente, qualquer que fosse o meio de comunicação, ele somente poderia produzir efeitos e consequências processuais se fosse franqueado à parte acesso ao conteúdo do ato comunicado. </w:t>
      </w:r>
    </w:p>
    <w:p w14:paraId="401B5C71" w14:textId="51A57EF6"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Neste particular, de conhecimento geral que a “</w:t>
      </w:r>
      <w:r w:rsidRPr="00792730">
        <w:rPr>
          <w:rFonts w:ascii="Times New Roman" w:hAnsi="Times New Roman" w:cs="Times New Roman"/>
          <w:i/>
          <w:iCs/>
        </w:rPr>
        <w:t>intimação é o ato pelo qual se dá ciência a alguém dos atos e dos termos do processo</w:t>
      </w:r>
      <w:r w:rsidRPr="00792730">
        <w:rPr>
          <w:rFonts w:ascii="Times New Roman" w:hAnsi="Times New Roman" w:cs="Times New Roman"/>
        </w:rPr>
        <w:t xml:space="preserve">” [CPC, art. 269, </w:t>
      </w:r>
      <w:r w:rsidRPr="00792730">
        <w:rPr>
          <w:rFonts w:ascii="Times New Roman" w:hAnsi="Times New Roman" w:cs="Times New Roman"/>
          <w:i/>
          <w:iCs/>
        </w:rPr>
        <w:t>caput</w:t>
      </w:r>
      <w:r w:rsidRPr="00792730">
        <w:rPr>
          <w:rFonts w:ascii="Times New Roman" w:hAnsi="Times New Roman" w:cs="Times New Roman"/>
        </w:rPr>
        <w:t>]</w:t>
      </w:r>
      <w:r w:rsidR="00306FFB">
        <w:rPr>
          <w:rStyle w:val="Refdenotaderodap"/>
          <w:rFonts w:ascii="Times New Roman" w:hAnsi="Times New Roman" w:cs="Times New Roman"/>
        </w:rPr>
        <w:footnoteReference w:id="1"/>
      </w:r>
      <w:r w:rsidRPr="00792730">
        <w:rPr>
          <w:rFonts w:ascii="Times New Roman" w:hAnsi="Times New Roman" w:cs="Times New Roman"/>
        </w:rPr>
        <w:t xml:space="preserve">.  </w:t>
      </w:r>
    </w:p>
    <w:p w14:paraId="0C0F6C67" w14:textId="6DDDB4A1"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A norma cogente é particularmente importante na espécie, pois a comunicação processual não possui existência jurídica autônoma em relação ao ato que comunica, prestando-se a tornar cognoscível ao destinatário o conteúdo de determinada providência judicial.</w:t>
      </w:r>
    </w:p>
    <w:p w14:paraId="0F935125" w14:textId="3E14CB12"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 xml:space="preserve">O digesto instrumental civil, ao conceituar a decisão interlocutória e disciplinar os pronunciamentos judiciais, pressupõe ato redigido, datado e assinado pelo d. Magistrado, constituindo a publicação como meio de eficácia e validade do decisum [CPC, </w:t>
      </w:r>
      <w:proofErr w:type="spellStart"/>
      <w:r w:rsidRPr="00792730">
        <w:rPr>
          <w:rFonts w:ascii="Times New Roman" w:hAnsi="Times New Roman" w:cs="Times New Roman"/>
        </w:rPr>
        <w:t>arts</w:t>
      </w:r>
      <w:proofErr w:type="spellEnd"/>
      <w:r w:rsidRPr="00792730">
        <w:rPr>
          <w:rFonts w:ascii="Times New Roman" w:hAnsi="Times New Roman" w:cs="Times New Roman"/>
        </w:rPr>
        <w:t>. 203, §2º e 205]</w:t>
      </w:r>
      <w:r w:rsidR="00306FFB">
        <w:rPr>
          <w:rStyle w:val="Refdenotaderodap"/>
          <w:rFonts w:ascii="Times New Roman" w:hAnsi="Times New Roman" w:cs="Times New Roman"/>
        </w:rPr>
        <w:footnoteReference w:id="2"/>
      </w:r>
      <w:r w:rsidRPr="00792730">
        <w:rPr>
          <w:rFonts w:ascii="Times New Roman" w:hAnsi="Times New Roman" w:cs="Times New Roman"/>
        </w:rPr>
        <w:t xml:space="preserve">. </w:t>
      </w:r>
    </w:p>
    <w:p w14:paraId="11B2F119" w14:textId="11DE58A1"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 xml:space="preserve">A própria determinação de V.Exa. constante no Evento </w:t>
      </w:r>
      <w:r>
        <w:rPr>
          <w:rFonts w:ascii="Times New Roman" w:hAnsi="Times New Roman" w:cs="Times New Roman"/>
        </w:rPr>
        <w:t>...</w:t>
      </w:r>
      <w:r w:rsidRPr="00792730">
        <w:rPr>
          <w:rFonts w:ascii="Times New Roman" w:hAnsi="Times New Roman" w:cs="Times New Roman"/>
        </w:rPr>
        <w:t xml:space="preserve"> [</w:t>
      </w:r>
      <w:r w:rsidRPr="00792730">
        <w:rPr>
          <w:rFonts w:ascii="Times New Roman" w:hAnsi="Times New Roman" w:cs="Times New Roman"/>
          <w:i/>
          <w:iCs/>
        </w:rPr>
        <w:t>in litteris</w:t>
      </w:r>
      <w:r w:rsidRPr="00792730">
        <w:rPr>
          <w:rFonts w:ascii="Times New Roman" w:hAnsi="Times New Roman" w:cs="Times New Roman"/>
        </w:rPr>
        <w:t>: “</w:t>
      </w:r>
      <w:r w:rsidRPr="00792730">
        <w:rPr>
          <w:rFonts w:ascii="Times New Roman" w:hAnsi="Times New Roman" w:cs="Times New Roman"/>
          <w:i/>
          <w:iCs/>
        </w:rPr>
        <w:t xml:space="preserve">Tendo em vista que a matéria alusiva à prescrição intercorrente, em tese, havia sido apreciada e rejeitada por decisão preclusa anterior (Evento </w:t>
      </w:r>
      <w:r>
        <w:rPr>
          <w:rFonts w:ascii="Times New Roman" w:hAnsi="Times New Roman" w:cs="Times New Roman"/>
          <w:i/>
          <w:iCs/>
        </w:rPr>
        <w:t>...</w:t>
      </w:r>
      <w:r w:rsidRPr="00792730">
        <w:rPr>
          <w:rFonts w:ascii="Times New Roman" w:hAnsi="Times New Roman" w:cs="Times New Roman"/>
          <w:i/>
          <w:iCs/>
        </w:rPr>
        <w:t xml:space="preserve">), intimem-se as partes, nos termos do art. 10 do CPC, para que, querendo, manifestem-se a respeito da possível ocorrência de preclusão pro </w:t>
      </w:r>
      <w:proofErr w:type="spellStart"/>
      <w:r w:rsidRPr="00792730">
        <w:rPr>
          <w:rFonts w:ascii="Times New Roman" w:hAnsi="Times New Roman" w:cs="Times New Roman"/>
          <w:i/>
          <w:iCs/>
        </w:rPr>
        <w:t>judicato</w:t>
      </w:r>
      <w:proofErr w:type="spellEnd"/>
      <w:r w:rsidRPr="00792730">
        <w:rPr>
          <w:rFonts w:ascii="Times New Roman" w:hAnsi="Times New Roman" w:cs="Times New Roman"/>
          <w:i/>
          <w:iCs/>
        </w:rPr>
        <w:t>, no prazo comum de 5 (cinco) dias</w:t>
      </w:r>
      <w:r w:rsidRPr="00792730">
        <w:rPr>
          <w:rFonts w:ascii="Times New Roman" w:hAnsi="Times New Roman" w:cs="Times New Roman"/>
        </w:rPr>
        <w:t>”] oferece exemplo suficientemente elucidativo.</w:t>
      </w:r>
    </w:p>
    <w:p w14:paraId="345F40FF" w14:textId="19FACD51"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 xml:space="preserve">Os apelados/ora peticionários somente conseguem se manifestar nesta oportunidade legal porque tiveram acesso ao inteiro teor do r. despacho transcrito acima e, a partir da intimação realizada pelo meio oficial, sabem que podem se pronunciar especificamente sobre a sugerida preclusão </w:t>
      </w:r>
      <w:r w:rsidRPr="00792730">
        <w:rPr>
          <w:rFonts w:ascii="Times New Roman" w:hAnsi="Times New Roman" w:cs="Times New Roman"/>
          <w:i/>
          <w:iCs/>
        </w:rPr>
        <w:t xml:space="preserve">pro </w:t>
      </w:r>
      <w:proofErr w:type="spellStart"/>
      <w:r w:rsidRPr="00792730">
        <w:rPr>
          <w:rFonts w:ascii="Times New Roman" w:hAnsi="Times New Roman" w:cs="Times New Roman"/>
          <w:i/>
          <w:iCs/>
        </w:rPr>
        <w:t>judicato</w:t>
      </w:r>
      <w:proofErr w:type="spellEnd"/>
      <w:r w:rsidRPr="00792730">
        <w:rPr>
          <w:rFonts w:ascii="Times New Roman" w:hAnsi="Times New Roman" w:cs="Times New Roman"/>
        </w:rPr>
        <w:t>.</w:t>
      </w:r>
    </w:p>
    <w:p w14:paraId="426B661D" w14:textId="405B27FC"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Evidentemente, se o sistema exibisse apenas uma linha cadastral de indexação constando a singela menção ao expediente como se fosse um “</w:t>
      </w:r>
      <w:r w:rsidRPr="00792730">
        <w:rPr>
          <w:rFonts w:ascii="Times New Roman" w:hAnsi="Times New Roman" w:cs="Times New Roman"/>
          <w:i/>
          <w:iCs/>
        </w:rPr>
        <w:t>Despacho</w:t>
      </w:r>
      <w:r w:rsidRPr="00792730">
        <w:rPr>
          <w:rFonts w:ascii="Times New Roman" w:hAnsi="Times New Roman" w:cs="Times New Roman"/>
        </w:rPr>
        <w:t xml:space="preserve">”, acompanhada de abertura de </w:t>
      </w:r>
      <w:r w:rsidRPr="00792730">
        <w:rPr>
          <w:rFonts w:ascii="Times New Roman" w:hAnsi="Times New Roman" w:cs="Times New Roman"/>
        </w:rPr>
        <w:lastRenderedPageBreak/>
        <w:t xml:space="preserve">prazo, mas sem efetiva publicidade do conteúdo da ordem judicial [CPC, art. 189, </w:t>
      </w:r>
      <w:r w:rsidRPr="00792730">
        <w:rPr>
          <w:rFonts w:ascii="Times New Roman" w:hAnsi="Times New Roman" w:cs="Times New Roman"/>
          <w:i/>
          <w:iCs/>
        </w:rPr>
        <w:t>caput</w:t>
      </w:r>
      <w:r w:rsidRPr="00792730">
        <w:rPr>
          <w:rFonts w:ascii="Times New Roman" w:hAnsi="Times New Roman" w:cs="Times New Roman"/>
        </w:rPr>
        <w:t>]</w:t>
      </w:r>
      <w:r w:rsidR="00306FFB">
        <w:rPr>
          <w:rStyle w:val="Refdenotaderodap"/>
          <w:rFonts w:ascii="Times New Roman" w:hAnsi="Times New Roman" w:cs="Times New Roman"/>
        </w:rPr>
        <w:footnoteReference w:id="3"/>
      </w:r>
      <w:r w:rsidRPr="00792730">
        <w:rPr>
          <w:rFonts w:ascii="Times New Roman" w:hAnsi="Times New Roman" w:cs="Times New Roman"/>
        </w:rPr>
        <w:t>, por óbvio seria materialmente impossível saber sobre o que se manifestar.</w:t>
      </w:r>
    </w:p>
    <w:p w14:paraId="070E8412" w14:textId="320E4A49"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 xml:space="preserve">A mesma lógica se atribui ao Evento </w:t>
      </w:r>
      <w:r>
        <w:rPr>
          <w:rFonts w:ascii="Times New Roman" w:hAnsi="Times New Roman" w:cs="Times New Roman"/>
        </w:rPr>
        <w:t>...</w:t>
      </w:r>
      <w:r w:rsidRPr="00792730">
        <w:rPr>
          <w:rFonts w:ascii="Times New Roman" w:hAnsi="Times New Roman" w:cs="Times New Roman"/>
        </w:rPr>
        <w:t xml:space="preserve"> </w:t>
      </w:r>
      <w:r w:rsidRPr="00792730">
        <w:rPr>
          <w:rFonts w:ascii="Times New Roman" w:hAnsi="Times New Roman" w:cs="Times New Roman"/>
          <w:i/>
          <w:iCs/>
        </w:rPr>
        <w:t xml:space="preserve">sub </w:t>
      </w:r>
      <w:proofErr w:type="spellStart"/>
      <w:r w:rsidRPr="00792730">
        <w:rPr>
          <w:rFonts w:ascii="Times New Roman" w:hAnsi="Times New Roman" w:cs="Times New Roman"/>
          <w:i/>
          <w:iCs/>
        </w:rPr>
        <w:t>cogitabondo</w:t>
      </w:r>
      <w:proofErr w:type="spellEnd"/>
      <w:r w:rsidRPr="00792730">
        <w:rPr>
          <w:rFonts w:ascii="Times New Roman" w:hAnsi="Times New Roman" w:cs="Times New Roman"/>
        </w:rPr>
        <w:t>: não se pode exigir da parte eventual questionamento, interposição de recurso, impugnação ou qualquer reação processual contra pronunciamento cujo conteúdo não se demonstrou ter sido disponibilizado ao destinatário!</w:t>
      </w:r>
    </w:p>
    <w:p w14:paraId="47F77F95" w14:textId="77777777" w:rsidR="00792730" w:rsidRDefault="00792730" w:rsidP="00792730">
      <w:pPr>
        <w:ind w:right="-568"/>
        <w:jc w:val="both"/>
        <w:rPr>
          <w:rFonts w:ascii="Times New Roman" w:hAnsi="Times New Roman" w:cs="Times New Roman"/>
          <w:b/>
          <w:bCs/>
        </w:rPr>
      </w:pPr>
      <w:r w:rsidRPr="00792730">
        <w:rPr>
          <w:rFonts w:ascii="Times New Roman" w:hAnsi="Times New Roman" w:cs="Times New Roman"/>
          <w:b/>
          <w:bCs/>
        </w:rPr>
        <w:t>II-</w:t>
      </w:r>
      <w:r w:rsidRPr="00792730">
        <w:rPr>
          <w:rFonts w:ascii="Times New Roman" w:hAnsi="Times New Roman" w:cs="Times New Roman"/>
          <w:b/>
          <w:bCs/>
        </w:rPr>
        <w:t xml:space="preserve"> </w:t>
      </w:r>
      <w:r w:rsidRPr="00792730">
        <w:rPr>
          <w:rFonts w:ascii="Times New Roman" w:hAnsi="Times New Roman" w:cs="Times New Roman"/>
          <w:b/>
          <w:bCs/>
        </w:rPr>
        <w:t xml:space="preserve">DA AUSÊNCIA DOS PRESSUPOSTOS PARA A PRECLUSÃO </w:t>
      </w:r>
      <w:r w:rsidRPr="00792730">
        <w:rPr>
          <w:rFonts w:ascii="Times New Roman" w:hAnsi="Times New Roman" w:cs="Times New Roman"/>
          <w:b/>
          <w:bCs/>
          <w:i/>
          <w:iCs/>
        </w:rPr>
        <w:t>PRO JUDICATO</w:t>
      </w:r>
      <w:r w:rsidRPr="00792730">
        <w:rPr>
          <w:rFonts w:ascii="Times New Roman" w:hAnsi="Times New Roman" w:cs="Times New Roman"/>
          <w:b/>
          <w:bCs/>
        </w:rPr>
        <w:t xml:space="preserve"> – ART. 505 DO CPC QUE PRESSUPÕE A EXISTÊNCIA DE UMA QUESTÃO ANTERIORMENTE DECIDIDA, COGNOSCÍVEL E OBJETIVAMENTE IDENTIFICÁVEL</w:t>
      </w:r>
    </w:p>
    <w:p w14:paraId="5AE11EF5" w14:textId="24FE39AE" w:rsidR="00792730" w:rsidRPr="00792730" w:rsidRDefault="00792730" w:rsidP="00792730">
      <w:pPr>
        <w:ind w:right="-568"/>
        <w:jc w:val="both"/>
        <w:rPr>
          <w:rFonts w:ascii="Times New Roman" w:hAnsi="Times New Roman" w:cs="Times New Roman"/>
          <w:b/>
          <w:bCs/>
        </w:rPr>
      </w:pPr>
      <w:r w:rsidRPr="00792730">
        <w:rPr>
          <w:rFonts w:ascii="Times New Roman" w:hAnsi="Times New Roman" w:cs="Times New Roman"/>
        </w:rPr>
        <w:t>A preclusão constitui técnica de estabilização interna do processo, destinada a impedir a reabertura indefinida de questões já superadas.</w:t>
      </w:r>
    </w:p>
    <w:p w14:paraId="46839901" w14:textId="7CE659E2"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 xml:space="preserve">Quando projetada sobre a atividade jurisdicional -a denominada preclusão </w:t>
      </w:r>
      <w:r w:rsidRPr="00792730">
        <w:rPr>
          <w:rFonts w:ascii="Times New Roman" w:hAnsi="Times New Roman" w:cs="Times New Roman"/>
          <w:i/>
          <w:iCs/>
        </w:rPr>
        <w:t xml:space="preserve">pro </w:t>
      </w:r>
      <w:proofErr w:type="spellStart"/>
      <w:r w:rsidRPr="00792730">
        <w:rPr>
          <w:rFonts w:ascii="Times New Roman" w:hAnsi="Times New Roman" w:cs="Times New Roman"/>
          <w:i/>
          <w:iCs/>
        </w:rPr>
        <w:t>judicato</w:t>
      </w:r>
      <w:proofErr w:type="spellEnd"/>
      <w:r w:rsidRPr="00792730">
        <w:rPr>
          <w:rFonts w:ascii="Times New Roman" w:hAnsi="Times New Roman" w:cs="Times New Roman"/>
        </w:rPr>
        <w:t>- encontra seu núcleo normativo no art. 505 do CPC, segundo o qual “</w:t>
      </w:r>
      <w:r w:rsidRPr="00792730">
        <w:rPr>
          <w:rFonts w:ascii="Times New Roman" w:hAnsi="Times New Roman" w:cs="Times New Roman"/>
          <w:i/>
          <w:iCs/>
        </w:rPr>
        <w:t>nenhum juiz decidirá novamente as questões já decididas relativas à mesma lide</w:t>
      </w:r>
      <w:r w:rsidRPr="00792730">
        <w:rPr>
          <w:rFonts w:ascii="Times New Roman" w:hAnsi="Times New Roman" w:cs="Times New Roman"/>
        </w:rPr>
        <w:t>”. O art. 507, embora dirigido às partes, parte da mesma premissa ao vedar a rediscussão das “</w:t>
      </w:r>
      <w:r w:rsidRPr="00792730">
        <w:rPr>
          <w:rFonts w:ascii="Times New Roman" w:hAnsi="Times New Roman" w:cs="Times New Roman"/>
          <w:i/>
          <w:iCs/>
        </w:rPr>
        <w:t>questões já decididas</w:t>
      </w:r>
      <w:r w:rsidRPr="00792730">
        <w:rPr>
          <w:rFonts w:ascii="Times New Roman" w:hAnsi="Times New Roman" w:cs="Times New Roman"/>
        </w:rPr>
        <w:t>” a cujo respeito se tenha operado a preclusão.</w:t>
      </w:r>
    </w:p>
    <w:p w14:paraId="0926FCCA" w14:textId="2C131C61"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Não é casual, portanto, que o legislador tenha empregado em ambos os dispositivos exatamente essa expressão.</w:t>
      </w:r>
    </w:p>
    <w:p w14:paraId="583BA6D5" w14:textId="6E389A36"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 xml:space="preserve">É justamente aí, </w:t>
      </w:r>
      <w:proofErr w:type="spellStart"/>
      <w:r w:rsidRPr="00792730">
        <w:rPr>
          <w:rFonts w:ascii="Times New Roman" w:hAnsi="Times New Roman" w:cs="Times New Roman"/>
          <w:i/>
          <w:iCs/>
        </w:rPr>
        <w:t>concessa</w:t>
      </w:r>
      <w:proofErr w:type="spellEnd"/>
      <w:r w:rsidRPr="00792730">
        <w:rPr>
          <w:rFonts w:ascii="Times New Roman" w:hAnsi="Times New Roman" w:cs="Times New Roman"/>
          <w:i/>
          <w:iCs/>
        </w:rPr>
        <w:t xml:space="preserve"> </w:t>
      </w:r>
      <w:proofErr w:type="spellStart"/>
      <w:r w:rsidRPr="00792730">
        <w:rPr>
          <w:rFonts w:ascii="Times New Roman" w:hAnsi="Times New Roman" w:cs="Times New Roman"/>
          <w:i/>
          <w:iCs/>
        </w:rPr>
        <w:t>maxima</w:t>
      </w:r>
      <w:proofErr w:type="spellEnd"/>
      <w:r w:rsidRPr="00792730">
        <w:rPr>
          <w:rFonts w:ascii="Times New Roman" w:hAnsi="Times New Roman" w:cs="Times New Roman"/>
          <w:i/>
          <w:iCs/>
        </w:rPr>
        <w:t xml:space="preserve"> </w:t>
      </w:r>
      <w:proofErr w:type="spellStart"/>
      <w:r w:rsidRPr="00792730">
        <w:rPr>
          <w:rFonts w:ascii="Times New Roman" w:hAnsi="Times New Roman" w:cs="Times New Roman"/>
          <w:i/>
          <w:iCs/>
        </w:rPr>
        <w:t>venia</w:t>
      </w:r>
      <w:proofErr w:type="spellEnd"/>
      <w:r w:rsidRPr="00792730">
        <w:rPr>
          <w:rFonts w:ascii="Times New Roman" w:hAnsi="Times New Roman" w:cs="Times New Roman"/>
        </w:rPr>
        <w:t xml:space="preserve">, que se encontra o obstáculo à preclusão cogitada no Evento </w:t>
      </w:r>
      <w:r>
        <w:rPr>
          <w:rFonts w:ascii="Times New Roman" w:hAnsi="Times New Roman" w:cs="Times New Roman"/>
        </w:rPr>
        <w:t>...</w:t>
      </w:r>
    </w:p>
    <w:p w14:paraId="4A72D795" w14:textId="0C80FE82"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Para afirmar que o Juízo tornou a decidir determinada questão, é indispensável identificar previamente o que havia sido resolvido e quais eram os limites daquela deliberação, pois somente esse cotejo permite verificar se o pronunciamento posterior efetivamente incidiu sobre matéria anteriormente decidida.</w:t>
      </w:r>
    </w:p>
    <w:p w14:paraId="584A8435" w14:textId="4BB0827D"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No caso concreto, tal operação não pode ser realizada a partir do acervo processual disponível aos litigantes.</w:t>
      </w:r>
    </w:p>
    <w:p w14:paraId="5E2DD9EB" w14:textId="1544466F"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 xml:space="preserve">O Evento </w:t>
      </w:r>
      <w:r>
        <w:rPr>
          <w:rFonts w:ascii="Times New Roman" w:hAnsi="Times New Roman" w:cs="Times New Roman"/>
        </w:rPr>
        <w:t>...</w:t>
      </w:r>
      <w:r w:rsidRPr="00792730">
        <w:rPr>
          <w:rFonts w:ascii="Times New Roman" w:hAnsi="Times New Roman" w:cs="Times New Roman"/>
        </w:rPr>
        <w:t xml:space="preserve"> existe no histórico do </w:t>
      </w:r>
      <w:proofErr w:type="spellStart"/>
      <w:r w:rsidRPr="00792730">
        <w:rPr>
          <w:rFonts w:ascii="Times New Roman" w:hAnsi="Times New Roman" w:cs="Times New Roman"/>
        </w:rPr>
        <w:t>ePROC</w:t>
      </w:r>
      <w:proofErr w:type="spellEnd"/>
      <w:r w:rsidRPr="00792730">
        <w:rPr>
          <w:rFonts w:ascii="Times New Roman" w:hAnsi="Times New Roman" w:cs="Times New Roman"/>
        </w:rPr>
        <w:t xml:space="preserve"> apenas formalmente sob a rubrica “</w:t>
      </w:r>
      <w:r w:rsidRPr="00792730">
        <w:rPr>
          <w:rFonts w:ascii="Times New Roman" w:hAnsi="Times New Roman" w:cs="Times New Roman"/>
          <w:i/>
          <w:iCs/>
        </w:rPr>
        <w:t>Decisão Interlocutória</w:t>
      </w:r>
      <w:r w:rsidRPr="00792730">
        <w:rPr>
          <w:rFonts w:ascii="Times New Roman" w:hAnsi="Times New Roman" w:cs="Times New Roman"/>
        </w:rPr>
        <w:t>”, mas o pronunciamento correspondente não se encontra disponível/acessível aos integrantes da relação processual. O traslado reproduz apenas a página de separação gerada pelo sistema, sem fundamentação, dispositivo ou qualquer elemento capaz de revelar o conteúdo da deliberação; e o próprio relatório de movimentações registra expressamente que o “</w:t>
      </w:r>
      <w:r w:rsidRPr="00792730">
        <w:rPr>
          <w:rFonts w:ascii="Times New Roman" w:hAnsi="Times New Roman" w:cs="Times New Roman"/>
          <w:i/>
          <w:iCs/>
        </w:rPr>
        <w:t>Evento não gerou documento</w:t>
      </w:r>
      <w:r w:rsidRPr="00792730">
        <w:rPr>
          <w:rFonts w:ascii="Times New Roman" w:hAnsi="Times New Roman" w:cs="Times New Roman"/>
        </w:rPr>
        <w:t>”.</w:t>
      </w:r>
    </w:p>
    <w:p w14:paraId="519E67C5" w14:textId="774ECA64"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 xml:space="preserve">Essa circunstância é determinante porque a preclusão </w:t>
      </w:r>
      <w:r w:rsidRPr="00792730">
        <w:rPr>
          <w:rFonts w:ascii="Times New Roman" w:hAnsi="Times New Roman" w:cs="Times New Roman"/>
          <w:i/>
          <w:iCs/>
        </w:rPr>
        <w:t xml:space="preserve">pro </w:t>
      </w:r>
      <w:proofErr w:type="spellStart"/>
      <w:r w:rsidRPr="00792730">
        <w:rPr>
          <w:rFonts w:ascii="Times New Roman" w:hAnsi="Times New Roman" w:cs="Times New Roman"/>
          <w:i/>
          <w:iCs/>
        </w:rPr>
        <w:t>judicato</w:t>
      </w:r>
      <w:proofErr w:type="spellEnd"/>
      <w:r w:rsidRPr="00792730">
        <w:rPr>
          <w:rFonts w:ascii="Times New Roman" w:hAnsi="Times New Roman" w:cs="Times New Roman"/>
        </w:rPr>
        <w:t xml:space="preserve"> não incide sobre a referência nominal a um instituto jurídico; pressupõe uma questão de direito concretamente examinada e resolvida.</w:t>
      </w:r>
    </w:p>
    <w:p w14:paraId="249482FD" w14:textId="352765F7"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lastRenderedPageBreak/>
        <w:t xml:space="preserve">É verdade que a v. sentença apelada do Evento </w:t>
      </w:r>
      <w:r>
        <w:rPr>
          <w:rFonts w:ascii="Times New Roman" w:hAnsi="Times New Roman" w:cs="Times New Roman"/>
        </w:rPr>
        <w:t>...</w:t>
      </w:r>
      <w:r w:rsidRPr="00792730">
        <w:rPr>
          <w:rFonts w:ascii="Times New Roman" w:hAnsi="Times New Roman" w:cs="Times New Roman"/>
        </w:rPr>
        <w:t xml:space="preserve"> menciona sutilmente uma “</w:t>
      </w:r>
      <w:r w:rsidRPr="00792730">
        <w:rPr>
          <w:rFonts w:ascii="Times New Roman" w:hAnsi="Times New Roman" w:cs="Times New Roman"/>
          <w:i/>
          <w:iCs/>
        </w:rPr>
        <w:t>anterior decisão deste juízo afastando a prescrição intercorrente</w:t>
      </w:r>
      <w:r w:rsidRPr="00792730">
        <w:rPr>
          <w:rFonts w:ascii="Times New Roman" w:hAnsi="Times New Roman" w:cs="Times New Roman"/>
        </w:rPr>
        <w:t>”. Essa referência, contudo, permite conhecer apenas o resultado genérico que o próprio Magistrado atribuiu retrospectivamente à deliberação precedente. Não recompõem, porém, aquilo que nela efetivamente se decidiu.</w:t>
      </w:r>
    </w:p>
    <w:p w14:paraId="6C027634" w14:textId="437F7398"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 xml:space="preserve">Desconhecido o teor do r. </w:t>
      </w:r>
      <w:r w:rsidRPr="00792730">
        <w:rPr>
          <w:rFonts w:ascii="Times New Roman" w:hAnsi="Times New Roman" w:cs="Times New Roman"/>
          <w:i/>
          <w:iCs/>
        </w:rPr>
        <w:t>decisum</w:t>
      </w:r>
      <w:r w:rsidRPr="00792730">
        <w:rPr>
          <w:rFonts w:ascii="Times New Roman" w:hAnsi="Times New Roman" w:cs="Times New Roman"/>
        </w:rPr>
        <w:t>, não há como saber qual prazo prescricional foi considerado, qual marco inicial se reputou aplicável, qual período de inércia foi examinado nem, sobretudo, qual fundamento determinante teria conduzido ao afastamento da prescrição naquela oportunidade.</w:t>
      </w:r>
    </w:p>
    <w:p w14:paraId="3BCA5CE6" w14:textId="77777777" w:rsidR="00792730" w:rsidRDefault="00792730" w:rsidP="00792730">
      <w:pPr>
        <w:ind w:right="-568"/>
        <w:jc w:val="both"/>
        <w:rPr>
          <w:rFonts w:ascii="Times New Roman" w:hAnsi="Times New Roman" w:cs="Times New Roman"/>
        </w:rPr>
      </w:pPr>
      <w:r w:rsidRPr="00792730">
        <w:rPr>
          <w:rFonts w:ascii="Times New Roman" w:hAnsi="Times New Roman" w:cs="Times New Roman"/>
        </w:rPr>
        <w:t>E é justamente o conhecimento desses elementos que permitiria saber se a sentença recorrida efetivamente “</w:t>
      </w:r>
      <w:proofErr w:type="spellStart"/>
      <w:r w:rsidRPr="00792730">
        <w:rPr>
          <w:rFonts w:ascii="Times New Roman" w:hAnsi="Times New Roman" w:cs="Times New Roman"/>
          <w:i/>
          <w:iCs/>
        </w:rPr>
        <w:t>redeliberou</w:t>
      </w:r>
      <w:proofErr w:type="spellEnd"/>
      <w:r w:rsidRPr="00792730">
        <w:rPr>
          <w:rFonts w:ascii="Times New Roman" w:hAnsi="Times New Roman" w:cs="Times New Roman"/>
        </w:rPr>
        <w:t>” sobre a mesma questão.</w:t>
      </w:r>
    </w:p>
    <w:p w14:paraId="47CC343E" w14:textId="309413DA"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O art. 505 do CPC não autoriza que essa identidade seja presumida. Sua incidência exige a identificação prévia da questão anteriormente resolvida para que, somente depois, seja possível concluir pela repetição da atividade decisória.</w:t>
      </w:r>
    </w:p>
    <w:p w14:paraId="27E378B8" w14:textId="5D5AC110"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Tampouco é possível utilizar a sentença posterior para reconstruir, por inferência, o conteúdo da decisão antecedente e, depois, valer-se dessa mesma reconstrução para concluir que a própria sentença posterior não poderia ter sido proferida. A estabilidade processual não pode ser constituída retrospectivamente dessa maneira.</w:t>
      </w:r>
    </w:p>
    <w:p w14:paraId="4021157E" w14:textId="053930B4"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 xml:space="preserve">A mesma conclusão subsiste diante dos registros de comunicações eletrônicas relacionadas ao Evento </w:t>
      </w:r>
      <w:r>
        <w:rPr>
          <w:rFonts w:ascii="Times New Roman" w:hAnsi="Times New Roman" w:cs="Times New Roman"/>
        </w:rPr>
        <w:t>...</w:t>
      </w:r>
    </w:p>
    <w:p w14:paraId="698CDB1B" w14:textId="427B0483"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 xml:space="preserve">Ao disciplinar a intimação através do portal eletrônico, a Lei n. 11.419/2006 considera realizada a comunicação quando o destinatário consulta ao teor da intimação e, se isso não ocorrer no prazo legal, estabelece a sua confirmação automática. A ficção prevista no art. 5º, § 3º, define, portanto, o momento em que a intimação se considera realizada; não demonstra, por si só, qual conteúdo decisório foi disponibilizado ao destinatário. </w:t>
      </w:r>
      <w:r>
        <w:rPr>
          <w:rFonts w:ascii="Times New Roman" w:hAnsi="Times New Roman" w:cs="Times New Roman"/>
        </w:rPr>
        <w:t xml:space="preserve"> </w:t>
      </w:r>
      <w:r w:rsidRPr="00792730">
        <w:rPr>
          <w:rFonts w:ascii="Times New Roman" w:hAnsi="Times New Roman" w:cs="Times New Roman"/>
        </w:rPr>
        <w:t>A distinção é relevante e basta à hipótese</w:t>
      </w:r>
      <w:r w:rsidR="00306FFB">
        <w:rPr>
          <w:rStyle w:val="Refdenotaderodap"/>
          <w:rFonts w:ascii="Times New Roman" w:hAnsi="Times New Roman" w:cs="Times New Roman"/>
        </w:rPr>
        <w:footnoteReference w:id="4"/>
      </w:r>
      <w:r w:rsidRPr="00792730">
        <w:rPr>
          <w:rFonts w:ascii="Times New Roman" w:hAnsi="Times New Roman" w:cs="Times New Roman"/>
        </w:rPr>
        <w:t>.</w:t>
      </w:r>
    </w:p>
    <w:p w14:paraId="391721BB" w14:textId="1AEAED2C"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Obviamente uma certidão automática de uma intimação não substitui o ato que deveria ter sido efetivamente comunicado, nem permite reconstruir o conteúdo daquilo que atualmente não se encontra acessível às partes.</w:t>
      </w:r>
    </w:p>
    <w:p w14:paraId="0D47C4C3" w14:textId="4F71BE5F"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 xml:space="preserve">Essa compreensão é coerente com o próprio art. 269 do CPC, que define a intimação por sua finalidade de dar ciência dos atos e termos do processo, e com os </w:t>
      </w:r>
      <w:proofErr w:type="spellStart"/>
      <w:r w:rsidRPr="00792730">
        <w:rPr>
          <w:rFonts w:ascii="Times New Roman" w:hAnsi="Times New Roman" w:cs="Times New Roman"/>
        </w:rPr>
        <w:t>arts</w:t>
      </w:r>
      <w:proofErr w:type="spellEnd"/>
      <w:r w:rsidRPr="00792730">
        <w:rPr>
          <w:rFonts w:ascii="Times New Roman" w:hAnsi="Times New Roman" w:cs="Times New Roman"/>
        </w:rPr>
        <w:t>. 277 e 280</w:t>
      </w:r>
      <w:r w:rsidR="00306FFB">
        <w:rPr>
          <w:rStyle w:val="Refdenotaderodap"/>
          <w:rFonts w:ascii="Times New Roman" w:hAnsi="Times New Roman" w:cs="Times New Roman"/>
        </w:rPr>
        <w:footnoteReference w:id="5"/>
      </w:r>
      <w:r w:rsidRPr="00792730">
        <w:rPr>
          <w:rFonts w:ascii="Times New Roman" w:hAnsi="Times New Roman" w:cs="Times New Roman"/>
        </w:rPr>
        <w:t>, que vinculam a validade da comunicação ao cumprimento de sua finalidade e das prescrições legais.</w:t>
      </w:r>
    </w:p>
    <w:p w14:paraId="5A8D70E3" w14:textId="4887BC5F"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lastRenderedPageBreak/>
        <w:t>Não se pretende, com isso, instaurar uma discussão autônoma de nulidade capaz de retroagir sobre toda a marcha processual. Para a controvérsia submetida por V. Exa., a consequência é mais restrita e suficiente: uma singela “</w:t>
      </w:r>
      <w:r w:rsidRPr="00306FFB">
        <w:rPr>
          <w:rFonts w:ascii="Times New Roman" w:hAnsi="Times New Roman" w:cs="Times New Roman"/>
          <w:i/>
          <w:iCs/>
        </w:rPr>
        <w:t>comunicação</w:t>
      </w:r>
      <w:r w:rsidRPr="00792730">
        <w:rPr>
          <w:rFonts w:ascii="Times New Roman" w:hAnsi="Times New Roman" w:cs="Times New Roman"/>
        </w:rPr>
        <w:t>” dirigida às partes, cuja aptidão para tornar cognoscível o pronunciamento, não está demonstrada e não pode servir de suporte à formação do efeito preclusivo cogitado.</w:t>
      </w:r>
    </w:p>
    <w:p w14:paraId="6D8ED725" w14:textId="13254D37"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Nesse sentido o colendo SUPERIOR TRIBUNAL DE JUSTIÇA, ao deliberar acerca da nulidade do processo por ausência de efetiva intimação da parte quanto ao conteúdo de decisão judicial proferida:</w:t>
      </w:r>
    </w:p>
    <w:p w14:paraId="3AA09290" w14:textId="5830E82D" w:rsidR="00792730" w:rsidRPr="00306FFB" w:rsidRDefault="00306FFB" w:rsidP="00792730">
      <w:pPr>
        <w:ind w:right="-568"/>
        <w:jc w:val="both"/>
        <w:rPr>
          <w:rFonts w:ascii="Times New Roman" w:hAnsi="Times New Roman" w:cs="Times New Roman"/>
          <w:i/>
          <w:iCs/>
        </w:rPr>
      </w:pPr>
      <w:r>
        <w:rPr>
          <w:rFonts w:ascii="Times New Roman" w:hAnsi="Times New Roman" w:cs="Times New Roman"/>
        </w:rPr>
        <w:t>“</w:t>
      </w:r>
      <w:r w:rsidR="00792730" w:rsidRPr="00306FFB">
        <w:rPr>
          <w:rFonts w:ascii="Times New Roman" w:hAnsi="Times New Roman" w:cs="Times New Roman"/>
          <w:i/>
          <w:iCs/>
        </w:rPr>
        <w:t xml:space="preserve">PROCESSUAL CIVIL. SENTENÇA. INTIMAÇÃO. INEXISTÊNCIA. COMUNICAÇÃO. DIGITALIZAÇÃO DOS AUTOS. ARGUIÇÃO DE NULIDADE. PRECLUSÃO. NÃO OCORRÊNCIA. 1. O STJ possui orientação no sentido de que, em regra, "o vício relativo à ausência de intimação constitui nulidade relativa, uma vez que, nos termos do art. 245 do CPC/1973, </w:t>
      </w:r>
      <w:proofErr w:type="spellStart"/>
      <w:r w:rsidR="00792730" w:rsidRPr="00306FFB">
        <w:rPr>
          <w:rFonts w:ascii="Times New Roman" w:hAnsi="Times New Roman" w:cs="Times New Roman"/>
          <w:i/>
          <w:iCs/>
        </w:rPr>
        <w:t>'a</w:t>
      </w:r>
      <w:proofErr w:type="spellEnd"/>
      <w:r w:rsidR="00792730" w:rsidRPr="00306FFB">
        <w:rPr>
          <w:rFonts w:ascii="Times New Roman" w:hAnsi="Times New Roman" w:cs="Times New Roman"/>
          <w:i/>
          <w:iCs/>
        </w:rPr>
        <w:t xml:space="preserve"> nulidade dos atos deve ser alegada na primeira oportunidade em que couber à parte falar nos autos, sob pena de preclusão' (</w:t>
      </w:r>
      <w:proofErr w:type="spellStart"/>
      <w:r w:rsidR="00792730" w:rsidRPr="00306FFB">
        <w:rPr>
          <w:rFonts w:ascii="Times New Roman" w:hAnsi="Times New Roman" w:cs="Times New Roman"/>
          <w:i/>
          <w:iCs/>
        </w:rPr>
        <w:t>AgInt</w:t>
      </w:r>
      <w:proofErr w:type="spellEnd"/>
      <w:r w:rsidR="00792730" w:rsidRPr="00306FFB">
        <w:rPr>
          <w:rFonts w:ascii="Times New Roman" w:hAnsi="Times New Roman" w:cs="Times New Roman"/>
          <w:i/>
          <w:iCs/>
        </w:rPr>
        <w:t xml:space="preserve"> no REsp n. 1.690.956/MG, relator Ministro Sérgio </w:t>
      </w:r>
      <w:proofErr w:type="spellStart"/>
      <w:r w:rsidR="00792730" w:rsidRPr="00306FFB">
        <w:rPr>
          <w:rFonts w:ascii="Times New Roman" w:hAnsi="Times New Roman" w:cs="Times New Roman"/>
          <w:i/>
          <w:iCs/>
        </w:rPr>
        <w:t>Kukina</w:t>
      </w:r>
      <w:proofErr w:type="spellEnd"/>
      <w:r w:rsidR="00792730" w:rsidRPr="00306FFB">
        <w:rPr>
          <w:rFonts w:ascii="Times New Roman" w:hAnsi="Times New Roman" w:cs="Times New Roman"/>
          <w:i/>
          <w:iCs/>
        </w:rPr>
        <w:t xml:space="preserve">, Primeira Turma, julgado em 12/12/2023, </w:t>
      </w:r>
      <w:proofErr w:type="spellStart"/>
      <w:r w:rsidR="00792730" w:rsidRPr="00306FFB">
        <w:rPr>
          <w:rFonts w:ascii="Times New Roman" w:hAnsi="Times New Roman" w:cs="Times New Roman"/>
          <w:i/>
          <w:iCs/>
        </w:rPr>
        <w:t>DJe</w:t>
      </w:r>
      <w:proofErr w:type="spellEnd"/>
      <w:r w:rsidR="00792730" w:rsidRPr="00306FFB">
        <w:rPr>
          <w:rFonts w:ascii="Times New Roman" w:hAnsi="Times New Roman" w:cs="Times New Roman"/>
          <w:i/>
          <w:iCs/>
        </w:rPr>
        <w:t xml:space="preserve"> de 23/1/2024).</w:t>
      </w:r>
      <w:r w:rsidRPr="00306FFB">
        <w:rPr>
          <w:rFonts w:ascii="Times New Roman" w:hAnsi="Times New Roman" w:cs="Times New Roman"/>
          <w:i/>
          <w:iCs/>
        </w:rPr>
        <w:t xml:space="preserve"> </w:t>
      </w:r>
      <w:r w:rsidR="00792730" w:rsidRPr="00306FFB">
        <w:rPr>
          <w:rFonts w:ascii="Times New Roman" w:hAnsi="Times New Roman" w:cs="Times New Roman"/>
          <w:i/>
          <w:iCs/>
        </w:rPr>
        <w:t>2. No caso, não tendo sido a parte intimada da sentença, a comunicação voltada a informar que o processo foi digitalizado, transferindo-se do meio físico para o digital, não pode ser considerada, ao contrário do que concluiu o acórdão recorrido, como a "primeira oportunidade em que a parte tiver que falar dos autos, sob pena de preclusão".</w:t>
      </w:r>
      <w:r>
        <w:rPr>
          <w:rFonts w:ascii="Times New Roman" w:hAnsi="Times New Roman" w:cs="Times New Roman"/>
          <w:i/>
          <w:iCs/>
        </w:rPr>
        <w:t xml:space="preserve"> </w:t>
      </w:r>
      <w:r w:rsidR="00792730" w:rsidRPr="00306FFB">
        <w:rPr>
          <w:rFonts w:ascii="Times New Roman" w:hAnsi="Times New Roman" w:cs="Times New Roman"/>
          <w:i/>
          <w:iCs/>
        </w:rPr>
        <w:t>3. Sendo fato incontroverso que não houve intimação a respeito da sentença, viola a norma do art. 278, caput, do CPC, e a boa-fé processual, concluir que, comunicada apenas sobre a digitalização do processo, caberia à parte revisitar integralmente os autos e alegar nulidade, sob pena de preclusão, notadamente quando o que ficou precluso foi o direito de apelar da sentença.</w:t>
      </w:r>
      <w:r>
        <w:rPr>
          <w:rFonts w:ascii="Times New Roman" w:hAnsi="Times New Roman" w:cs="Times New Roman"/>
          <w:i/>
          <w:iCs/>
        </w:rPr>
        <w:t xml:space="preserve"> </w:t>
      </w:r>
      <w:r w:rsidR="00792730" w:rsidRPr="00306FFB">
        <w:rPr>
          <w:rFonts w:ascii="Times New Roman" w:hAnsi="Times New Roman" w:cs="Times New Roman"/>
          <w:i/>
          <w:iCs/>
        </w:rPr>
        <w:t>4. Recurso especial provido</w:t>
      </w:r>
      <w:r w:rsidR="00792730" w:rsidRPr="00792730">
        <w:rPr>
          <w:rFonts w:ascii="Times New Roman" w:hAnsi="Times New Roman" w:cs="Times New Roman"/>
        </w:rPr>
        <w:t>.</w:t>
      </w:r>
      <w:r>
        <w:rPr>
          <w:rFonts w:ascii="Times New Roman" w:hAnsi="Times New Roman" w:cs="Times New Roman"/>
          <w:i/>
          <w:iCs/>
        </w:rPr>
        <w:t xml:space="preserve">” </w:t>
      </w:r>
      <w:proofErr w:type="gramStart"/>
      <w:r w:rsidR="00792730" w:rsidRPr="00792730">
        <w:rPr>
          <w:rFonts w:ascii="Times New Roman" w:hAnsi="Times New Roman" w:cs="Times New Roman"/>
        </w:rPr>
        <w:t>[</w:t>
      </w:r>
      <w:proofErr w:type="gramEnd"/>
      <w:r w:rsidR="00792730" w:rsidRPr="00792730">
        <w:rPr>
          <w:rFonts w:ascii="Times New Roman" w:hAnsi="Times New Roman" w:cs="Times New Roman"/>
        </w:rPr>
        <w:t xml:space="preserve">STJ, REsp n. 2.001.562/SC, Relator Ministro Gurgel de Faria, Primeira Turma, </w:t>
      </w:r>
      <w:proofErr w:type="spellStart"/>
      <w:r w:rsidR="00792730" w:rsidRPr="00792730">
        <w:rPr>
          <w:rFonts w:ascii="Times New Roman" w:hAnsi="Times New Roman" w:cs="Times New Roman"/>
        </w:rPr>
        <w:t>DJe</w:t>
      </w:r>
      <w:proofErr w:type="spellEnd"/>
      <w:r w:rsidR="00792730" w:rsidRPr="00792730">
        <w:rPr>
          <w:rFonts w:ascii="Times New Roman" w:hAnsi="Times New Roman" w:cs="Times New Roman"/>
        </w:rPr>
        <w:t xml:space="preserve"> 18.06.2024]</w:t>
      </w:r>
    </w:p>
    <w:p w14:paraId="1294BB10" w14:textId="6747DADD"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A orientação é particularmente útil porque a Corte Superior ressalvou que o vício de intimação somente se submete à preclusão quando a parte tenha sido efetivamente provocada a atuar processualmente, isto é, colocada em situação concreta de exercer a faculdade correspondente.</w:t>
      </w:r>
    </w:p>
    <w:p w14:paraId="16C0F4D3" w14:textId="3E2DA1F8"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 xml:space="preserve">No caso em tela, como exaustivamente demonstrado e comprovado, os integrantes da relação processual não tiveram – e permanecem sem – acesso ao conteúdo da r. decisão indexada sob o Evento </w:t>
      </w:r>
      <w:r w:rsidR="00306FFB">
        <w:rPr>
          <w:rFonts w:ascii="Times New Roman" w:hAnsi="Times New Roman" w:cs="Times New Roman"/>
        </w:rPr>
        <w:t>..</w:t>
      </w:r>
      <w:r w:rsidRPr="00792730">
        <w:rPr>
          <w:rFonts w:ascii="Times New Roman" w:hAnsi="Times New Roman" w:cs="Times New Roman"/>
        </w:rPr>
        <w:t xml:space="preserve">. Destarte, não há como sugerir a ocorrência do instituto da preclusão </w:t>
      </w:r>
      <w:r w:rsidRPr="00306FFB">
        <w:rPr>
          <w:rFonts w:ascii="Times New Roman" w:hAnsi="Times New Roman" w:cs="Times New Roman"/>
          <w:i/>
          <w:iCs/>
        </w:rPr>
        <w:t xml:space="preserve">pro </w:t>
      </w:r>
      <w:proofErr w:type="spellStart"/>
      <w:r w:rsidRPr="00306FFB">
        <w:rPr>
          <w:rFonts w:ascii="Times New Roman" w:hAnsi="Times New Roman" w:cs="Times New Roman"/>
          <w:i/>
          <w:iCs/>
        </w:rPr>
        <w:t>judicato</w:t>
      </w:r>
      <w:proofErr w:type="spellEnd"/>
      <w:r w:rsidRPr="00792730">
        <w:rPr>
          <w:rFonts w:ascii="Times New Roman" w:hAnsi="Times New Roman" w:cs="Times New Roman"/>
        </w:rPr>
        <w:t xml:space="preserve"> por verdadeiro desconhecimento da matéria decidida e dos efeitos do r. decisum.</w:t>
      </w:r>
    </w:p>
    <w:p w14:paraId="6F0EBE39" w14:textId="046B7CC4"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 xml:space="preserve">É nesse contexto que merece ser considerada, inclusive, eventual possibilidade de apenas internamente estar disponível referida decisão do Evento </w:t>
      </w:r>
      <w:r w:rsidR="00306FFB">
        <w:rPr>
          <w:rFonts w:ascii="Times New Roman" w:hAnsi="Times New Roman" w:cs="Times New Roman"/>
        </w:rPr>
        <w:t>...</w:t>
      </w:r>
      <w:r w:rsidRPr="00792730">
        <w:rPr>
          <w:rFonts w:ascii="Times New Roman" w:hAnsi="Times New Roman" w:cs="Times New Roman"/>
        </w:rPr>
        <w:t xml:space="preserve">, mediante funcionalidade institucional do </w:t>
      </w:r>
      <w:proofErr w:type="spellStart"/>
      <w:r w:rsidRPr="00792730">
        <w:rPr>
          <w:rFonts w:ascii="Times New Roman" w:hAnsi="Times New Roman" w:cs="Times New Roman"/>
        </w:rPr>
        <w:t>ePROC</w:t>
      </w:r>
      <w:proofErr w:type="spellEnd"/>
      <w:r w:rsidRPr="00792730">
        <w:rPr>
          <w:rFonts w:ascii="Times New Roman" w:hAnsi="Times New Roman" w:cs="Times New Roman"/>
        </w:rPr>
        <w:t xml:space="preserve"> não disponível às partes e procuradores.</w:t>
      </w:r>
    </w:p>
    <w:p w14:paraId="75AE9BBB" w14:textId="1EEB1982"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 xml:space="preserve">Eventual elemento acessível restritivamente tão somente ao órgão julgador, mas não aos integrantes da relação processual, somente poderá ser utilizado após disponibilizado às partes e submetido ao contraditório, vez que os </w:t>
      </w:r>
      <w:proofErr w:type="spellStart"/>
      <w:r w:rsidRPr="00792730">
        <w:rPr>
          <w:rFonts w:ascii="Times New Roman" w:hAnsi="Times New Roman" w:cs="Times New Roman"/>
        </w:rPr>
        <w:t>arts</w:t>
      </w:r>
      <w:proofErr w:type="spellEnd"/>
      <w:r w:rsidRPr="00792730">
        <w:rPr>
          <w:rFonts w:ascii="Times New Roman" w:hAnsi="Times New Roman" w:cs="Times New Roman"/>
        </w:rPr>
        <w:t xml:space="preserve">. 9º e 10 do CPC vedam decisão prejudicial fundada </w:t>
      </w:r>
      <w:r w:rsidRPr="00792730">
        <w:rPr>
          <w:rFonts w:ascii="Times New Roman" w:hAnsi="Times New Roman" w:cs="Times New Roman"/>
        </w:rPr>
        <w:lastRenderedPageBreak/>
        <w:t>em questão sobre a qual não tenha havido oportunidade de manifestação, e o art. 933 contém regra específica nesse sentido no julgamento recursal</w:t>
      </w:r>
      <w:r w:rsidR="00306FFB">
        <w:rPr>
          <w:rStyle w:val="Refdenotaderodap"/>
          <w:rFonts w:ascii="Times New Roman" w:hAnsi="Times New Roman" w:cs="Times New Roman"/>
        </w:rPr>
        <w:footnoteReference w:id="6"/>
      </w:r>
      <w:r w:rsidRPr="00792730">
        <w:rPr>
          <w:rFonts w:ascii="Times New Roman" w:hAnsi="Times New Roman" w:cs="Times New Roman"/>
        </w:rPr>
        <w:t xml:space="preserve">. </w:t>
      </w:r>
    </w:p>
    <w:p w14:paraId="0238FEEA" w14:textId="0FA43267"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 xml:space="preserve">Isso posto, sem pronunciamento cognoscível e objetivamente delimitável, inexiste atividade jurisdicional oponível às partes sobre a qual possa constituir a preclusão </w:t>
      </w:r>
      <w:r w:rsidRPr="00306FFB">
        <w:rPr>
          <w:rFonts w:ascii="Times New Roman" w:hAnsi="Times New Roman" w:cs="Times New Roman"/>
          <w:i/>
          <w:iCs/>
        </w:rPr>
        <w:t xml:space="preserve">pro </w:t>
      </w:r>
      <w:proofErr w:type="spellStart"/>
      <w:r w:rsidRPr="00306FFB">
        <w:rPr>
          <w:rFonts w:ascii="Times New Roman" w:hAnsi="Times New Roman" w:cs="Times New Roman"/>
          <w:i/>
          <w:iCs/>
        </w:rPr>
        <w:t>judicato</w:t>
      </w:r>
      <w:proofErr w:type="spellEnd"/>
      <w:r w:rsidRPr="00792730">
        <w:rPr>
          <w:rFonts w:ascii="Times New Roman" w:hAnsi="Times New Roman" w:cs="Times New Roman"/>
        </w:rPr>
        <w:t xml:space="preserve"> fundada em ato que as partes não tiveram conhecimento de seu teor.</w:t>
      </w:r>
    </w:p>
    <w:p w14:paraId="68CE1216" w14:textId="009C7344"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 xml:space="preserve">Há, pois, de ser afastada a preclusão cogitada no Evento </w:t>
      </w:r>
      <w:r w:rsidR="00306FFB">
        <w:rPr>
          <w:rFonts w:ascii="Times New Roman" w:hAnsi="Times New Roman" w:cs="Times New Roman"/>
        </w:rPr>
        <w:t>...</w:t>
      </w:r>
      <w:r w:rsidRPr="00792730">
        <w:rPr>
          <w:rFonts w:ascii="Times New Roman" w:hAnsi="Times New Roman" w:cs="Times New Roman"/>
        </w:rPr>
        <w:t>, sob pena de se atribuir consequência processual gravosa a pronunciamento cuja individualização e regular cognoscibilidade não encontram demonstração no acervo processual.</w:t>
      </w:r>
    </w:p>
    <w:p w14:paraId="4514B7B4" w14:textId="20086040" w:rsidR="00792730" w:rsidRPr="00306FFB" w:rsidRDefault="00792730" w:rsidP="00792730">
      <w:pPr>
        <w:ind w:right="-568"/>
        <w:jc w:val="both"/>
        <w:rPr>
          <w:rFonts w:ascii="Times New Roman" w:hAnsi="Times New Roman" w:cs="Times New Roman"/>
          <w:b/>
          <w:bCs/>
        </w:rPr>
      </w:pPr>
      <w:r w:rsidRPr="00306FFB">
        <w:rPr>
          <w:rFonts w:ascii="Times New Roman" w:hAnsi="Times New Roman" w:cs="Times New Roman"/>
          <w:b/>
          <w:bCs/>
        </w:rPr>
        <w:t>III-</w:t>
      </w:r>
      <w:r w:rsidR="00306FFB" w:rsidRPr="00306FFB">
        <w:rPr>
          <w:rFonts w:ascii="Times New Roman" w:hAnsi="Times New Roman" w:cs="Times New Roman"/>
          <w:b/>
          <w:bCs/>
        </w:rPr>
        <w:t xml:space="preserve"> </w:t>
      </w:r>
      <w:r w:rsidRPr="00306FFB">
        <w:rPr>
          <w:rFonts w:ascii="Times New Roman" w:hAnsi="Times New Roman" w:cs="Times New Roman"/>
          <w:b/>
          <w:bCs/>
        </w:rPr>
        <w:t>PEDIDOS</w:t>
      </w:r>
    </w:p>
    <w:p w14:paraId="615F1050" w14:textId="387B6E9E" w:rsidR="00792730" w:rsidRPr="00792730" w:rsidRDefault="00792730" w:rsidP="00792730">
      <w:pPr>
        <w:ind w:right="-568"/>
        <w:jc w:val="both"/>
        <w:rPr>
          <w:rFonts w:ascii="Times New Roman" w:hAnsi="Times New Roman" w:cs="Times New Roman"/>
        </w:rPr>
      </w:pPr>
      <w:proofErr w:type="spellStart"/>
      <w:r w:rsidRPr="00306FFB">
        <w:rPr>
          <w:rFonts w:ascii="Times New Roman" w:hAnsi="Times New Roman" w:cs="Times New Roman"/>
          <w:b/>
          <w:bCs/>
          <w:i/>
          <w:iCs/>
        </w:rPr>
        <w:t>Ex</w:t>
      </w:r>
      <w:proofErr w:type="spellEnd"/>
      <w:r w:rsidRPr="00306FFB">
        <w:rPr>
          <w:rFonts w:ascii="Times New Roman" w:hAnsi="Times New Roman" w:cs="Times New Roman"/>
          <w:b/>
          <w:bCs/>
          <w:i/>
          <w:iCs/>
        </w:rPr>
        <w:t xml:space="preserve"> positis</w:t>
      </w:r>
      <w:r w:rsidRPr="00792730">
        <w:rPr>
          <w:rFonts w:ascii="Times New Roman" w:hAnsi="Times New Roman" w:cs="Times New Roman"/>
        </w:rPr>
        <w:t>, os apelados requerem:</w:t>
      </w:r>
    </w:p>
    <w:p w14:paraId="3510C1BB" w14:textId="3CE7BA52" w:rsidR="00792730" w:rsidRPr="00792730" w:rsidRDefault="00306FFB" w:rsidP="00792730">
      <w:pPr>
        <w:ind w:right="-568"/>
        <w:jc w:val="both"/>
        <w:rPr>
          <w:rFonts w:ascii="Times New Roman" w:hAnsi="Times New Roman" w:cs="Times New Roman"/>
        </w:rPr>
      </w:pPr>
      <w:r w:rsidRPr="00306FFB">
        <w:rPr>
          <w:rFonts w:ascii="Times New Roman" w:hAnsi="Times New Roman" w:cs="Times New Roman"/>
        </w:rPr>
        <w:t>a)</w:t>
      </w:r>
      <w:r>
        <w:rPr>
          <w:rFonts w:ascii="Times New Roman" w:hAnsi="Times New Roman" w:cs="Times New Roman"/>
        </w:rPr>
        <w:t xml:space="preserve"> </w:t>
      </w:r>
      <w:r w:rsidR="00792730" w:rsidRPr="00306FFB">
        <w:rPr>
          <w:rFonts w:ascii="Times New Roman" w:hAnsi="Times New Roman" w:cs="Times New Roman"/>
        </w:rPr>
        <w:t xml:space="preserve">seja afastada a cogitada preclusão </w:t>
      </w:r>
      <w:r w:rsidR="00792730" w:rsidRPr="00306FFB">
        <w:rPr>
          <w:rFonts w:ascii="Times New Roman" w:hAnsi="Times New Roman" w:cs="Times New Roman"/>
          <w:i/>
          <w:iCs/>
        </w:rPr>
        <w:t xml:space="preserve">pro </w:t>
      </w:r>
      <w:proofErr w:type="spellStart"/>
      <w:r w:rsidR="00792730" w:rsidRPr="00306FFB">
        <w:rPr>
          <w:rFonts w:ascii="Times New Roman" w:hAnsi="Times New Roman" w:cs="Times New Roman"/>
          <w:i/>
          <w:iCs/>
        </w:rPr>
        <w:t>judicato</w:t>
      </w:r>
      <w:proofErr w:type="spellEnd"/>
      <w:r w:rsidR="00792730" w:rsidRPr="00306FFB">
        <w:rPr>
          <w:rFonts w:ascii="Times New Roman" w:hAnsi="Times New Roman" w:cs="Times New Roman"/>
        </w:rPr>
        <w:t xml:space="preserve"> suscitada de ofício no r. despacho do Evento </w:t>
      </w:r>
      <w:r>
        <w:rPr>
          <w:rFonts w:ascii="Times New Roman" w:hAnsi="Times New Roman" w:cs="Times New Roman"/>
        </w:rPr>
        <w:t>...</w:t>
      </w:r>
      <w:r w:rsidR="00792730" w:rsidRPr="00306FFB">
        <w:rPr>
          <w:rFonts w:ascii="Times New Roman" w:hAnsi="Times New Roman" w:cs="Times New Roman"/>
        </w:rPr>
        <w:t xml:space="preserve">, por ausência dos pressupostos necessários à incidência dos </w:t>
      </w:r>
      <w:proofErr w:type="spellStart"/>
      <w:r w:rsidR="00792730" w:rsidRPr="00306FFB">
        <w:rPr>
          <w:rFonts w:ascii="Times New Roman" w:hAnsi="Times New Roman" w:cs="Times New Roman"/>
        </w:rPr>
        <w:t>arts</w:t>
      </w:r>
      <w:proofErr w:type="spellEnd"/>
      <w:r w:rsidR="00792730" w:rsidRPr="00306FFB">
        <w:rPr>
          <w:rFonts w:ascii="Times New Roman" w:hAnsi="Times New Roman" w:cs="Times New Roman"/>
        </w:rPr>
        <w:t xml:space="preserve">. 505 e 507 do CPC, notadamente porque não se encontra disponível aos integrantes da relação processual pronunciamento que permita identificar, delimitar e confrontar objetivamente a questão eventualmente decidida anteriormente no Evento </w:t>
      </w:r>
      <w:r>
        <w:rPr>
          <w:rFonts w:ascii="Times New Roman" w:hAnsi="Times New Roman" w:cs="Times New Roman"/>
        </w:rPr>
        <w:t>...</w:t>
      </w:r>
      <w:r w:rsidR="00792730" w:rsidRPr="00306FFB">
        <w:rPr>
          <w:rFonts w:ascii="Times New Roman" w:hAnsi="Times New Roman" w:cs="Times New Roman"/>
        </w:rPr>
        <w:t>, tampouco está demonstrada a regular cognoscibilidade de seu conteúdo pelos destinatários do ato jurisdicional;</w:t>
      </w:r>
    </w:p>
    <w:p w14:paraId="0E74EFA0" w14:textId="4F892766"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b)</w:t>
      </w:r>
      <w:r w:rsidR="00306FFB">
        <w:rPr>
          <w:rFonts w:ascii="Times New Roman" w:hAnsi="Times New Roman" w:cs="Times New Roman"/>
        </w:rPr>
        <w:t xml:space="preserve"> </w:t>
      </w:r>
      <w:r w:rsidRPr="00792730">
        <w:rPr>
          <w:rFonts w:ascii="Times New Roman" w:hAnsi="Times New Roman" w:cs="Times New Roman"/>
        </w:rPr>
        <w:t xml:space="preserve">afastado óbice preclusivo, seja reincluído em pauta de julgamento o presente recurso de apelação, com o seu desprovimento e consequente manutenção da v. sentença do Evento </w:t>
      </w:r>
      <w:r w:rsidR="00306FFB">
        <w:rPr>
          <w:rFonts w:ascii="Times New Roman" w:hAnsi="Times New Roman" w:cs="Times New Roman"/>
        </w:rPr>
        <w:t>...</w:t>
      </w:r>
      <w:r w:rsidRPr="00792730">
        <w:rPr>
          <w:rFonts w:ascii="Times New Roman" w:hAnsi="Times New Roman" w:cs="Times New Roman"/>
        </w:rPr>
        <w:t>;</w:t>
      </w:r>
    </w:p>
    <w:p w14:paraId="6BAEBFDA" w14:textId="6CFBEF07" w:rsidR="00792730" w:rsidRPr="00792730" w:rsidRDefault="00792730" w:rsidP="00792730">
      <w:pPr>
        <w:ind w:right="-568"/>
        <w:jc w:val="both"/>
        <w:rPr>
          <w:rFonts w:ascii="Times New Roman" w:hAnsi="Times New Roman" w:cs="Times New Roman"/>
        </w:rPr>
      </w:pPr>
      <w:r w:rsidRPr="00792730">
        <w:rPr>
          <w:rFonts w:ascii="Times New Roman" w:hAnsi="Times New Roman" w:cs="Times New Roman"/>
        </w:rPr>
        <w:t>c)</w:t>
      </w:r>
      <w:r w:rsidR="00306FFB">
        <w:rPr>
          <w:rFonts w:ascii="Times New Roman" w:hAnsi="Times New Roman" w:cs="Times New Roman"/>
        </w:rPr>
        <w:t xml:space="preserve"> </w:t>
      </w:r>
      <w:r w:rsidRPr="00792730">
        <w:rPr>
          <w:rFonts w:ascii="Times New Roman" w:hAnsi="Times New Roman" w:cs="Times New Roman"/>
        </w:rPr>
        <w:t xml:space="preserve">subsidiariamente, acaso V. Exa. entenda pertinente, seja pela z. serventia judicial certificado se o inteiro teor integrante do Evento </w:t>
      </w:r>
      <w:r w:rsidR="00306FFB">
        <w:rPr>
          <w:rFonts w:ascii="Times New Roman" w:hAnsi="Times New Roman" w:cs="Times New Roman"/>
        </w:rPr>
        <w:t>...</w:t>
      </w:r>
      <w:r w:rsidRPr="00792730">
        <w:rPr>
          <w:rFonts w:ascii="Times New Roman" w:hAnsi="Times New Roman" w:cs="Times New Roman"/>
        </w:rPr>
        <w:t xml:space="preserve"> encontra-se efetivamente acessível aos integrantes da relação processual, assegurando aos integrantes da relação processual o contraditório específico antes da atribuição de qualquer efeito preclusivo.</w:t>
      </w:r>
    </w:p>
    <w:p w14:paraId="2A02FFDD" w14:textId="5685E8C0" w:rsidR="00792730" w:rsidRPr="00792730" w:rsidRDefault="00792730" w:rsidP="00306FFB">
      <w:pPr>
        <w:spacing w:after="0" w:line="240" w:lineRule="auto"/>
        <w:ind w:right="-567"/>
        <w:jc w:val="center"/>
        <w:rPr>
          <w:rFonts w:ascii="Times New Roman" w:hAnsi="Times New Roman" w:cs="Times New Roman"/>
        </w:rPr>
      </w:pPr>
      <w:r w:rsidRPr="00792730">
        <w:rPr>
          <w:rFonts w:ascii="Times New Roman" w:hAnsi="Times New Roman" w:cs="Times New Roman"/>
        </w:rPr>
        <w:t>P</w:t>
      </w:r>
      <w:r w:rsidR="00306FFB">
        <w:rPr>
          <w:rFonts w:ascii="Times New Roman" w:hAnsi="Times New Roman" w:cs="Times New Roman"/>
        </w:rPr>
        <w:t>ede</w:t>
      </w:r>
      <w:r w:rsidRPr="00792730">
        <w:rPr>
          <w:rFonts w:ascii="Times New Roman" w:hAnsi="Times New Roman" w:cs="Times New Roman"/>
        </w:rPr>
        <w:t xml:space="preserve"> Deferimento.</w:t>
      </w:r>
    </w:p>
    <w:p w14:paraId="03479639" w14:textId="6392D01B" w:rsidR="00792730" w:rsidRDefault="00306FFB" w:rsidP="00306FFB">
      <w:pPr>
        <w:spacing w:after="0" w:line="240" w:lineRule="auto"/>
        <w:ind w:right="-567"/>
        <w:jc w:val="center"/>
        <w:rPr>
          <w:rFonts w:ascii="Times New Roman" w:hAnsi="Times New Roman" w:cs="Times New Roman"/>
        </w:rPr>
      </w:pPr>
      <w:r>
        <w:rPr>
          <w:rFonts w:ascii="Times New Roman" w:hAnsi="Times New Roman" w:cs="Times New Roman"/>
        </w:rPr>
        <w:t>(Local e data)</w:t>
      </w:r>
    </w:p>
    <w:p w14:paraId="358382D0" w14:textId="66E3EF3E" w:rsidR="00306FFB" w:rsidRPr="00792730" w:rsidRDefault="00306FFB" w:rsidP="00306FFB">
      <w:pPr>
        <w:spacing w:after="0" w:line="240" w:lineRule="auto"/>
        <w:ind w:right="-567"/>
        <w:jc w:val="center"/>
        <w:rPr>
          <w:rFonts w:ascii="Times New Roman" w:hAnsi="Times New Roman" w:cs="Times New Roman"/>
        </w:rPr>
      </w:pPr>
      <w:r>
        <w:rPr>
          <w:rFonts w:ascii="Times New Roman" w:hAnsi="Times New Roman" w:cs="Times New Roman"/>
        </w:rPr>
        <w:t>(Assinatura e OAB do Advogado)</w:t>
      </w:r>
    </w:p>
    <w:sectPr w:rsidR="00306FFB" w:rsidRPr="0079273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17821" w14:textId="77777777" w:rsidR="00E72665" w:rsidRDefault="00E72665" w:rsidP="00792730">
      <w:pPr>
        <w:spacing w:after="0" w:line="240" w:lineRule="auto"/>
      </w:pPr>
      <w:r>
        <w:separator/>
      </w:r>
    </w:p>
  </w:endnote>
  <w:endnote w:type="continuationSeparator" w:id="0">
    <w:p w14:paraId="2C7B970F" w14:textId="77777777" w:rsidR="00E72665" w:rsidRDefault="00E72665" w:rsidP="00792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411125" w14:textId="77777777" w:rsidR="00E72665" w:rsidRDefault="00E72665" w:rsidP="00792730">
      <w:pPr>
        <w:spacing w:after="0" w:line="240" w:lineRule="auto"/>
      </w:pPr>
      <w:r>
        <w:separator/>
      </w:r>
    </w:p>
  </w:footnote>
  <w:footnote w:type="continuationSeparator" w:id="0">
    <w:p w14:paraId="7B097822" w14:textId="77777777" w:rsidR="00E72665" w:rsidRDefault="00E72665" w:rsidP="00792730">
      <w:pPr>
        <w:spacing w:after="0" w:line="240" w:lineRule="auto"/>
      </w:pPr>
      <w:r>
        <w:continuationSeparator/>
      </w:r>
    </w:p>
  </w:footnote>
  <w:footnote w:id="1">
    <w:p w14:paraId="550486CC" w14:textId="6EBC15F8" w:rsidR="00306FFB" w:rsidRPr="00306FFB" w:rsidRDefault="00306FFB" w:rsidP="00306FFB">
      <w:pPr>
        <w:pStyle w:val="Textodenotaderodap"/>
        <w:ind w:right="-568"/>
        <w:jc w:val="both"/>
        <w:rPr>
          <w:rFonts w:ascii="Times New Roman" w:hAnsi="Times New Roman" w:cs="Times New Roman"/>
        </w:rPr>
      </w:pPr>
      <w:r w:rsidRPr="00306FFB">
        <w:rPr>
          <w:rStyle w:val="Refdenotaderodap"/>
          <w:rFonts w:ascii="Times New Roman" w:hAnsi="Times New Roman" w:cs="Times New Roman"/>
        </w:rPr>
        <w:footnoteRef/>
      </w:r>
      <w:r w:rsidRPr="00306FFB">
        <w:rPr>
          <w:rFonts w:ascii="Times New Roman" w:hAnsi="Times New Roman" w:cs="Times New Roman"/>
        </w:rPr>
        <w:t xml:space="preserve"> </w:t>
      </w:r>
      <w:r w:rsidRPr="00306FFB">
        <w:rPr>
          <w:rFonts w:ascii="Times New Roman" w:hAnsi="Times New Roman" w:cs="Times New Roman"/>
        </w:rPr>
        <w:t>CPC, art. 269. Intimação é o ato pelo qual se dá ciência a alguém dos atos e dos termos do processo. §1º É facultado aos advogados promover a intimação do advogado da outra parte por meio do correio, juntando aos autos, a seguir, cópia do ofício de intimação e do aviso de recebimento. §2º O ofício de intimação deverá ser instruído com cópia do despacho, da decisão ou da sentença. §3º A intimação da União, dos Estados, do Distrito Federal, dos Municípios e de suas respectivas autarquias e fundações de direito público será realizada perante o órgão de Advocacia Pública responsável por sua representação judicial.</w:t>
      </w:r>
    </w:p>
  </w:footnote>
  <w:footnote w:id="2">
    <w:p w14:paraId="74CCA800" w14:textId="77777777" w:rsidR="00306FFB" w:rsidRPr="00306FFB" w:rsidRDefault="00306FFB" w:rsidP="00306FFB">
      <w:pPr>
        <w:pStyle w:val="Textodenotaderodap"/>
        <w:ind w:right="-568"/>
        <w:jc w:val="both"/>
        <w:rPr>
          <w:rFonts w:ascii="Times New Roman" w:hAnsi="Times New Roman" w:cs="Times New Roman"/>
        </w:rPr>
      </w:pPr>
      <w:r w:rsidRPr="00306FFB">
        <w:rPr>
          <w:rStyle w:val="Refdenotaderodap"/>
          <w:rFonts w:ascii="Times New Roman" w:hAnsi="Times New Roman" w:cs="Times New Roman"/>
        </w:rPr>
        <w:footnoteRef/>
      </w:r>
      <w:r w:rsidRPr="00306FFB">
        <w:rPr>
          <w:rFonts w:ascii="Times New Roman" w:hAnsi="Times New Roman" w:cs="Times New Roman"/>
        </w:rPr>
        <w:t xml:space="preserve"> </w:t>
      </w:r>
      <w:r w:rsidRPr="00306FFB">
        <w:rPr>
          <w:rFonts w:ascii="Times New Roman" w:hAnsi="Times New Roman" w:cs="Times New Roman"/>
        </w:rPr>
        <w:t xml:space="preserve">CPC, art. 203. Os pronunciamentos do juiz consistirão em sentenças, decisões interlocutórias e despachos...§2º Decisão interlocutória é todo pronunciamento judicial de natureza decisória que não se enquadre no § 1º. </w:t>
      </w:r>
    </w:p>
    <w:p w14:paraId="3EBF3D11" w14:textId="6A55EF8C" w:rsidR="00306FFB" w:rsidRPr="00306FFB" w:rsidRDefault="00306FFB" w:rsidP="00306FFB">
      <w:pPr>
        <w:pStyle w:val="Textodenotaderodap"/>
        <w:ind w:right="-568"/>
        <w:jc w:val="both"/>
        <w:rPr>
          <w:rFonts w:ascii="Times New Roman" w:hAnsi="Times New Roman" w:cs="Times New Roman"/>
        </w:rPr>
      </w:pPr>
      <w:r w:rsidRPr="00306FFB">
        <w:rPr>
          <w:rFonts w:ascii="Times New Roman" w:hAnsi="Times New Roman" w:cs="Times New Roman"/>
        </w:rPr>
        <w:t>CPC, art. 205. Os despachos, as decisões, as sentenças e os acórdãos serão redigidos, datados e assinados pelos juízes. §1º Quando os pronunciamentos previstos no caput forem proferidos oralmente, o servidor os documentará, submetendo-os aos juízes para revisão e assinatura. §2º A assinatura dos juízes, em todos os graus de jurisdição, pode ser feita eletronicamente, na forma da lei. §3º Os despachos, as decisões interlocutórias, o dispositivo das sentenças e a ementa dos acórdãos serão publicados no Diário de Justiça Eletrônico.</w:t>
      </w:r>
    </w:p>
  </w:footnote>
  <w:footnote w:id="3">
    <w:p w14:paraId="0419D43B" w14:textId="3DE95C15" w:rsidR="00306FFB" w:rsidRPr="00306FFB" w:rsidRDefault="00306FFB" w:rsidP="00306FFB">
      <w:pPr>
        <w:pStyle w:val="Textodenotaderodap"/>
        <w:ind w:right="-568"/>
        <w:jc w:val="both"/>
        <w:rPr>
          <w:rFonts w:ascii="Times New Roman" w:hAnsi="Times New Roman" w:cs="Times New Roman"/>
        </w:rPr>
      </w:pPr>
      <w:r w:rsidRPr="00306FFB">
        <w:rPr>
          <w:rStyle w:val="Refdenotaderodap"/>
          <w:rFonts w:ascii="Times New Roman" w:hAnsi="Times New Roman" w:cs="Times New Roman"/>
        </w:rPr>
        <w:footnoteRef/>
      </w:r>
      <w:r w:rsidRPr="00306FFB">
        <w:rPr>
          <w:rFonts w:ascii="Times New Roman" w:hAnsi="Times New Roman" w:cs="Times New Roman"/>
        </w:rPr>
        <w:t xml:space="preserve"> </w:t>
      </w:r>
      <w:r w:rsidRPr="00306FFB">
        <w:rPr>
          <w:rFonts w:ascii="Times New Roman" w:hAnsi="Times New Roman" w:cs="Times New Roman"/>
        </w:rPr>
        <w:t>CPC, art. 189, caput. Os atos processuais são públicos, todavia tramitam em segredo de justiça os processos:...</w:t>
      </w:r>
    </w:p>
  </w:footnote>
  <w:footnote w:id="4">
    <w:p w14:paraId="44F6A35C" w14:textId="77777777" w:rsidR="00306FFB" w:rsidRPr="00306FFB" w:rsidRDefault="00306FFB" w:rsidP="00306FFB">
      <w:pPr>
        <w:pStyle w:val="Textodenotaderodap"/>
        <w:ind w:right="-568"/>
        <w:jc w:val="both"/>
        <w:rPr>
          <w:rFonts w:ascii="Times New Roman" w:hAnsi="Times New Roman" w:cs="Times New Roman"/>
        </w:rPr>
      </w:pPr>
      <w:r w:rsidRPr="00306FFB">
        <w:rPr>
          <w:rStyle w:val="Refdenotaderodap"/>
          <w:rFonts w:ascii="Times New Roman" w:hAnsi="Times New Roman" w:cs="Times New Roman"/>
        </w:rPr>
        <w:footnoteRef/>
      </w:r>
      <w:r w:rsidRPr="00306FFB">
        <w:rPr>
          <w:rFonts w:ascii="Times New Roman" w:hAnsi="Times New Roman" w:cs="Times New Roman"/>
        </w:rPr>
        <w:t xml:space="preserve"> </w:t>
      </w:r>
      <w:r w:rsidRPr="00306FFB">
        <w:rPr>
          <w:rFonts w:ascii="Times New Roman" w:hAnsi="Times New Roman" w:cs="Times New Roman"/>
        </w:rPr>
        <w:t>Lei n. 11.419/06, art. 5ºAs intimações serão feitas por meio eletrônico em portal próprio aos que se cadastrarem na forma do art. 2º desta Lei, dispensando-se a publicação no órgão oficial, inclusive eletrônico. §1º Considerar-se-á realizada a intimação no dia em que o intimando efetivar a consulta eletrônica ao teor da intimação, certificando-se nos autos a sua realização...</w:t>
      </w:r>
    </w:p>
    <w:p w14:paraId="0468F2CE" w14:textId="44E5DB9C" w:rsidR="00306FFB" w:rsidRPr="00306FFB" w:rsidRDefault="00306FFB" w:rsidP="00306FFB">
      <w:pPr>
        <w:pStyle w:val="Textodenotaderodap"/>
        <w:ind w:right="-568"/>
        <w:jc w:val="both"/>
        <w:rPr>
          <w:rFonts w:ascii="Times New Roman" w:hAnsi="Times New Roman" w:cs="Times New Roman"/>
        </w:rPr>
      </w:pPr>
      <w:r w:rsidRPr="00306FFB">
        <w:rPr>
          <w:rFonts w:ascii="Times New Roman" w:hAnsi="Times New Roman" w:cs="Times New Roman"/>
        </w:rPr>
        <w:t>§3º A consulta referida nos §§ 1º e 2º deste artigo deverá ser feita em até 10 (dez) dias corridos contados da data do envio da intimação, sob pena de considerar-se a intimação automaticamente realizada na data do término desse prazo.</w:t>
      </w:r>
    </w:p>
  </w:footnote>
  <w:footnote w:id="5">
    <w:p w14:paraId="4BDD4457" w14:textId="77777777" w:rsidR="00306FFB" w:rsidRPr="00306FFB" w:rsidRDefault="00306FFB" w:rsidP="00306FFB">
      <w:pPr>
        <w:pStyle w:val="Textodenotaderodap"/>
        <w:ind w:right="-568"/>
        <w:jc w:val="both"/>
        <w:rPr>
          <w:rFonts w:ascii="Times New Roman" w:hAnsi="Times New Roman" w:cs="Times New Roman"/>
        </w:rPr>
      </w:pPr>
      <w:r w:rsidRPr="00306FFB">
        <w:rPr>
          <w:rStyle w:val="Refdenotaderodap"/>
          <w:rFonts w:ascii="Times New Roman" w:hAnsi="Times New Roman" w:cs="Times New Roman"/>
        </w:rPr>
        <w:footnoteRef/>
      </w:r>
      <w:r w:rsidRPr="00306FFB">
        <w:rPr>
          <w:rFonts w:ascii="Times New Roman" w:hAnsi="Times New Roman" w:cs="Times New Roman"/>
        </w:rPr>
        <w:t xml:space="preserve"> </w:t>
      </w:r>
      <w:r w:rsidRPr="00306FFB">
        <w:rPr>
          <w:rFonts w:ascii="Times New Roman" w:hAnsi="Times New Roman" w:cs="Times New Roman"/>
        </w:rPr>
        <w:t>CPC, art. 277. Quando a lei prescrever determinada forma, o juiz considerará válido o ato se, realizado de outro modo, lhe alcançar a finalidade.</w:t>
      </w:r>
    </w:p>
    <w:p w14:paraId="59A1323B" w14:textId="0293968D" w:rsidR="00306FFB" w:rsidRPr="00306FFB" w:rsidRDefault="00306FFB" w:rsidP="00306FFB">
      <w:pPr>
        <w:pStyle w:val="Textodenotaderodap"/>
        <w:ind w:right="-568"/>
        <w:jc w:val="both"/>
        <w:rPr>
          <w:rFonts w:ascii="Times New Roman" w:hAnsi="Times New Roman" w:cs="Times New Roman"/>
        </w:rPr>
      </w:pPr>
      <w:r w:rsidRPr="00306FFB">
        <w:rPr>
          <w:rFonts w:ascii="Times New Roman" w:hAnsi="Times New Roman" w:cs="Times New Roman"/>
        </w:rPr>
        <w:t>CPC, art. 280. As citações e as intimações serão nulas quando feitas sem observância das prescrições legais.</w:t>
      </w:r>
    </w:p>
  </w:footnote>
  <w:footnote w:id="6">
    <w:p w14:paraId="5D8CAF4A" w14:textId="77777777" w:rsidR="00306FFB" w:rsidRPr="00306FFB" w:rsidRDefault="00306FFB" w:rsidP="00306FFB">
      <w:pPr>
        <w:pStyle w:val="Textodenotaderodap"/>
        <w:ind w:right="-568"/>
        <w:jc w:val="both"/>
        <w:rPr>
          <w:rFonts w:ascii="Times New Roman" w:hAnsi="Times New Roman" w:cs="Times New Roman"/>
        </w:rPr>
      </w:pPr>
      <w:r w:rsidRPr="00306FFB">
        <w:rPr>
          <w:rStyle w:val="Refdenotaderodap"/>
          <w:rFonts w:ascii="Times New Roman" w:hAnsi="Times New Roman" w:cs="Times New Roman"/>
        </w:rPr>
        <w:footnoteRef/>
      </w:r>
      <w:r w:rsidRPr="00306FFB">
        <w:rPr>
          <w:rFonts w:ascii="Times New Roman" w:hAnsi="Times New Roman" w:cs="Times New Roman"/>
        </w:rPr>
        <w:t xml:space="preserve"> </w:t>
      </w:r>
      <w:r w:rsidRPr="00306FFB">
        <w:rPr>
          <w:rFonts w:ascii="Times New Roman" w:hAnsi="Times New Roman" w:cs="Times New Roman"/>
        </w:rPr>
        <w:t>CPC, art. 9º, caput. Não se proferirá decisão contra uma das partes sem que ela seja previamente ouvida.</w:t>
      </w:r>
    </w:p>
    <w:p w14:paraId="792D86DE" w14:textId="77777777" w:rsidR="00306FFB" w:rsidRPr="00306FFB" w:rsidRDefault="00306FFB" w:rsidP="00306FFB">
      <w:pPr>
        <w:pStyle w:val="Textodenotaderodap"/>
        <w:ind w:right="-568"/>
        <w:jc w:val="both"/>
        <w:rPr>
          <w:rFonts w:ascii="Times New Roman" w:hAnsi="Times New Roman" w:cs="Times New Roman"/>
        </w:rPr>
      </w:pPr>
      <w:r w:rsidRPr="00306FFB">
        <w:rPr>
          <w:rFonts w:ascii="Times New Roman" w:hAnsi="Times New Roman" w:cs="Times New Roman"/>
        </w:rPr>
        <w:t>CPC, art. 10. O juiz não pode decidir, em grau algum de jurisdição, com base em fundamento a respeito do qual não se tenha dado às partes oportunidade de se manifestar, ainda que se trate de matéria sobre a qual deva decidir de ofício.</w:t>
      </w:r>
    </w:p>
    <w:p w14:paraId="3C3E5E3A" w14:textId="629BDC72" w:rsidR="00306FFB" w:rsidRPr="00306FFB" w:rsidRDefault="00306FFB" w:rsidP="00306FFB">
      <w:pPr>
        <w:pStyle w:val="Textodenotaderodap"/>
        <w:ind w:right="-568"/>
        <w:jc w:val="both"/>
        <w:rPr>
          <w:rFonts w:ascii="Times New Roman" w:hAnsi="Times New Roman" w:cs="Times New Roman"/>
        </w:rPr>
      </w:pPr>
      <w:r w:rsidRPr="00306FFB">
        <w:rPr>
          <w:rFonts w:ascii="Times New Roman" w:hAnsi="Times New Roman" w:cs="Times New Roman"/>
        </w:rPr>
        <w:t>CPC, art. 933. Se o relator constatar a ocorrência de fato superveniente à decisão recorrida ou a existência de questão apreciável de ofício ainda não examinada que devam ser considerados no julgamento do recurso, intimará as partes para que se manifestem no prazo de 5 (cinco) dias. §1º Se a constatação ocorrer durante a sessão de julgamento, esse será imediatamente suspenso a fim de que as partes se manifestem especificamente. §2º Se a constatação se der em vista dos autos, deverá o juiz que a solicitou encaminhá-los ao relator, que tomará as providências previstas no caput e, em seguida, solicitará a inclusão do feito em pauta para prosseguimento do julgamento, com submissão integral da nova questão aos julgadores.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B50F5C"/>
    <w:multiLevelType w:val="hybridMultilevel"/>
    <w:tmpl w:val="7A4C54C0"/>
    <w:lvl w:ilvl="0" w:tplc="1BD4E6F2">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47D57294"/>
    <w:multiLevelType w:val="hybridMultilevel"/>
    <w:tmpl w:val="D7F8F73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111172144">
    <w:abstractNumId w:val="0"/>
  </w:num>
  <w:num w:numId="2" w16cid:durableId="13424648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730"/>
    <w:rsid w:val="002E09A4"/>
    <w:rsid w:val="00306FFB"/>
    <w:rsid w:val="00792730"/>
    <w:rsid w:val="00E7266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C7E81B"/>
  <w15:chartTrackingRefBased/>
  <w15:docId w15:val="{B9D73102-A234-4784-B893-167D134D75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79273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79273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79273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79273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79273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79273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79273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79273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792730"/>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792730"/>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792730"/>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792730"/>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792730"/>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792730"/>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792730"/>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792730"/>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792730"/>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792730"/>
    <w:rPr>
      <w:rFonts w:eastAsiaTheme="majorEastAsia" w:cstheme="majorBidi"/>
      <w:color w:val="272727" w:themeColor="text1" w:themeTint="D8"/>
    </w:rPr>
  </w:style>
  <w:style w:type="paragraph" w:styleId="Ttulo">
    <w:name w:val="Title"/>
    <w:basedOn w:val="Normal"/>
    <w:next w:val="Normal"/>
    <w:link w:val="TtuloChar"/>
    <w:uiPriority w:val="10"/>
    <w:qFormat/>
    <w:rsid w:val="007927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79273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792730"/>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792730"/>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792730"/>
    <w:pPr>
      <w:spacing w:before="160"/>
      <w:jc w:val="center"/>
    </w:pPr>
    <w:rPr>
      <w:i/>
      <w:iCs/>
      <w:color w:val="404040" w:themeColor="text1" w:themeTint="BF"/>
    </w:rPr>
  </w:style>
  <w:style w:type="character" w:customStyle="1" w:styleId="CitaoChar">
    <w:name w:val="Citação Char"/>
    <w:basedOn w:val="Fontepargpadro"/>
    <w:link w:val="Citao"/>
    <w:uiPriority w:val="29"/>
    <w:rsid w:val="00792730"/>
    <w:rPr>
      <w:i/>
      <w:iCs/>
      <w:color w:val="404040" w:themeColor="text1" w:themeTint="BF"/>
    </w:rPr>
  </w:style>
  <w:style w:type="paragraph" w:styleId="PargrafodaLista">
    <w:name w:val="List Paragraph"/>
    <w:basedOn w:val="Normal"/>
    <w:uiPriority w:val="34"/>
    <w:qFormat/>
    <w:rsid w:val="00792730"/>
    <w:pPr>
      <w:ind w:left="720"/>
      <w:contextualSpacing/>
    </w:pPr>
  </w:style>
  <w:style w:type="character" w:styleId="nfaseIntensa">
    <w:name w:val="Intense Emphasis"/>
    <w:basedOn w:val="Fontepargpadro"/>
    <w:uiPriority w:val="21"/>
    <w:qFormat/>
    <w:rsid w:val="00792730"/>
    <w:rPr>
      <w:i/>
      <w:iCs/>
      <w:color w:val="2F5496" w:themeColor="accent1" w:themeShade="BF"/>
    </w:rPr>
  </w:style>
  <w:style w:type="paragraph" w:styleId="CitaoIntensa">
    <w:name w:val="Intense Quote"/>
    <w:basedOn w:val="Normal"/>
    <w:next w:val="Normal"/>
    <w:link w:val="CitaoIntensaChar"/>
    <w:uiPriority w:val="30"/>
    <w:qFormat/>
    <w:rsid w:val="007927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792730"/>
    <w:rPr>
      <w:i/>
      <w:iCs/>
      <w:color w:val="2F5496" w:themeColor="accent1" w:themeShade="BF"/>
    </w:rPr>
  </w:style>
  <w:style w:type="character" w:styleId="RefernciaIntensa">
    <w:name w:val="Intense Reference"/>
    <w:basedOn w:val="Fontepargpadro"/>
    <w:uiPriority w:val="32"/>
    <w:qFormat/>
    <w:rsid w:val="00792730"/>
    <w:rPr>
      <w:b/>
      <w:bCs/>
      <w:smallCaps/>
      <w:color w:val="2F5496" w:themeColor="accent1" w:themeShade="BF"/>
      <w:spacing w:val="5"/>
    </w:rPr>
  </w:style>
  <w:style w:type="paragraph" w:styleId="Textodenotaderodap">
    <w:name w:val="footnote text"/>
    <w:basedOn w:val="Normal"/>
    <w:link w:val="TextodenotaderodapChar"/>
    <w:uiPriority w:val="99"/>
    <w:unhideWhenUsed/>
    <w:rsid w:val="00306FFB"/>
    <w:pPr>
      <w:spacing w:after="0" w:line="240" w:lineRule="auto"/>
    </w:pPr>
    <w:rPr>
      <w:sz w:val="20"/>
      <w:szCs w:val="20"/>
    </w:rPr>
  </w:style>
  <w:style w:type="character" w:customStyle="1" w:styleId="TextodenotaderodapChar">
    <w:name w:val="Texto de nota de rodapé Char"/>
    <w:basedOn w:val="Fontepargpadro"/>
    <w:link w:val="Textodenotaderodap"/>
    <w:uiPriority w:val="99"/>
    <w:rsid w:val="00306FFB"/>
    <w:rPr>
      <w:sz w:val="20"/>
      <w:szCs w:val="20"/>
    </w:rPr>
  </w:style>
  <w:style w:type="character" w:styleId="Refdenotaderodap">
    <w:name w:val="footnote reference"/>
    <w:basedOn w:val="Fontepargpadro"/>
    <w:uiPriority w:val="99"/>
    <w:semiHidden/>
    <w:unhideWhenUsed/>
    <w:rsid w:val="00306FF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7875B2-3BCA-4559-A4C4-B5B6C55B69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8</Pages>
  <Words>3090</Words>
  <Characters>16687</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Christiane Gieseke</dc:creator>
  <cp:keywords/>
  <dc:description/>
  <cp:lastModifiedBy>Christiane Gieseke</cp:lastModifiedBy>
  <cp:revision>1</cp:revision>
  <dcterms:created xsi:type="dcterms:W3CDTF">2026-08-27T14:04:00Z</dcterms:created>
  <dcterms:modified xsi:type="dcterms:W3CDTF">2026-08-27T14:23:00Z</dcterms:modified>
</cp:coreProperties>
</file>