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1528" w14:textId="77777777" w:rsidR="00F16211" w:rsidRPr="00F16211" w:rsidRDefault="00F16211" w:rsidP="00F16211">
      <w:pPr>
        <w:spacing w:after="0" w:line="240" w:lineRule="auto"/>
        <w:ind w:right="-567"/>
        <w:jc w:val="center"/>
        <w:rPr>
          <w:rFonts w:ascii="Arial Black" w:hAnsi="Arial Black" w:cs="Times New Roman"/>
          <w:b/>
          <w:bCs/>
        </w:rPr>
      </w:pPr>
      <w:r w:rsidRPr="00F16211">
        <w:rPr>
          <w:rFonts w:ascii="Arial Black" w:hAnsi="Arial Black" w:cs="Times New Roman"/>
          <w:b/>
          <w:bCs/>
        </w:rPr>
        <w:t>MODELO DE PETIÇÃO</w:t>
      </w:r>
    </w:p>
    <w:p w14:paraId="47FC6211" w14:textId="77777777" w:rsidR="00F16211" w:rsidRPr="00F16211" w:rsidRDefault="00F16211" w:rsidP="00F16211">
      <w:pPr>
        <w:spacing w:after="0" w:line="240" w:lineRule="auto"/>
        <w:ind w:right="-567"/>
        <w:jc w:val="center"/>
        <w:rPr>
          <w:rFonts w:ascii="Arial Black" w:hAnsi="Arial Black" w:cs="Times New Roman"/>
          <w:b/>
          <w:bCs/>
        </w:rPr>
      </w:pPr>
      <w:r w:rsidRPr="00F16211">
        <w:rPr>
          <w:rFonts w:ascii="Arial Black" w:hAnsi="Arial Black" w:cs="Times New Roman"/>
          <w:b/>
          <w:bCs/>
        </w:rPr>
        <w:t>PENHORA. ALIENAÇÃO JUDICIAL. INOVAÇÃO RECURSAL.</w:t>
      </w:r>
    </w:p>
    <w:p w14:paraId="384B0B68" w14:textId="065D6880" w:rsidR="00F16211" w:rsidRPr="00F16211" w:rsidRDefault="00F16211" w:rsidP="00F16211">
      <w:pPr>
        <w:spacing w:after="0" w:line="240" w:lineRule="auto"/>
        <w:ind w:right="-567"/>
        <w:jc w:val="center"/>
        <w:rPr>
          <w:rFonts w:ascii="Arial Black" w:hAnsi="Arial Black" w:cs="Times New Roman"/>
          <w:b/>
          <w:bCs/>
        </w:rPr>
      </w:pPr>
      <w:r w:rsidRPr="00F16211">
        <w:rPr>
          <w:rFonts w:ascii="Arial Black" w:hAnsi="Arial Black" w:cs="Times New Roman"/>
          <w:b/>
          <w:bCs/>
        </w:rPr>
        <w:t>SUPRESSÃO DE INSTÂNCIA. PLURALIDADE DE CREDORES.</w:t>
      </w:r>
    </w:p>
    <w:p w14:paraId="32015778" w14:textId="77777777" w:rsidR="00F16211" w:rsidRPr="00F16211" w:rsidRDefault="00F16211" w:rsidP="00F16211">
      <w:pPr>
        <w:spacing w:after="0" w:line="240" w:lineRule="auto"/>
        <w:ind w:right="-567"/>
        <w:jc w:val="center"/>
        <w:rPr>
          <w:rFonts w:ascii="Arial Black" w:hAnsi="Arial Black" w:cs="Times New Roman"/>
          <w:b/>
          <w:bCs/>
        </w:rPr>
      </w:pPr>
      <w:r w:rsidRPr="00F16211">
        <w:rPr>
          <w:rFonts w:ascii="Arial Black" w:hAnsi="Arial Black" w:cs="Times New Roman"/>
          <w:b/>
          <w:bCs/>
        </w:rPr>
        <w:t>PRESERVAÇÃO DA PREFERÊNCIA SOBRE O PRODUTO DA ARREMATAÇÃO.</w:t>
      </w:r>
    </w:p>
    <w:p w14:paraId="78856364" w14:textId="77777777" w:rsidR="00F16211" w:rsidRPr="00F16211" w:rsidRDefault="00F16211" w:rsidP="00F16211">
      <w:pPr>
        <w:spacing w:after="0" w:line="240" w:lineRule="auto"/>
        <w:ind w:right="-567"/>
        <w:jc w:val="right"/>
        <w:rPr>
          <w:rFonts w:ascii="Arial Black" w:hAnsi="Arial Black" w:cs="Times New Roman"/>
          <w:b/>
          <w:bCs/>
        </w:rPr>
      </w:pPr>
      <w:proofErr w:type="spellStart"/>
      <w:r w:rsidRPr="00F16211">
        <w:rPr>
          <w:rFonts w:ascii="Arial Black" w:hAnsi="Arial Black" w:cs="Times New Roman"/>
          <w:b/>
          <w:bCs/>
        </w:rPr>
        <w:t>Rénan</w:t>
      </w:r>
      <w:proofErr w:type="spellEnd"/>
      <w:r w:rsidRPr="00F16211">
        <w:rPr>
          <w:rFonts w:ascii="Arial Black" w:hAnsi="Arial Black" w:cs="Times New Roman"/>
          <w:b/>
          <w:bCs/>
        </w:rPr>
        <w:t xml:space="preserve"> </w:t>
      </w:r>
      <w:proofErr w:type="spellStart"/>
      <w:r w:rsidRPr="00F16211">
        <w:rPr>
          <w:rFonts w:ascii="Arial Black" w:hAnsi="Arial Black" w:cs="Times New Roman"/>
          <w:b/>
          <w:bCs/>
        </w:rPr>
        <w:t>Kfuri</w:t>
      </w:r>
      <w:proofErr w:type="spellEnd"/>
      <w:r w:rsidRPr="00F16211">
        <w:rPr>
          <w:rFonts w:ascii="Arial Black" w:hAnsi="Arial Black" w:cs="Times New Roman"/>
          <w:b/>
          <w:bCs/>
        </w:rPr>
        <w:t xml:space="preserve"> Lopes</w:t>
      </w:r>
    </w:p>
    <w:p w14:paraId="3042FA80" w14:textId="77777777" w:rsidR="00F16211" w:rsidRPr="00F16211" w:rsidRDefault="00F16211" w:rsidP="00F16211">
      <w:pPr>
        <w:ind w:right="-568"/>
        <w:jc w:val="both"/>
        <w:rPr>
          <w:rFonts w:ascii="Times New Roman" w:hAnsi="Times New Roman" w:cs="Times New Roman"/>
        </w:rPr>
      </w:pPr>
    </w:p>
    <w:p w14:paraId="747A1811" w14:textId="77777777" w:rsidR="00F16211" w:rsidRDefault="00F16211" w:rsidP="00F16211">
      <w:pPr>
        <w:ind w:right="-568"/>
        <w:jc w:val="both"/>
        <w:rPr>
          <w:rFonts w:ascii="Times New Roman" w:hAnsi="Times New Roman" w:cs="Times New Roman"/>
        </w:rPr>
      </w:pPr>
      <w:r w:rsidRPr="00F16211">
        <w:rPr>
          <w:rFonts w:ascii="Times New Roman" w:hAnsi="Times New Roman" w:cs="Times New Roman"/>
        </w:rPr>
        <w:t>E</w:t>
      </w:r>
      <w:r>
        <w:rPr>
          <w:rFonts w:ascii="Times New Roman" w:hAnsi="Times New Roman" w:cs="Times New Roman"/>
        </w:rPr>
        <w:t>xmo. Sr. Juiz de Direito Convocado ...- DD Relator do Agravo de Instrumento n. ... - ...ª Câmara Cível do TJ...</w:t>
      </w:r>
    </w:p>
    <w:p w14:paraId="5BEEEF77" w14:textId="1D292E6D" w:rsidR="00F16211" w:rsidRPr="00F16211" w:rsidRDefault="00F16211" w:rsidP="00F16211">
      <w:pPr>
        <w:ind w:right="-568"/>
        <w:jc w:val="both"/>
        <w:rPr>
          <w:rFonts w:ascii="Times New Roman" w:hAnsi="Times New Roman" w:cs="Times New Roman"/>
        </w:rPr>
      </w:pPr>
      <w:r>
        <w:rPr>
          <w:rFonts w:ascii="Times New Roman" w:hAnsi="Times New Roman" w:cs="Times New Roman"/>
        </w:rPr>
        <w:t>(nome)</w:t>
      </w:r>
      <w:r w:rsidRPr="00F16211">
        <w:rPr>
          <w:rFonts w:ascii="Times New Roman" w:hAnsi="Times New Roman" w:cs="Times New Roman"/>
        </w:rPr>
        <w:t xml:space="preserve">, agravada, pelos advogados </w:t>
      </w:r>
      <w:r w:rsidRPr="00F16211">
        <w:rPr>
          <w:rFonts w:ascii="Times New Roman" w:hAnsi="Times New Roman" w:cs="Times New Roman"/>
          <w:i/>
          <w:iCs/>
        </w:rPr>
        <w:t>in fine</w:t>
      </w:r>
      <w:r w:rsidRPr="00F16211">
        <w:rPr>
          <w:rFonts w:ascii="Times New Roman" w:hAnsi="Times New Roman" w:cs="Times New Roman"/>
        </w:rPr>
        <w:t xml:space="preserve"> assinados, nos autos epigrafados do agravo de instrumento interposto por </w:t>
      </w:r>
      <w:r>
        <w:rPr>
          <w:rFonts w:ascii="Times New Roman" w:hAnsi="Times New Roman" w:cs="Times New Roman"/>
        </w:rPr>
        <w:t>..</w:t>
      </w:r>
      <w:r w:rsidRPr="00F16211">
        <w:rPr>
          <w:rFonts w:ascii="Times New Roman" w:hAnsi="Times New Roman" w:cs="Times New Roman"/>
        </w:rPr>
        <w:t>., agravante, vem, respeitosamente, apresentar sua resposta recursal</w:t>
      </w:r>
      <w:r w:rsidR="00677A22">
        <w:rPr>
          <w:rStyle w:val="Refdenotaderodap"/>
          <w:rFonts w:ascii="Times New Roman" w:hAnsi="Times New Roman" w:cs="Times New Roman"/>
        </w:rPr>
        <w:footnoteReference w:id="1"/>
      </w:r>
      <w:r w:rsidRPr="00F16211">
        <w:rPr>
          <w:rFonts w:ascii="Times New Roman" w:hAnsi="Times New Roman" w:cs="Times New Roman"/>
        </w:rPr>
        <w:t xml:space="preserve"> pelas razões de direito adiante articuladas:</w:t>
      </w:r>
    </w:p>
    <w:p w14:paraId="6A1E9CFC" w14:textId="43123EE2"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 xml:space="preserve">I- </w:t>
      </w:r>
      <w:r w:rsidRPr="00F16211">
        <w:rPr>
          <w:rFonts w:ascii="Times New Roman" w:hAnsi="Times New Roman" w:cs="Times New Roman"/>
          <w:b/>
          <w:bCs/>
        </w:rPr>
        <w:t>BREVE SÍNTESE</w:t>
      </w:r>
    </w:p>
    <w:p w14:paraId="3379633D" w14:textId="77777777"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O AGRAVO DE INSTRUMENTO PRETENDE TRANSFORMAR UMA PROVIDÊNCIA DE ORGANIZAÇÃO DO PAGAMENTO EM CAUSA DE PARALISAÇÃO DA EXECUÇÃO E DA FASE DE EXPROPRIAÇÃO PATRIMONIAL</w:t>
      </w:r>
    </w:p>
    <w:p w14:paraId="17FEF6E3" w14:textId="66E7CC9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O agravo de instrumento ora contrarrazoado foi interposto contra a r. decisão proferida no curso do cumprimento definitivo de sentença de origem que se arrasta há muitos anos, em que houve penhora e avaliação do imóvel constituído pelo pavimento de cobertura do Edifício </w:t>
      </w:r>
      <w:r>
        <w:rPr>
          <w:rFonts w:ascii="Times New Roman" w:hAnsi="Times New Roman" w:cs="Times New Roman"/>
        </w:rPr>
        <w:t>...</w:t>
      </w:r>
      <w:r w:rsidRPr="00F16211">
        <w:rPr>
          <w:rFonts w:ascii="Times New Roman" w:hAnsi="Times New Roman" w:cs="Times New Roman"/>
        </w:rPr>
        <w:t xml:space="preserve">, localizado na Rua </w:t>
      </w:r>
      <w:r>
        <w:rPr>
          <w:rFonts w:ascii="Times New Roman" w:hAnsi="Times New Roman" w:cs="Times New Roman"/>
        </w:rPr>
        <w:t>...</w:t>
      </w:r>
      <w:r w:rsidRPr="00F16211">
        <w:rPr>
          <w:rFonts w:ascii="Times New Roman" w:hAnsi="Times New Roman" w:cs="Times New Roman"/>
        </w:rPr>
        <w:t xml:space="preserve">, n. </w:t>
      </w:r>
      <w:r>
        <w:rPr>
          <w:rFonts w:ascii="Times New Roman" w:hAnsi="Times New Roman" w:cs="Times New Roman"/>
        </w:rPr>
        <w:t>...</w:t>
      </w:r>
      <w:r w:rsidRPr="00F16211">
        <w:rPr>
          <w:rFonts w:ascii="Times New Roman" w:hAnsi="Times New Roman" w:cs="Times New Roman"/>
        </w:rPr>
        <w:t xml:space="preserve">, Bairro </w:t>
      </w:r>
      <w:r>
        <w:rPr>
          <w:rFonts w:ascii="Times New Roman" w:hAnsi="Times New Roman" w:cs="Times New Roman"/>
        </w:rPr>
        <w:t>...</w:t>
      </w:r>
      <w:r w:rsidRPr="00F16211">
        <w:rPr>
          <w:rFonts w:ascii="Times New Roman" w:hAnsi="Times New Roman" w:cs="Times New Roman"/>
        </w:rPr>
        <w:t xml:space="preserve">, </w:t>
      </w:r>
      <w:r>
        <w:rPr>
          <w:rFonts w:ascii="Times New Roman" w:hAnsi="Times New Roman" w:cs="Times New Roman"/>
        </w:rPr>
        <w:t>...</w:t>
      </w:r>
      <w:r w:rsidRPr="00F16211">
        <w:rPr>
          <w:rFonts w:ascii="Times New Roman" w:hAnsi="Times New Roman" w:cs="Times New Roman"/>
        </w:rPr>
        <w:t xml:space="preserve"> [</w:t>
      </w:r>
      <w:r>
        <w:rPr>
          <w:rFonts w:ascii="Times New Roman" w:hAnsi="Times New Roman" w:cs="Times New Roman"/>
        </w:rPr>
        <w:t>...</w:t>
      </w:r>
      <w:r w:rsidRPr="00F16211">
        <w:rPr>
          <w:rFonts w:ascii="Times New Roman" w:hAnsi="Times New Roman" w:cs="Times New Roman"/>
        </w:rPr>
        <w:t xml:space="preserve">], CEP </w:t>
      </w:r>
      <w:r>
        <w:rPr>
          <w:rFonts w:ascii="Times New Roman" w:hAnsi="Times New Roman" w:cs="Times New Roman"/>
        </w:rPr>
        <w:t>...</w:t>
      </w:r>
      <w:r w:rsidRPr="00F16211">
        <w:rPr>
          <w:rFonts w:ascii="Times New Roman" w:hAnsi="Times New Roman" w:cs="Times New Roman"/>
        </w:rPr>
        <w:t xml:space="preserve">, atualmente registrado na Matrícula n. </w:t>
      </w:r>
      <w:r>
        <w:rPr>
          <w:rFonts w:ascii="Times New Roman" w:hAnsi="Times New Roman" w:cs="Times New Roman"/>
        </w:rPr>
        <w:t>...</w:t>
      </w:r>
      <w:r w:rsidRPr="00F16211">
        <w:rPr>
          <w:rFonts w:ascii="Times New Roman" w:hAnsi="Times New Roman" w:cs="Times New Roman"/>
        </w:rPr>
        <w:t xml:space="preserve"> [anterior numeração </w:t>
      </w:r>
      <w:r>
        <w:rPr>
          <w:rFonts w:ascii="Times New Roman" w:hAnsi="Times New Roman" w:cs="Times New Roman"/>
        </w:rPr>
        <w:t>...</w:t>
      </w:r>
      <w:r w:rsidRPr="00F16211">
        <w:rPr>
          <w:rFonts w:ascii="Times New Roman" w:hAnsi="Times New Roman" w:cs="Times New Roman"/>
        </w:rPr>
        <w:t xml:space="preserve">] do Cartório do </w:t>
      </w:r>
      <w:r>
        <w:rPr>
          <w:rFonts w:ascii="Times New Roman" w:hAnsi="Times New Roman" w:cs="Times New Roman"/>
        </w:rPr>
        <w:t>...</w:t>
      </w:r>
      <w:r w:rsidRPr="00F16211">
        <w:rPr>
          <w:rFonts w:ascii="Times New Roman" w:hAnsi="Times New Roman" w:cs="Times New Roman"/>
        </w:rPr>
        <w:t xml:space="preserve">º Ofício de Registro de Imóveis de </w:t>
      </w:r>
      <w:r>
        <w:rPr>
          <w:rFonts w:ascii="Times New Roman" w:hAnsi="Times New Roman" w:cs="Times New Roman"/>
        </w:rPr>
        <w:t>...</w:t>
      </w:r>
    </w:p>
    <w:p w14:paraId="07824BD4" w14:textId="65A0FFD1"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A v. decisão agravada, em verdade, nada fez além de dar curso natural à fase expropriatória, deferiu a alienação judicial do bem penhorado, nomeou leiloeira pública, determinou a publicação de edital, fixou parâmetros mínimos de alienação, exigiu comunicação prévia da data da hasta pública e determinou a intimação das partes e interessados, na forma da lei.</w:t>
      </w:r>
    </w:p>
    <w:p w14:paraId="21B19834" w14:textId="4921BD67"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Em sede de embargos declaratórios aviados pela ora agravante, o d. juízo </w:t>
      </w:r>
      <w:r w:rsidRPr="00F16211">
        <w:rPr>
          <w:rFonts w:ascii="Times New Roman" w:hAnsi="Times New Roman" w:cs="Times New Roman"/>
          <w:i/>
          <w:iCs/>
        </w:rPr>
        <w:t>a quo</w:t>
      </w:r>
      <w:r w:rsidRPr="00F16211">
        <w:rPr>
          <w:rFonts w:ascii="Times New Roman" w:hAnsi="Times New Roman" w:cs="Times New Roman"/>
        </w:rPr>
        <w:t xml:space="preserve"> corrigiu singela inexatidão material relativa à avaliação do bem penhorado, adotando o valor de R$ </w:t>
      </w:r>
      <w:r>
        <w:rPr>
          <w:rFonts w:ascii="Times New Roman" w:hAnsi="Times New Roman" w:cs="Times New Roman"/>
        </w:rPr>
        <w:t>...</w:t>
      </w:r>
      <w:r w:rsidRPr="00F16211">
        <w:rPr>
          <w:rFonts w:ascii="Times New Roman" w:hAnsi="Times New Roman" w:cs="Times New Roman"/>
        </w:rPr>
        <w:t xml:space="preserve"> para fins de hasta pública, realidade que não se discute, como expressamente afirmado na peça recursal ora contrarrazoada. </w:t>
      </w:r>
    </w:p>
    <w:p w14:paraId="78DA23EF" w14:textId="2E6BE23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Todavia, roga-se vênia, mas nessa quadra recursal a agravante busca deslocar artificialmente o ponto central da </w:t>
      </w:r>
      <w:r w:rsidRPr="00F16211">
        <w:rPr>
          <w:rFonts w:ascii="Times New Roman" w:hAnsi="Times New Roman" w:cs="Times New Roman"/>
          <w:i/>
          <w:iCs/>
        </w:rPr>
        <w:t>quaestio juris</w:t>
      </w:r>
      <w:r w:rsidRPr="00F16211">
        <w:rPr>
          <w:rFonts w:ascii="Times New Roman" w:hAnsi="Times New Roman" w:cs="Times New Roman"/>
        </w:rPr>
        <w:t>.</w:t>
      </w:r>
    </w:p>
    <w:p w14:paraId="52CCB568" w14:textId="7BD27B52"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Inexiste, na espécie vertente, qualquer hipótese de:</w:t>
      </w:r>
    </w:p>
    <w:p w14:paraId="5C3CD635" w14:textId="03BC7B7E"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discussão</w:t>
      </w:r>
      <w:proofErr w:type="gramEnd"/>
      <w:r w:rsidRPr="00F16211">
        <w:rPr>
          <w:rFonts w:ascii="Times New Roman" w:hAnsi="Times New Roman" w:cs="Times New Roman"/>
        </w:rPr>
        <w:t xml:space="preserve"> acerca da avaliação do bem penhorado;</w:t>
      </w:r>
    </w:p>
    <w:p w14:paraId="24F2A15F" w14:textId="7313B4A4"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nulidade</w:t>
      </w:r>
      <w:proofErr w:type="gramEnd"/>
      <w:r w:rsidRPr="00F16211">
        <w:rPr>
          <w:rFonts w:ascii="Times New Roman" w:hAnsi="Times New Roman" w:cs="Times New Roman"/>
        </w:rPr>
        <w:t xml:space="preserve"> dos atos pretéritos de penhora e avaliação do patrimônio;</w:t>
      </w:r>
    </w:p>
    <w:p w14:paraId="0B25857E" w14:textId="577ADD47" w:rsidR="00F16211" w:rsidRPr="00F16211" w:rsidRDefault="00F16211" w:rsidP="00F16211">
      <w:pPr>
        <w:ind w:right="-568"/>
        <w:jc w:val="both"/>
        <w:rPr>
          <w:rFonts w:ascii="Times New Roman" w:hAnsi="Times New Roman" w:cs="Times New Roman"/>
        </w:rPr>
      </w:pPr>
      <w:r>
        <w:rPr>
          <w:rFonts w:ascii="Segoe UI Symbol" w:hAnsi="Segoe UI Symbol" w:cs="Segoe UI Symbol"/>
        </w:rPr>
        <w:lastRenderedPageBreak/>
        <w:t xml:space="preserve">- </w:t>
      </w:r>
      <w:proofErr w:type="gramStart"/>
      <w:r w:rsidRPr="00F16211">
        <w:rPr>
          <w:rFonts w:ascii="Times New Roman" w:hAnsi="Times New Roman" w:cs="Times New Roman"/>
        </w:rPr>
        <w:t>comprovação</w:t>
      </w:r>
      <w:proofErr w:type="gramEnd"/>
      <w:r w:rsidRPr="00F16211">
        <w:rPr>
          <w:rFonts w:ascii="Times New Roman" w:hAnsi="Times New Roman" w:cs="Times New Roman"/>
        </w:rPr>
        <w:t xml:space="preserve"> de atribuição de preço vil;</w:t>
      </w:r>
    </w:p>
    <w:p w14:paraId="397EED4B" w14:textId="28326D8A"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existência</w:t>
      </w:r>
      <w:proofErr w:type="gramEnd"/>
      <w:r w:rsidRPr="00F16211">
        <w:rPr>
          <w:rFonts w:ascii="Times New Roman" w:hAnsi="Times New Roman" w:cs="Times New Roman"/>
        </w:rPr>
        <w:t xml:space="preserve"> de vício recaído sobre o edital;</w:t>
      </w:r>
    </w:p>
    <w:p w14:paraId="55622AC4" w14:textId="4410BFA9"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oferecimento</w:t>
      </w:r>
      <w:proofErr w:type="gramEnd"/>
      <w:r w:rsidRPr="00F16211">
        <w:rPr>
          <w:rFonts w:ascii="Times New Roman" w:hAnsi="Times New Roman" w:cs="Times New Roman"/>
        </w:rPr>
        <w:t xml:space="preserve"> de meio executivo alternativo;</w:t>
      </w:r>
    </w:p>
    <w:p w14:paraId="320F76D9" w14:textId="3C347E6B"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depósito</w:t>
      </w:r>
      <w:proofErr w:type="gramEnd"/>
      <w:r w:rsidRPr="00F16211">
        <w:rPr>
          <w:rFonts w:ascii="Times New Roman" w:hAnsi="Times New Roman" w:cs="Times New Roman"/>
        </w:rPr>
        <w:t xml:space="preserve"> em juízo do valor exequendo;</w:t>
      </w:r>
    </w:p>
    <w:p w14:paraId="164F2DEA" w14:textId="191276CB" w:rsidR="00F16211" w:rsidRPr="00F16211" w:rsidRDefault="00F16211" w:rsidP="00F16211">
      <w:pPr>
        <w:ind w:right="-568"/>
        <w:jc w:val="both"/>
        <w:rPr>
          <w:rFonts w:ascii="Times New Roman" w:hAnsi="Times New Roman" w:cs="Times New Roman"/>
        </w:rPr>
      </w:pPr>
      <w:r>
        <w:rPr>
          <w:rFonts w:ascii="Segoe UI Symbol" w:hAnsi="Segoe UI Symbol" w:cs="Segoe UI Symbol"/>
        </w:rPr>
        <w:t xml:space="preserve">- </w:t>
      </w:r>
      <w:proofErr w:type="gramStart"/>
      <w:r w:rsidRPr="00F16211">
        <w:rPr>
          <w:rFonts w:ascii="Times New Roman" w:hAnsi="Times New Roman" w:cs="Times New Roman"/>
        </w:rPr>
        <w:t>indicação</w:t>
      </w:r>
      <w:proofErr w:type="gramEnd"/>
      <w:r w:rsidRPr="00F16211">
        <w:rPr>
          <w:rFonts w:ascii="Times New Roman" w:hAnsi="Times New Roman" w:cs="Times New Roman"/>
        </w:rPr>
        <w:t xml:space="preserve"> de bem substitutivo.</w:t>
      </w:r>
    </w:p>
    <w:p w14:paraId="1DFAAF76" w14:textId="5C7989F0"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A tese sustentada no agravo de instrumento é outra. Resumidamente, a recorrente simplesmente alega que a existência de outra constrição sobre o mesmo imóvel penhorado, objeto de demanda que tramita perante a </w:t>
      </w:r>
      <w:r>
        <w:rPr>
          <w:rFonts w:ascii="Times New Roman" w:hAnsi="Times New Roman" w:cs="Times New Roman"/>
        </w:rPr>
        <w:t>...</w:t>
      </w:r>
      <w:r w:rsidRPr="00F16211">
        <w:rPr>
          <w:rFonts w:ascii="Times New Roman" w:hAnsi="Times New Roman" w:cs="Times New Roman"/>
        </w:rPr>
        <w:t xml:space="preserve">ª Vara Cível de </w:t>
      </w:r>
      <w:r>
        <w:rPr>
          <w:rFonts w:ascii="Times New Roman" w:hAnsi="Times New Roman" w:cs="Times New Roman"/>
        </w:rPr>
        <w:t>...</w:t>
      </w:r>
      <w:r w:rsidRPr="00F16211">
        <w:rPr>
          <w:rFonts w:ascii="Times New Roman" w:hAnsi="Times New Roman" w:cs="Times New Roman"/>
        </w:rPr>
        <w:t>, imporia automaticamente a sustação da alienação judicial no processo de origem até que se atingisse a suposta “</w:t>
      </w:r>
      <w:r w:rsidRPr="00F16211">
        <w:rPr>
          <w:rFonts w:ascii="Times New Roman" w:hAnsi="Times New Roman" w:cs="Times New Roman"/>
          <w:i/>
          <w:iCs/>
        </w:rPr>
        <w:t>harmonização</w:t>
      </w:r>
      <w:r w:rsidRPr="00F16211">
        <w:rPr>
          <w:rFonts w:ascii="Times New Roman" w:hAnsi="Times New Roman" w:cs="Times New Roman"/>
        </w:rPr>
        <w:t>” das constrições, a apuração prévia da ordem de credores e a definição do juízo competente para centralizar os atos expropriatórios.</w:t>
      </w:r>
    </w:p>
    <w:p w14:paraId="2A284F6E" w14:textId="3DADB246"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Sem quebra de reverência, a tese soerguida pela agravante não encontra amparo legal.</w:t>
      </w:r>
    </w:p>
    <w:p w14:paraId="193FD69E" w14:textId="4B9D0B75"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Nesse contexto, a pretensão da recorrente haverá de ser delimitada de pronto, pois não há interesse algum no recurso de preservar a legalidade da hasta pública, mas essencialmente impedir que ela se realize, manjado expediente voltado a postergar, sem justa causa, sempre que possível, a atividade satisfativa, </w:t>
      </w:r>
      <w:r w:rsidRPr="00F16211">
        <w:rPr>
          <w:rFonts w:ascii="Times New Roman" w:hAnsi="Times New Roman" w:cs="Times New Roman"/>
          <w:i/>
          <w:iCs/>
        </w:rPr>
        <w:t xml:space="preserve">data </w:t>
      </w:r>
      <w:proofErr w:type="spellStart"/>
      <w:r w:rsidRPr="00F16211">
        <w:rPr>
          <w:rFonts w:ascii="Times New Roman" w:hAnsi="Times New Roman" w:cs="Times New Roman"/>
          <w:i/>
          <w:iCs/>
        </w:rPr>
        <w:t>venia</w:t>
      </w:r>
      <w:proofErr w:type="spellEnd"/>
      <w:r w:rsidRPr="00F16211">
        <w:rPr>
          <w:rFonts w:ascii="Times New Roman" w:hAnsi="Times New Roman" w:cs="Times New Roman"/>
        </w:rPr>
        <w:t>.</w:t>
      </w:r>
    </w:p>
    <w:p w14:paraId="7D60366C" w14:textId="62CD7426"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Insta pontuar que a recorrente não se limita a postular a ciência de eventuais credores concorrentes, a publicidade dos ônus no edital ou a reserva do produto da arrematação até ulterior definição da ordem de preferência. Vai além: pretende a sustação integral da fase expropriatória, como se a mera notícia de penhora concorrente fosse suficiente para impedir o regular prosseguimento da execução.</w:t>
      </w:r>
    </w:p>
    <w:p w14:paraId="0956F341" w14:textId="7EEDBE2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O que se verifica é uma tentativa de paralisação da fase expropriatória por tempo indeterminado, sem depósito do valor exequendo, sem indicação do bem substitutivo e sem demonstração de vício concreto capaz de macular a alienação judicial.</w:t>
      </w:r>
    </w:p>
    <w:p w14:paraId="1858F6AC" w14:textId="01A5C587"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É precisamente contra essa indevida ampliação da controvérsia que se insurgem as presentes contrarrazões recursais. A agravada demonstrará mais adiante que o ordenamento processual não trata a existência de múltiplas penhoras como causa de suspensão automática da execução, mas como hipótese ordinária de preservação de preferências, mediante publicidade, intimação dos interessados e, se necessário, instauração de concurso singular de credores sobre o produto da alienação.</w:t>
      </w:r>
    </w:p>
    <w:p w14:paraId="700C8C76" w14:textId="02DE592A"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II-</w:t>
      </w:r>
      <w:r w:rsidRPr="00F16211">
        <w:rPr>
          <w:rFonts w:ascii="Times New Roman" w:hAnsi="Times New Roman" w:cs="Times New Roman"/>
          <w:b/>
          <w:bCs/>
        </w:rPr>
        <w:t xml:space="preserve"> </w:t>
      </w:r>
      <w:r w:rsidRPr="00F16211">
        <w:rPr>
          <w:rFonts w:ascii="Times New Roman" w:hAnsi="Times New Roman" w:cs="Times New Roman"/>
          <w:b/>
          <w:bCs/>
        </w:rPr>
        <w:t>PRELIMINAR DE NÃO CONHECIMENTO</w:t>
      </w:r>
    </w:p>
    <w:p w14:paraId="304612AD" w14:textId="270F5875"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O RECURSO PRETENDE INAUGURAR DISCUSSÃO JURÍDICA NÃO ENFRENTADA PELA PARTE E NÃO DECIDIDA NA INSTÂNCIA DE ORIGEM</w:t>
      </w:r>
    </w:p>
    <w:p w14:paraId="0B473A23" w14:textId="77777777"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FLAGRANTE SUPRESSÃO DE INSTÂNCIA E VIOLAÇÃO AO DUPLO GRAU DE JURISDIÇÃO</w:t>
      </w:r>
    </w:p>
    <w:p w14:paraId="51EA55F9" w14:textId="12C13CD4"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lastRenderedPageBreak/>
        <w:t>Neste particular, conforme se verá esmiuçado, o agravo de instrumento não comporta conhecimento, ao menos no capítulo em que pretende discutir, originalmente nesta quadra recursal, a necessidade de “</w:t>
      </w:r>
      <w:r w:rsidRPr="00F16211">
        <w:rPr>
          <w:rFonts w:ascii="Times New Roman" w:hAnsi="Times New Roman" w:cs="Times New Roman"/>
          <w:i/>
          <w:iCs/>
        </w:rPr>
        <w:t>sustação</w:t>
      </w:r>
      <w:r w:rsidRPr="00F16211">
        <w:rPr>
          <w:rFonts w:ascii="Times New Roman" w:hAnsi="Times New Roman" w:cs="Times New Roman"/>
        </w:rPr>
        <w:t>” da alienação por suposta existência de outra penhora e de outro leilão em processo diverso.</w:t>
      </w:r>
    </w:p>
    <w:p w14:paraId="29E6C452" w14:textId="1A473D9A"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Basta uma singela leitura da objetiva decisão agravada para identificar que o d. juízo </w:t>
      </w:r>
      <w:r w:rsidRPr="00F16211">
        <w:rPr>
          <w:rFonts w:ascii="Times New Roman" w:hAnsi="Times New Roman" w:cs="Times New Roman"/>
          <w:i/>
          <w:iCs/>
        </w:rPr>
        <w:t>a quo</w:t>
      </w:r>
      <w:r w:rsidRPr="00F16211">
        <w:rPr>
          <w:rFonts w:ascii="Times New Roman" w:hAnsi="Times New Roman" w:cs="Times New Roman"/>
        </w:rPr>
        <w:t xml:space="preserve"> não decidiu conflito entre juízos, não decidiu centralização de atos expropriatórios, não instaurou nem rejeitou concurso de credores, não definiu ordem de preferência, não autorizou levantamento do produto da alienação, não dispensou intimação de interessados.</w:t>
      </w:r>
    </w:p>
    <w:p w14:paraId="0F41C9FE" w14:textId="3A12F358"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Na realidade, com a finalidade de entregar a tutela jurisdicional ao credor, a r. decisão agravada apenas determinou o prosseguimento dos atos expropriatórios, após a correção da avaliação do bem penhorado, mantendo as cautelas legais próprias da hasta pública.</w:t>
      </w:r>
    </w:p>
    <w:p w14:paraId="09F9CF85" w14:textId="040E4BDE"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Portanto, a agravante pretende submeter a esta colenda Câmara Julgadora questão que, na moldura da decisão interlocutória agravada [e suas decisões integrativas], não foi efetivamente objeto de deliberação pelo d. juízo da instância de origem.</w:t>
      </w:r>
    </w:p>
    <w:p w14:paraId="0097B04B" w14:textId="33812F68"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Exercendo o duplo grau de jurisdição, através do recurso de agravo de instrumento deve o Tribunal revisar o conteúdo do decisum agravado. Nunca, como instância inaugural, deve decidir requerimento que deveria ter sido adequadamente formulado e instruído perante o primeiro grau, </w:t>
      </w:r>
      <w:r w:rsidRPr="00F16211">
        <w:rPr>
          <w:rFonts w:ascii="Times New Roman" w:hAnsi="Times New Roman" w:cs="Times New Roman"/>
          <w:i/>
          <w:iCs/>
        </w:rPr>
        <w:t xml:space="preserve">data </w:t>
      </w:r>
      <w:proofErr w:type="spellStart"/>
      <w:r w:rsidRPr="00F16211">
        <w:rPr>
          <w:rFonts w:ascii="Times New Roman" w:hAnsi="Times New Roman" w:cs="Times New Roman"/>
          <w:i/>
          <w:iCs/>
        </w:rPr>
        <w:t>maxima</w:t>
      </w:r>
      <w:proofErr w:type="spellEnd"/>
      <w:r w:rsidRPr="00F16211">
        <w:rPr>
          <w:rFonts w:ascii="Times New Roman" w:hAnsi="Times New Roman" w:cs="Times New Roman"/>
          <w:i/>
          <w:iCs/>
        </w:rPr>
        <w:t xml:space="preserve"> </w:t>
      </w:r>
      <w:proofErr w:type="spellStart"/>
      <w:r w:rsidRPr="00F16211">
        <w:rPr>
          <w:rFonts w:ascii="Times New Roman" w:hAnsi="Times New Roman" w:cs="Times New Roman"/>
          <w:i/>
          <w:iCs/>
        </w:rPr>
        <w:t>venia</w:t>
      </w:r>
      <w:proofErr w:type="spellEnd"/>
      <w:r w:rsidRPr="00F16211">
        <w:rPr>
          <w:rFonts w:ascii="Times New Roman" w:hAnsi="Times New Roman" w:cs="Times New Roman"/>
        </w:rPr>
        <w:t>.</w:t>
      </w:r>
    </w:p>
    <w:p w14:paraId="467AF43F" w14:textId="7E04859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Admitir o contrário importaria manifesta supressão de instância, além de violação ao mencionado princípio consagrado do duplo grau de jurisdição.</w:t>
      </w:r>
    </w:p>
    <w:p w14:paraId="6CB9C6E9" w14:textId="66700A7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Nesse sentido o egrégio TRIBUNAL DE JUSTIÇA DE MINAS GERAIS, no ponto:</w:t>
      </w:r>
    </w:p>
    <w:p w14:paraId="02B14FB4" w14:textId="7A33EB41" w:rsidR="00F16211" w:rsidRPr="00F16211" w:rsidRDefault="00F16211" w:rsidP="00F16211">
      <w:pPr>
        <w:ind w:right="-568"/>
        <w:jc w:val="both"/>
        <w:rPr>
          <w:rFonts w:ascii="Times New Roman" w:hAnsi="Times New Roman" w:cs="Times New Roman"/>
        </w:rPr>
      </w:pPr>
      <w:r>
        <w:rPr>
          <w:rFonts w:ascii="Times New Roman" w:hAnsi="Times New Roman" w:cs="Times New Roman"/>
        </w:rPr>
        <w:t>“</w:t>
      </w:r>
      <w:r w:rsidRPr="00F16211">
        <w:rPr>
          <w:rFonts w:ascii="Times New Roman" w:hAnsi="Times New Roman" w:cs="Times New Roman"/>
          <w:i/>
          <w:iCs/>
        </w:rPr>
        <w:t>AGRAVO DE INSTRUMENTO - MANDADO DE SEGURANÇA - PRELIMINARES - SUPRESSÃO DE INSTÂNCIA - PRINCÍPIO DO DUPLO GRAU DE JURISDIÇÃO - LAVRATURA DE ESCRITURA PÚBLICA - ALIENAÇÃO OU ONERAÇÃO DE BEM IMÓVEL - CERTIDÃO NEGATIVA DE DÉBITO.</w:t>
      </w:r>
      <w:r w:rsidRPr="00F16211">
        <w:rPr>
          <w:rFonts w:ascii="Times New Roman" w:hAnsi="Times New Roman" w:cs="Times New Roman"/>
          <w:i/>
          <w:iCs/>
        </w:rPr>
        <w:t xml:space="preserve"> </w:t>
      </w:r>
      <w:r w:rsidRPr="00F16211">
        <w:rPr>
          <w:rFonts w:ascii="Times New Roman" w:hAnsi="Times New Roman" w:cs="Times New Roman"/>
          <w:i/>
          <w:iCs/>
        </w:rPr>
        <w:t>As preliminares suscitadas em grau recursal, ainda não enfrentadas em primeira instância, encontram vedação em sua análise, sob pena de supressão de instância e ofensa ao duplo grau de jurisdição...</w:t>
      </w:r>
      <w:proofErr w:type="spellStart"/>
      <w:r w:rsidRPr="00F16211">
        <w:rPr>
          <w:rFonts w:ascii="Times New Roman" w:hAnsi="Times New Roman" w:cs="Times New Roman"/>
          <w:i/>
          <w:iCs/>
        </w:rPr>
        <w:t>omissis</w:t>
      </w:r>
      <w:proofErr w:type="spellEnd"/>
      <w:r w:rsidRPr="00F16211">
        <w:rPr>
          <w:rFonts w:ascii="Times New Roman" w:hAnsi="Times New Roman" w:cs="Times New Roman"/>
        </w:rPr>
        <w:t>...</w:t>
      </w:r>
      <w:r>
        <w:rPr>
          <w:rFonts w:ascii="Times New Roman" w:hAnsi="Times New Roman" w:cs="Times New Roman"/>
        </w:rPr>
        <w:t xml:space="preserve">” </w:t>
      </w:r>
      <w:r w:rsidRPr="00F16211">
        <w:rPr>
          <w:rFonts w:ascii="Times New Roman" w:hAnsi="Times New Roman" w:cs="Times New Roman"/>
        </w:rPr>
        <w:t xml:space="preserve">[TJMG, Agravo de Instrumento 1.0000.21.046886-4/001, Relatora Desembargadora Ângela de Lourdes Rodrigues, 8ª Câmara Cível, </w:t>
      </w:r>
      <w:proofErr w:type="spellStart"/>
      <w:r w:rsidRPr="00F16211">
        <w:rPr>
          <w:rFonts w:ascii="Times New Roman" w:hAnsi="Times New Roman" w:cs="Times New Roman"/>
        </w:rPr>
        <w:t>DJe</w:t>
      </w:r>
      <w:proofErr w:type="spellEnd"/>
      <w:r w:rsidRPr="00F16211">
        <w:rPr>
          <w:rFonts w:ascii="Times New Roman" w:hAnsi="Times New Roman" w:cs="Times New Roman"/>
        </w:rPr>
        <w:t xml:space="preserve"> 25.08.2021]</w:t>
      </w:r>
    </w:p>
    <w:p w14:paraId="51143CCD" w14:textId="34D51A0B"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Destarte, a própria agravante reconhece que não pretende rediscutir o valor da avaliação. A insurgência foi deslocada para a existência de outra penhora e de outro leilão sobre o mesmo imóvel, circunstância que, se reputada relevante, deveria ter sido objeto de provocação específica e decisão própria na origem.</w:t>
      </w:r>
    </w:p>
    <w:p w14:paraId="4DD67F99" w14:textId="6E54F488"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Bem por isso, haverá de ser acolhida a presente preliminar de não conhecimento desse capítulo constante no recurso de agravo de instrumento, sob pena de legitimar na hipótese vertente a supressão de instância e ofensa ao princípio do duplo grau de jurisdição.</w:t>
      </w:r>
    </w:p>
    <w:p w14:paraId="4FC9D304" w14:textId="4BA2501C"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t>III-</w:t>
      </w:r>
      <w:r w:rsidRPr="00F16211">
        <w:rPr>
          <w:rFonts w:ascii="Times New Roman" w:hAnsi="Times New Roman" w:cs="Times New Roman"/>
          <w:b/>
          <w:bCs/>
        </w:rPr>
        <w:t xml:space="preserve"> </w:t>
      </w:r>
      <w:r w:rsidRPr="00F16211">
        <w:rPr>
          <w:rFonts w:ascii="Times New Roman" w:hAnsi="Times New Roman" w:cs="Times New Roman"/>
          <w:b/>
          <w:bCs/>
        </w:rPr>
        <w:t>MÉRITO: DESPROVIMENTO DO AGRAVO DE INSTRUMENTO</w:t>
      </w:r>
    </w:p>
    <w:p w14:paraId="0CB110EE" w14:textId="77777777" w:rsidR="00F16211" w:rsidRPr="00F16211" w:rsidRDefault="00F16211" w:rsidP="00F16211">
      <w:pPr>
        <w:ind w:right="-568"/>
        <w:jc w:val="both"/>
        <w:rPr>
          <w:rFonts w:ascii="Times New Roman" w:hAnsi="Times New Roman" w:cs="Times New Roman"/>
          <w:b/>
          <w:bCs/>
        </w:rPr>
      </w:pPr>
      <w:r w:rsidRPr="00F16211">
        <w:rPr>
          <w:rFonts w:ascii="Times New Roman" w:hAnsi="Times New Roman" w:cs="Times New Roman"/>
          <w:b/>
          <w:bCs/>
        </w:rPr>
        <w:lastRenderedPageBreak/>
        <w:t>A PLURALIDADE DE CREDORES NÃO IMPEDE A ALIENAÇÃO JUDICIAL DE BEM PENHORADO, MAS APENAS IMPÕE A PRESERVAÇÃO DA PREFERÊNCIA SOBRE O PRODUTO DA ARREMATAÇÃO</w:t>
      </w:r>
    </w:p>
    <w:p w14:paraId="4B96A8A4" w14:textId="2CE82BD2"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Ultrapassada a premissa anterior de não conhecimento parcial do recurso, no mérito, haverá de ser negado provimento ao agravo de instrumento.</w:t>
      </w:r>
    </w:p>
    <w:p w14:paraId="717498B2" w14:textId="61E5F57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A premissa da recorrente é parcialmente correta apenas no ponto central de que a existência de outra penhora exige cautelas adicionais. A conclusão da parte adversa, porém, é equivocada, pois tais cautelas não acarretam a suspensão automática da hasta pública e do processo executivo.</w:t>
      </w:r>
    </w:p>
    <w:p w14:paraId="6ABB0339" w14:textId="4E07092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Como se sabe, a execução se realiza de acordo com o interesse do exequente, havendo expressa determinação legal sobre o instituto jurídico da preferência quando recair mais de uma penhora sobre o mesmo bem, </w:t>
      </w:r>
      <w:proofErr w:type="spellStart"/>
      <w:r w:rsidRPr="00F16211">
        <w:rPr>
          <w:rFonts w:ascii="Times New Roman" w:hAnsi="Times New Roman" w:cs="Times New Roman"/>
          <w:i/>
          <w:iCs/>
        </w:rPr>
        <w:t>ex</w:t>
      </w:r>
      <w:proofErr w:type="spellEnd"/>
      <w:r w:rsidRPr="00F16211">
        <w:rPr>
          <w:rFonts w:ascii="Times New Roman" w:hAnsi="Times New Roman" w:cs="Times New Roman"/>
          <w:i/>
          <w:iCs/>
        </w:rPr>
        <w:t xml:space="preserve"> vi legis</w:t>
      </w:r>
      <w:r w:rsidRPr="00F16211">
        <w:rPr>
          <w:rFonts w:ascii="Times New Roman" w:hAnsi="Times New Roman" w:cs="Times New Roman"/>
        </w:rPr>
        <w:t>:</w:t>
      </w:r>
    </w:p>
    <w:p w14:paraId="2041434C" w14:textId="2A390696"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CPC, art. 797. Ressalvado o caso de insolvência do devedor, em que tem lugar o concurso universal, realiza-se a execução no interesse do exequente que adquire, pela penhora, o direito de preferência sobre os bens penhorados.</w:t>
      </w:r>
    </w:p>
    <w:p w14:paraId="02BF87DD" w14:textId="77777777" w:rsidR="00F16211" w:rsidRPr="00F16211" w:rsidRDefault="00F16211" w:rsidP="00F16211">
      <w:pPr>
        <w:ind w:right="-568"/>
        <w:jc w:val="both"/>
        <w:rPr>
          <w:rFonts w:ascii="Times New Roman" w:hAnsi="Times New Roman" w:cs="Times New Roman"/>
        </w:rPr>
      </w:pPr>
      <w:r w:rsidRPr="00677A22">
        <w:rPr>
          <w:rFonts w:ascii="Times New Roman" w:hAnsi="Times New Roman" w:cs="Times New Roman"/>
          <w:i/>
          <w:iCs/>
        </w:rPr>
        <w:t>Parágrafo único. Recaindo mais de uma penhora sobre o mesmo bem, cada exequente conservará o seu título de preferência</w:t>
      </w:r>
      <w:r w:rsidRPr="00F16211">
        <w:rPr>
          <w:rFonts w:ascii="Times New Roman" w:hAnsi="Times New Roman" w:cs="Times New Roman"/>
        </w:rPr>
        <w:t>.</w:t>
      </w:r>
    </w:p>
    <w:p w14:paraId="1170848A" w14:textId="68BE61CF"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O aludido dispositivo tem evidente viés pragmático, não sendo possível uma interpretação elástica. Inexiste previsão legal de que a multiplicidade de constrições impede a alienação do bem; muito ao contrário, reconhece a possibilidade de mais de uma penhora sobre o mesmo bem e preserva a preferência de cada credor!</w:t>
      </w:r>
    </w:p>
    <w:p w14:paraId="2D3B8BEB" w14:textId="2AF32AD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Ora, realizadas a penhora e avaliação, o art. 875 do CPC</w:t>
      </w:r>
      <w:r w:rsidR="00677A22">
        <w:rPr>
          <w:rStyle w:val="Refdenotaderodap"/>
          <w:rFonts w:ascii="Times New Roman" w:hAnsi="Times New Roman" w:cs="Times New Roman"/>
        </w:rPr>
        <w:footnoteReference w:id="2"/>
      </w:r>
      <w:r w:rsidRPr="00F16211">
        <w:rPr>
          <w:rFonts w:ascii="Times New Roman" w:hAnsi="Times New Roman" w:cs="Times New Roman"/>
        </w:rPr>
        <w:t xml:space="preserve"> determina o início dos atos de expropriação do bem. A alienação judicial, por sua vez, é forma típica de expropriação, nos termos do art. 879, II do CPC</w:t>
      </w:r>
      <w:r w:rsidR="00677A22">
        <w:rPr>
          <w:rStyle w:val="Refdenotaderodap"/>
          <w:rFonts w:ascii="Times New Roman" w:hAnsi="Times New Roman" w:cs="Times New Roman"/>
        </w:rPr>
        <w:footnoteReference w:id="3"/>
      </w:r>
      <w:r w:rsidRPr="00F16211">
        <w:rPr>
          <w:rFonts w:ascii="Times New Roman" w:hAnsi="Times New Roman" w:cs="Times New Roman"/>
        </w:rPr>
        <w:t xml:space="preserve">. Também não se pode perder de vista o art. 901, </w:t>
      </w:r>
      <w:r w:rsidRPr="00677A22">
        <w:rPr>
          <w:rFonts w:ascii="Times New Roman" w:hAnsi="Times New Roman" w:cs="Times New Roman"/>
          <w:i/>
          <w:iCs/>
        </w:rPr>
        <w:t>caput</w:t>
      </w:r>
      <w:r w:rsidRPr="00F16211">
        <w:rPr>
          <w:rFonts w:ascii="Times New Roman" w:hAnsi="Times New Roman" w:cs="Times New Roman"/>
        </w:rPr>
        <w:t xml:space="preserve"> do CPC</w:t>
      </w:r>
      <w:r w:rsidR="008062A9">
        <w:rPr>
          <w:rStyle w:val="Refdenotaderodap"/>
          <w:rFonts w:ascii="Times New Roman" w:hAnsi="Times New Roman" w:cs="Times New Roman"/>
        </w:rPr>
        <w:footnoteReference w:id="4"/>
      </w:r>
      <w:r w:rsidRPr="00F16211">
        <w:rPr>
          <w:rFonts w:ascii="Times New Roman" w:hAnsi="Times New Roman" w:cs="Times New Roman"/>
        </w:rPr>
        <w:t xml:space="preserve">, segundo o qual o auto de arrematação pode abranger bem penhorado em mais de uma execução. </w:t>
      </w:r>
    </w:p>
    <w:p w14:paraId="492A4EFD" w14:textId="2AD99C4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Dessa maneira, a norma cogente é incompatível na inteireza com a tese suscitada pela agravante. Se a legislação processual admite a arrematação de bem constrito em mais de um processo, por óbvio a pluralidade de penhoras não pode ser tratada como óbice absoluto à hasta pública.</w:t>
      </w:r>
    </w:p>
    <w:p w14:paraId="6437597B" w14:textId="794E0F82"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A lógica procedimental para essa fase expropriatória é bastante diferente.</w:t>
      </w:r>
    </w:p>
    <w:p w14:paraId="1D66E2C4" w14:textId="6C8B1914"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lastRenderedPageBreak/>
        <w:t>O art. 886, VI do CPC</w:t>
      </w:r>
      <w:r w:rsidR="008062A9">
        <w:rPr>
          <w:rStyle w:val="Refdenotaderodap"/>
          <w:rFonts w:ascii="Times New Roman" w:hAnsi="Times New Roman" w:cs="Times New Roman"/>
        </w:rPr>
        <w:footnoteReference w:id="5"/>
      </w:r>
      <w:r w:rsidRPr="00F16211">
        <w:rPr>
          <w:rFonts w:ascii="Times New Roman" w:hAnsi="Times New Roman" w:cs="Times New Roman"/>
        </w:rPr>
        <w:t xml:space="preserve"> exige que o edital mencione a existência de eventuais ônus, recursos ou processos pendentes sobre os bens a serem leiloados; o art. 889, V do CPC</w:t>
      </w:r>
      <w:r w:rsidR="008062A9">
        <w:rPr>
          <w:rStyle w:val="Refdenotaderodap"/>
          <w:rFonts w:ascii="Times New Roman" w:hAnsi="Times New Roman" w:cs="Times New Roman"/>
        </w:rPr>
        <w:footnoteReference w:id="6"/>
      </w:r>
      <w:r w:rsidRPr="00F16211">
        <w:rPr>
          <w:rFonts w:ascii="Times New Roman" w:hAnsi="Times New Roman" w:cs="Times New Roman"/>
        </w:rPr>
        <w:t xml:space="preserve"> determina a ciência do credor com penhora anteriormente averbada, caso não seja parte na execução; e os </w:t>
      </w:r>
      <w:proofErr w:type="spellStart"/>
      <w:r w:rsidRPr="00F16211">
        <w:rPr>
          <w:rFonts w:ascii="Times New Roman" w:hAnsi="Times New Roman" w:cs="Times New Roman"/>
        </w:rPr>
        <w:t>arts</w:t>
      </w:r>
      <w:proofErr w:type="spellEnd"/>
      <w:r w:rsidRPr="00F16211">
        <w:rPr>
          <w:rFonts w:ascii="Times New Roman" w:hAnsi="Times New Roman" w:cs="Times New Roman"/>
        </w:rPr>
        <w:t>. 908 e 909 do CPC</w:t>
      </w:r>
      <w:r w:rsidR="008062A9">
        <w:rPr>
          <w:rStyle w:val="Refdenotaderodap"/>
          <w:rFonts w:ascii="Times New Roman" w:hAnsi="Times New Roman" w:cs="Times New Roman"/>
        </w:rPr>
        <w:footnoteReference w:id="7"/>
      </w:r>
      <w:r w:rsidRPr="00F16211">
        <w:rPr>
          <w:rFonts w:ascii="Times New Roman" w:hAnsi="Times New Roman" w:cs="Times New Roman"/>
        </w:rPr>
        <w:t xml:space="preserve"> disciplinam a distribuição do produto da alienação entre credores concorrentes, com observância da ordem de preferência e da anterioridade das penhoras, </w:t>
      </w:r>
      <w:r w:rsidRPr="00677A22">
        <w:rPr>
          <w:rFonts w:ascii="Times New Roman" w:hAnsi="Times New Roman" w:cs="Times New Roman"/>
          <w:i/>
          <w:iCs/>
        </w:rPr>
        <w:t xml:space="preserve">in </w:t>
      </w:r>
      <w:proofErr w:type="spellStart"/>
      <w:r w:rsidRPr="00677A22">
        <w:rPr>
          <w:rFonts w:ascii="Times New Roman" w:hAnsi="Times New Roman" w:cs="Times New Roman"/>
          <w:i/>
          <w:iCs/>
        </w:rPr>
        <w:t>verbis</w:t>
      </w:r>
      <w:proofErr w:type="spellEnd"/>
      <w:r w:rsidRPr="00F16211">
        <w:rPr>
          <w:rFonts w:ascii="Times New Roman" w:hAnsi="Times New Roman" w:cs="Times New Roman"/>
        </w:rPr>
        <w:t>:</w:t>
      </w:r>
    </w:p>
    <w:p w14:paraId="0F164389" w14:textId="77777777"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 xml:space="preserve">CPC, art. 886. O leilão será precedido de publicação de edital, que conterá:... </w:t>
      </w:r>
    </w:p>
    <w:p w14:paraId="2AF04025" w14:textId="094D218D"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 xml:space="preserve">VI- </w:t>
      </w:r>
      <w:proofErr w:type="gramStart"/>
      <w:r w:rsidRPr="00677A22">
        <w:rPr>
          <w:rFonts w:ascii="Times New Roman" w:hAnsi="Times New Roman" w:cs="Times New Roman"/>
          <w:i/>
          <w:iCs/>
        </w:rPr>
        <w:t>menção</w:t>
      </w:r>
      <w:proofErr w:type="gramEnd"/>
      <w:r w:rsidRPr="00677A22">
        <w:rPr>
          <w:rFonts w:ascii="Times New Roman" w:hAnsi="Times New Roman" w:cs="Times New Roman"/>
          <w:i/>
          <w:iCs/>
        </w:rPr>
        <w:t xml:space="preserve"> da existência de ônus, recurso ou processo pendente sobre os bens a serem leiloados.</w:t>
      </w:r>
    </w:p>
    <w:p w14:paraId="5DD998D7" w14:textId="77777777"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 xml:space="preserve">CPC, art. 889. Serão cientificados da alienação judicial, com pelo menos 5 (cinco) dias de antecedência:... </w:t>
      </w:r>
    </w:p>
    <w:p w14:paraId="6BCCD08D" w14:textId="29E08CB4"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 xml:space="preserve">V - </w:t>
      </w:r>
      <w:proofErr w:type="gramStart"/>
      <w:r w:rsidRPr="00677A22">
        <w:rPr>
          <w:rFonts w:ascii="Times New Roman" w:hAnsi="Times New Roman" w:cs="Times New Roman"/>
          <w:i/>
          <w:iCs/>
        </w:rPr>
        <w:t>o</w:t>
      </w:r>
      <w:proofErr w:type="gramEnd"/>
      <w:r w:rsidRPr="00677A22">
        <w:rPr>
          <w:rFonts w:ascii="Times New Roman" w:hAnsi="Times New Roman" w:cs="Times New Roman"/>
          <w:i/>
          <w:iCs/>
        </w:rPr>
        <w:t xml:space="preserve"> credor pignoratício, hipotecário, anticrético, fiduciário ou com penhora anteriormente averbada, quando a penhora recair sobre bens com tais gravames, caso não seja o credor, de qualquer modo, parte na execução;</w:t>
      </w:r>
    </w:p>
    <w:p w14:paraId="113B6F2D" w14:textId="5CCC6F8E"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 xml:space="preserve">CPC, art. 908. Havendo pluralidade de credores ou exequentes, o dinheiro lhes será distribuído e entregue consoante a ordem das respectivas preferências. §1º No caso de adjudicação ou alienação, os créditos que recaem sobre o bem, inclusive os de natureza </w:t>
      </w:r>
      <w:proofErr w:type="spellStart"/>
      <w:r w:rsidRPr="00677A22">
        <w:rPr>
          <w:rFonts w:ascii="Times New Roman" w:hAnsi="Times New Roman" w:cs="Times New Roman"/>
          <w:i/>
          <w:iCs/>
        </w:rPr>
        <w:t>propter</w:t>
      </w:r>
      <w:proofErr w:type="spellEnd"/>
      <w:r w:rsidRPr="00677A22">
        <w:rPr>
          <w:rFonts w:ascii="Times New Roman" w:hAnsi="Times New Roman" w:cs="Times New Roman"/>
          <w:i/>
          <w:iCs/>
        </w:rPr>
        <w:t xml:space="preserve"> rem, sub-rogam-se sobre o respectivo preço, observada a ordem de preferência. </w:t>
      </w:r>
    </w:p>
    <w:p w14:paraId="0CE4CCBC" w14:textId="6F0CE57A" w:rsidR="00F16211" w:rsidRPr="00677A22" w:rsidRDefault="00F16211" w:rsidP="00F16211">
      <w:pPr>
        <w:ind w:right="-568"/>
        <w:jc w:val="both"/>
        <w:rPr>
          <w:rFonts w:ascii="Times New Roman" w:hAnsi="Times New Roman" w:cs="Times New Roman"/>
          <w:i/>
          <w:iCs/>
        </w:rPr>
      </w:pPr>
      <w:r w:rsidRPr="00677A22">
        <w:rPr>
          <w:rFonts w:ascii="Times New Roman" w:hAnsi="Times New Roman" w:cs="Times New Roman"/>
          <w:i/>
          <w:iCs/>
        </w:rPr>
        <w:t>§2º Não havendo título legal à preferência, o dinheiro será distribuído entre os concorrentes, observando-se a anterioridade de cada penhora.</w:t>
      </w:r>
    </w:p>
    <w:p w14:paraId="408EFAA6" w14:textId="77777777" w:rsidR="00F16211" w:rsidRPr="00F16211" w:rsidRDefault="00F16211" w:rsidP="00F16211">
      <w:pPr>
        <w:ind w:right="-568"/>
        <w:jc w:val="both"/>
        <w:rPr>
          <w:rFonts w:ascii="Times New Roman" w:hAnsi="Times New Roman" w:cs="Times New Roman"/>
        </w:rPr>
      </w:pPr>
      <w:r w:rsidRPr="00677A22">
        <w:rPr>
          <w:rFonts w:ascii="Times New Roman" w:hAnsi="Times New Roman" w:cs="Times New Roman"/>
          <w:i/>
          <w:iCs/>
        </w:rPr>
        <w:t>CPC, art. 909. Os exequentes formularão as suas pretensões, que versarão unicamente sobre o direito de preferência e a anterioridade da penhora, e, apresentadas as razões, o juiz decidirá</w:t>
      </w:r>
      <w:r w:rsidRPr="00F16211">
        <w:rPr>
          <w:rFonts w:ascii="Times New Roman" w:hAnsi="Times New Roman" w:cs="Times New Roman"/>
        </w:rPr>
        <w:t>.</w:t>
      </w:r>
    </w:p>
    <w:p w14:paraId="569334F9" w14:textId="2682A15F"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Em vista disso, o sistema processual inadmite a suspensão automática da hasta pública pela simples notícia de múltiplas constrições. Ao contrário, estabelece uma ordem procedimental própria: realiza-se a alienação judicial com a publicidade exigida em lei; deposita-se o produto da arrematação em juízo; cientificam-se os interessados; preservam-se eventuais preferências; e, havendo conflito entre credores, instaura-se o concurso singular para posterior distribuição do preço conforme a gradação legal.</w:t>
      </w:r>
    </w:p>
    <w:p w14:paraId="64AFE6CF" w14:textId="7C757407"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Pois bem.</w:t>
      </w:r>
    </w:p>
    <w:p w14:paraId="06013C45" w14:textId="40F12B6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lastRenderedPageBreak/>
        <w:t>Na hipótese em testilha, a agravante lamentavelmente pretende inverter essa lógica, condicionando a própria realização da hasta pública à prévia e indefinida harmonização de todos os interesses concorrentes, procedimento contrário à razoável duração do processo e sem amparo legal.</w:t>
      </w:r>
    </w:p>
    <w:p w14:paraId="3B8DD93A" w14:textId="7F1BCA3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Há de trazer a lume o precedente importante adotado pela própria agravante, no qual decidido sobre a necessidade de observar o procedimento de arrematação do imóvel, distribuição do produto da alienação e instauração de incidente para apuração de preferência, quando houver pluralidade de credores:</w:t>
      </w:r>
    </w:p>
    <w:p w14:paraId="26EF57BE" w14:textId="23FD9A07" w:rsidR="00F16211" w:rsidRPr="00F16211" w:rsidRDefault="00677A22" w:rsidP="00F16211">
      <w:pPr>
        <w:ind w:right="-568"/>
        <w:jc w:val="both"/>
        <w:rPr>
          <w:rFonts w:ascii="Times New Roman" w:hAnsi="Times New Roman" w:cs="Times New Roman"/>
        </w:rPr>
      </w:pPr>
      <w:r>
        <w:rPr>
          <w:rFonts w:ascii="Times New Roman" w:hAnsi="Times New Roman" w:cs="Times New Roman"/>
        </w:rPr>
        <w:t>“</w:t>
      </w:r>
      <w:r w:rsidR="00F16211" w:rsidRPr="00677A22">
        <w:rPr>
          <w:rFonts w:ascii="Times New Roman" w:hAnsi="Times New Roman" w:cs="Times New Roman"/>
          <w:i/>
          <w:iCs/>
        </w:rPr>
        <w:t>AGRAVO DE INSTRUMENTO - PRELIMINAR SUSCITADA EM CONTRAMINUTA - ILEGITIMIDADE DA AGRAVANTE - REJEIÇÃO - CUMPRIMENTO DE SENTENÇA - ARREMATAÇÃO DO IMÓVEL PENHORADO - DISTRIBUIÇÃO DO PRODUTO DA ALIENAÇÃO - EXISTÊNCIA DE DIVERSAS PENHORAS E HIPOTECA - CONCURSOS DE CREDORES - INSTAURAÇÃO DE INCIDENTE PARA APURAÇÃO DA ORDEM DE PREFERÊNCIA - NECESSIDADE - INTELIGÊNCIA DOS ARTIGOS 908 E 909 DO CPC. Considerando que o crédito hipotecário foi cedido à Agravante, não há que se falar em ilegitimidade da cessionária</w:t>
      </w:r>
      <w:r w:rsidRPr="00677A22">
        <w:rPr>
          <w:rFonts w:ascii="Times New Roman" w:hAnsi="Times New Roman" w:cs="Times New Roman"/>
          <w:i/>
          <w:iCs/>
        </w:rPr>
        <w:t xml:space="preserve">. </w:t>
      </w:r>
      <w:r w:rsidR="00F16211" w:rsidRPr="00677A22">
        <w:rPr>
          <w:rFonts w:ascii="Times New Roman" w:hAnsi="Times New Roman" w:cs="Times New Roman"/>
          <w:i/>
          <w:iCs/>
        </w:rPr>
        <w:t>Incidindo mais de uma penhora sobre o bem arrematado e, diante da pluralidade de créditos, revela-se necessária a instauração de um incidente de concurso de credores a fim de estabelecer a ordem de preferência e realizar a distribuição do produto da alienação, consoante dispõe os artigos 908 e 909 do Código de Processo Civil</w:t>
      </w:r>
      <w:r w:rsidR="00F16211" w:rsidRPr="00F16211">
        <w:rPr>
          <w:rFonts w:ascii="Times New Roman" w:hAnsi="Times New Roman" w:cs="Times New Roman"/>
        </w:rPr>
        <w:t>.</w:t>
      </w:r>
      <w:r>
        <w:rPr>
          <w:rFonts w:ascii="Times New Roman" w:hAnsi="Times New Roman" w:cs="Times New Roman"/>
        </w:rPr>
        <w:t>”</w:t>
      </w:r>
      <w:r w:rsidR="00F16211" w:rsidRPr="00F16211">
        <w:rPr>
          <w:rFonts w:ascii="Times New Roman" w:hAnsi="Times New Roman" w:cs="Times New Roman"/>
        </w:rPr>
        <w:t xml:space="preserve"> [TJMG, Agravo de Instrumento n. 1.0000.21.257869-4/001, Relatora Desembargadora Mônica Libânio, 11ª Câmara Cível, </w:t>
      </w:r>
      <w:proofErr w:type="spellStart"/>
      <w:r w:rsidR="00F16211" w:rsidRPr="00F16211">
        <w:rPr>
          <w:rFonts w:ascii="Times New Roman" w:hAnsi="Times New Roman" w:cs="Times New Roman"/>
        </w:rPr>
        <w:t>DJe</w:t>
      </w:r>
      <w:proofErr w:type="spellEnd"/>
      <w:r w:rsidR="00F16211" w:rsidRPr="00F16211">
        <w:rPr>
          <w:rFonts w:ascii="Times New Roman" w:hAnsi="Times New Roman" w:cs="Times New Roman"/>
        </w:rPr>
        <w:t xml:space="preserve"> 04.05.2022]</w:t>
      </w:r>
    </w:p>
    <w:p w14:paraId="46CE4820" w14:textId="530AC8B9"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Ou seja, o precedente invocado pela própria recorrente acaba por confirmar a tese ora defendida: a existência de penhoras concorrentes sobre o mesmo bem não autoriza, por si só, a suspensão do leilão, mas impõe a preservação dos direitos de preferência sobre o produto arrecadado com a alienação.</w:t>
      </w:r>
      <w:r w:rsidRPr="00F16211">
        <w:rPr>
          <w:rFonts w:ascii="Times New Roman" w:hAnsi="Times New Roman" w:cs="Times New Roman"/>
        </w:rPr>
        <w:tab/>
      </w:r>
    </w:p>
    <w:p w14:paraId="296F080D" w14:textId="5FC3344D"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Essa orientação constitui álveo remansado e caudaloso no egrégio TRIBUNAL DE JUSTIÇA DE MINAS GERAIS, bastando conferir, v.g.: TJMG, Agravo de Instrumento n. 1.0000.25.370620-4/001, Relator Desembargador Octávio de Almeida Neves, 10ª Câmara Cível, </w:t>
      </w:r>
      <w:proofErr w:type="spellStart"/>
      <w:r w:rsidRPr="00F16211">
        <w:rPr>
          <w:rFonts w:ascii="Times New Roman" w:hAnsi="Times New Roman" w:cs="Times New Roman"/>
        </w:rPr>
        <w:t>DJe</w:t>
      </w:r>
      <w:proofErr w:type="spellEnd"/>
      <w:r w:rsidRPr="00F16211">
        <w:rPr>
          <w:rFonts w:ascii="Times New Roman" w:hAnsi="Times New Roman" w:cs="Times New Roman"/>
        </w:rPr>
        <w:t xml:space="preserve"> 30.03.2026; TJMG, Agravo de Instrumento n. 1.0000.25.164200-5/001, Relatora Desembargadora Mônica Libânio, 11ª Câmara Cível, </w:t>
      </w:r>
      <w:proofErr w:type="spellStart"/>
      <w:r w:rsidRPr="00F16211">
        <w:rPr>
          <w:rFonts w:ascii="Times New Roman" w:hAnsi="Times New Roman" w:cs="Times New Roman"/>
        </w:rPr>
        <w:t>DJe</w:t>
      </w:r>
      <w:proofErr w:type="spellEnd"/>
      <w:r w:rsidRPr="00F16211">
        <w:rPr>
          <w:rFonts w:ascii="Times New Roman" w:hAnsi="Times New Roman" w:cs="Times New Roman"/>
        </w:rPr>
        <w:t xml:space="preserve"> 11.02.2026; TJMG, Agravo de Instrumento n. 1.0000.21.094939-2/001, Relator Desembargador Domingos Coelho, 12ª Câmara Cível, </w:t>
      </w:r>
      <w:proofErr w:type="spellStart"/>
      <w:r w:rsidRPr="00F16211">
        <w:rPr>
          <w:rFonts w:ascii="Times New Roman" w:hAnsi="Times New Roman" w:cs="Times New Roman"/>
        </w:rPr>
        <w:t>DJe</w:t>
      </w:r>
      <w:proofErr w:type="spellEnd"/>
      <w:r w:rsidRPr="00F16211">
        <w:rPr>
          <w:rFonts w:ascii="Times New Roman" w:hAnsi="Times New Roman" w:cs="Times New Roman"/>
        </w:rPr>
        <w:t xml:space="preserve"> 15.10.2021.</w:t>
      </w:r>
    </w:p>
    <w:p w14:paraId="197B5A06" w14:textId="5EBA58AB"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Isso posto, necessário enfatizar que não se deve discutir no caso concreto a impossibilidade de realização do solene ato de alienação do bem penhorado, mas sim discutir a ordem de pagamento aos credores concorrentes do produto da alienação, razão pela qual haverá de ser desprovido o recurso por verdadeira ausência de amparo legal.</w:t>
      </w:r>
    </w:p>
    <w:p w14:paraId="2EDE6945" w14:textId="2DE88B23"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Por derradeiro, indubitável a necessidade de adoção de providências destinadas a preservar a regularidade do procedimento expropriatório acaso existam credores concorrentes, penhora anterior ou outro gravame juridicamente relevante.</w:t>
      </w:r>
    </w:p>
    <w:p w14:paraId="68D09727" w14:textId="4D2E9096"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lastRenderedPageBreak/>
        <w:t>Não se pode admitir, contudo, que providências específicas destinadas a conferir higidez ao procedimento expropriatório sejam convertidas em causa de paralisação indefinida da execução.</w:t>
      </w:r>
    </w:p>
    <w:p w14:paraId="2FFA840F" w14:textId="0E6DA04A"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 xml:space="preserve">Assim sendo, ad cautelam, preservando a segurança jurídica, caso se entenda necessária alguma medida complementar, sejam delimitadas tão somente aquelas previstas na legislação processual civil, relacionadas exaustivamente alhures [CPC, </w:t>
      </w:r>
      <w:proofErr w:type="spellStart"/>
      <w:r w:rsidRPr="00F16211">
        <w:rPr>
          <w:rFonts w:ascii="Times New Roman" w:hAnsi="Times New Roman" w:cs="Times New Roman"/>
        </w:rPr>
        <w:t>arts</w:t>
      </w:r>
      <w:proofErr w:type="spellEnd"/>
      <w:r w:rsidRPr="00F16211">
        <w:rPr>
          <w:rFonts w:ascii="Times New Roman" w:hAnsi="Times New Roman" w:cs="Times New Roman"/>
        </w:rPr>
        <w:t>. 886, VI, 889, V, 908 e 909].</w:t>
      </w:r>
    </w:p>
    <w:p w14:paraId="52E438D2" w14:textId="1DCDFE85" w:rsidR="00F16211" w:rsidRPr="00677A22" w:rsidRDefault="00F16211" w:rsidP="00F16211">
      <w:pPr>
        <w:ind w:right="-568"/>
        <w:jc w:val="both"/>
        <w:rPr>
          <w:rFonts w:ascii="Times New Roman" w:hAnsi="Times New Roman" w:cs="Times New Roman"/>
          <w:b/>
          <w:bCs/>
        </w:rPr>
      </w:pPr>
      <w:r w:rsidRPr="00677A22">
        <w:rPr>
          <w:rFonts w:ascii="Times New Roman" w:hAnsi="Times New Roman" w:cs="Times New Roman"/>
          <w:b/>
          <w:bCs/>
        </w:rPr>
        <w:t>IV-</w:t>
      </w:r>
      <w:r w:rsidR="00677A22" w:rsidRPr="00677A22">
        <w:rPr>
          <w:rFonts w:ascii="Times New Roman" w:hAnsi="Times New Roman" w:cs="Times New Roman"/>
          <w:b/>
          <w:bCs/>
        </w:rPr>
        <w:t xml:space="preserve"> </w:t>
      </w:r>
      <w:r w:rsidRPr="00677A22">
        <w:rPr>
          <w:rFonts w:ascii="Times New Roman" w:hAnsi="Times New Roman" w:cs="Times New Roman"/>
          <w:b/>
          <w:bCs/>
        </w:rPr>
        <w:t>PEDIDOS</w:t>
      </w:r>
    </w:p>
    <w:p w14:paraId="7B4D870A" w14:textId="4C283D2B" w:rsidR="00F16211" w:rsidRPr="00F16211" w:rsidRDefault="00F16211" w:rsidP="00F16211">
      <w:pPr>
        <w:ind w:right="-568"/>
        <w:jc w:val="both"/>
        <w:rPr>
          <w:rFonts w:ascii="Times New Roman" w:hAnsi="Times New Roman" w:cs="Times New Roman"/>
        </w:rPr>
      </w:pPr>
      <w:proofErr w:type="spellStart"/>
      <w:r w:rsidRPr="00677A22">
        <w:rPr>
          <w:rFonts w:ascii="Times New Roman" w:hAnsi="Times New Roman" w:cs="Times New Roman"/>
          <w:b/>
          <w:bCs/>
          <w:i/>
          <w:iCs/>
        </w:rPr>
        <w:t>Ex</w:t>
      </w:r>
      <w:proofErr w:type="spellEnd"/>
      <w:r w:rsidRPr="00677A22">
        <w:rPr>
          <w:rFonts w:ascii="Times New Roman" w:hAnsi="Times New Roman" w:cs="Times New Roman"/>
          <w:b/>
          <w:bCs/>
          <w:i/>
          <w:iCs/>
        </w:rPr>
        <w:t xml:space="preserve"> positis</w:t>
      </w:r>
      <w:r w:rsidRPr="00F16211">
        <w:rPr>
          <w:rFonts w:ascii="Times New Roman" w:hAnsi="Times New Roman" w:cs="Times New Roman"/>
        </w:rPr>
        <w:t>, a agravada requer:</w:t>
      </w:r>
    </w:p>
    <w:p w14:paraId="5A485756" w14:textId="10E7D0A8" w:rsidR="00F16211" w:rsidRPr="00F16211" w:rsidRDefault="00677A22" w:rsidP="00F16211">
      <w:pPr>
        <w:ind w:right="-568"/>
        <w:jc w:val="both"/>
        <w:rPr>
          <w:rFonts w:ascii="Times New Roman" w:hAnsi="Times New Roman" w:cs="Times New Roman"/>
        </w:rPr>
      </w:pPr>
      <w:r w:rsidRPr="00677A22">
        <w:rPr>
          <w:rFonts w:ascii="Times New Roman" w:hAnsi="Times New Roman" w:cs="Times New Roman"/>
        </w:rPr>
        <w:t>a)</w:t>
      </w:r>
      <w:r>
        <w:rPr>
          <w:rFonts w:ascii="Times New Roman" w:hAnsi="Times New Roman" w:cs="Times New Roman"/>
        </w:rPr>
        <w:t xml:space="preserve"> </w:t>
      </w:r>
      <w:proofErr w:type="spellStart"/>
      <w:r w:rsidR="00F16211" w:rsidRPr="00677A22">
        <w:rPr>
          <w:rFonts w:ascii="Times New Roman" w:hAnsi="Times New Roman" w:cs="Times New Roman"/>
        </w:rPr>
        <w:t>prefacialmente</w:t>
      </w:r>
      <w:proofErr w:type="spellEnd"/>
      <w:r w:rsidR="00F16211" w:rsidRPr="00677A22">
        <w:rPr>
          <w:rFonts w:ascii="Times New Roman" w:hAnsi="Times New Roman" w:cs="Times New Roman"/>
        </w:rPr>
        <w:t>, seja acolhida a preliminar de não conhecimento parcial do recurso, no capítulo em que pretende inaugurar discussão jurídica não enfrentada nem decidida na origem, sob pena de supressão de instância e ofensa ao duplo grau de jurisdição;</w:t>
      </w:r>
    </w:p>
    <w:p w14:paraId="79764FAF" w14:textId="7B32D5EB"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b)</w:t>
      </w:r>
      <w:r w:rsidR="00677A22">
        <w:rPr>
          <w:rFonts w:ascii="Times New Roman" w:hAnsi="Times New Roman" w:cs="Times New Roman"/>
        </w:rPr>
        <w:t xml:space="preserve"> </w:t>
      </w:r>
      <w:r w:rsidRPr="00F16211">
        <w:rPr>
          <w:rFonts w:ascii="Times New Roman" w:hAnsi="Times New Roman" w:cs="Times New Roman"/>
        </w:rPr>
        <w:t>superada a premissa anterior, seja negado provimento ao agravo de instrumento, mantendo-se incólume a r. decisão agravada, que apenas deu curso regular à fase expropriatória, com observância das cautelas legais aplicáveis;</w:t>
      </w:r>
    </w:p>
    <w:p w14:paraId="73E06B8D" w14:textId="2FD2CED2"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c)</w:t>
      </w:r>
      <w:r w:rsidR="00677A22">
        <w:rPr>
          <w:rFonts w:ascii="Times New Roman" w:hAnsi="Times New Roman" w:cs="Times New Roman"/>
        </w:rPr>
        <w:t xml:space="preserve"> </w:t>
      </w:r>
      <w:r w:rsidRPr="00F16211">
        <w:rPr>
          <w:rFonts w:ascii="Times New Roman" w:hAnsi="Times New Roman" w:cs="Times New Roman"/>
        </w:rPr>
        <w:t>seja revogada a anterior decisão de atribuição de efeito suspensivo pelas razões expostas, comunicando-se o d. juízo de origem para regular prosseguimento dos atos expropriatórios;</w:t>
      </w:r>
    </w:p>
    <w:p w14:paraId="026BF7A9" w14:textId="0D230FAF" w:rsidR="00F16211" w:rsidRPr="00F16211" w:rsidRDefault="00F16211" w:rsidP="00F16211">
      <w:pPr>
        <w:ind w:right="-568"/>
        <w:jc w:val="both"/>
        <w:rPr>
          <w:rFonts w:ascii="Times New Roman" w:hAnsi="Times New Roman" w:cs="Times New Roman"/>
        </w:rPr>
      </w:pPr>
      <w:r w:rsidRPr="00F16211">
        <w:rPr>
          <w:rFonts w:ascii="Times New Roman" w:hAnsi="Times New Roman" w:cs="Times New Roman"/>
        </w:rPr>
        <w:t>d)</w:t>
      </w:r>
      <w:r w:rsidR="00677A22">
        <w:rPr>
          <w:rFonts w:ascii="Times New Roman" w:hAnsi="Times New Roman" w:cs="Times New Roman"/>
        </w:rPr>
        <w:t xml:space="preserve"> </w:t>
      </w:r>
      <w:r w:rsidRPr="00F16211">
        <w:rPr>
          <w:rFonts w:ascii="Times New Roman" w:hAnsi="Times New Roman" w:cs="Times New Roman"/>
        </w:rPr>
        <w:t xml:space="preserve">subsidiariamente, caso V. Exas. entendam necessária cautela adicional, que eventual providência se limite à publicidade no edital, ciência de credores interessados, comunicação ao juízo da </w:t>
      </w:r>
      <w:r w:rsidR="00677A22">
        <w:rPr>
          <w:rFonts w:ascii="Times New Roman" w:hAnsi="Times New Roman" w:cs="Times New Roman"/>
        </w:rPr>
        <w:t>...</w:t>
      </w:r>
      <w:r w:rsidRPr="00F16211">
        <w:rPr>
          <w:rFonts w:ascii="Times New Roman" w:hAnsi="Times New Roman" w:cs="Times New Roman"/>
        </w:rPr>
        <w:t xml:space="preserve">ª Vara Cível de </w:t>
      </w:r>
      <w:r w:rsidR="00677A22">
        <w:rPr>
          <w:rFonts w:ascii="Times New Roman" w:hAnsi="Times New Roman" w:cs="Times New Roman"/>
        </w:rPr>
        <w:t>...</w:t>
      </w:r>
      <w:r w:rsidRPr="00F16211">
        <w:rPr>
          <w:rFonts w:ascii="Times New Roman" w:hAnsi="Times New Roman" w:cs="Times New Roman"/>
        </w:rPr>
        <w:t>, depósito/reserva do produto da alienação e posterior instauração de concurso singular de credores, se houver habilitação, sem suspensão ampla da hasta pública.</w:t>
      </w:r>
    </w:p>
    <w:p w14:paraId="0308D1FC" w14:textId="615F438E" w:rsidR="00F16211" w:rsidRPr="00F16211" w:rsidRDefault="00F16211" w:rsidP="00677A22">
      <w:pPr>
        <w:spacing w:after="0" w:line="240" w:lineRule="auto"/>
        <w:ind w:right="-567"/>
        <w:jc w:val="center"/>
        <w:rPr>
          <w:rFonts w:ascii="Times New Roman" w:hAnsi="Times New Roman" w:cs="Times New Roman"/>
        </w:rPr>
      </w:pPr>
      <w:r w:rsidRPr="00F16211">
        <w:rPr>
          <w:rFonts w:ascii="Times New Roman" w:hAnsi="Times New Roman" w:cs="Times New Roman"/>
        </w:rPr>
        <w:t>P</w:t>
      </w:r>
      <w:r w:rsidR="00677A22">
        <w:rPr>
          <w:rFonts w:ascii="Times New Roman" w:hAnsi="Times New Roman" w:cs="Times New Roman"/>
        </w:rPr>
        <w:t>ede</w:t>
      </w:r>
      <w:r w:rsidRPr="00F16211">
        <w:rPr>
          <w:rFonts w:ascii="Times New Roman" w:hAnsi="Times New Roman" w:cs="Times New Roman"/>
        </w:rPr>
        <w:t xml:space="preserve"> Deferimento.</w:t>
      </w:r>
    </w:p>
    <w:p w14:paraId="6D8682A8" w14:textId="07258857" w:rsidR="00F16211" w:rsidRDefault="00677A22" w:rsidP="00677A2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0DB76D8" w14:textId="2C33225E" w:rsidR="00677A22" w:rsidRPr="00F16211" w:rsidRDefault="00677A22" w:rsidP="00677A22">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677A22" w:rsidRPr="00F162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DE738" w14:textId="77777777" w:rsidR="000477B3" w:rsidRDefault="000477B3" w:rsidP="00F16211">
      <w:pPr>
        <w:spacing w:after="0" w:line="240" w:lineRule="auto"/>
      </w:pPr>
      <w:r>
        <w:separator/>
      </w:r>
    </w:p>
  </w:endnote>
  <w:endnote w:type="continuationSeparator" w:id="0">
    <w:p w14:paraId="6D784540" w14:textId="77777777" w:rsidR="000477B3" w:rsidRDefault="000477B3" w:rsidP="00F16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191E" w14:textId="77777777" w:rsidR="000477B3" w:rsidRDefault="000477B3" w:rsidP="00F16211">
      <w:pPr>
        <w:spacing w:after="0" w:line="240" w:lineRule="auto"/>
      </w:pPr>
      <w:r>
        <w:separator/>
      </w:r>
    </w:p>
  </w:footnote>
  <w:footnote w:type="continuationSeparator" w:id="0">
    <w:p w14:paraId="0F7D0718" w14:textId="77777777" w:rsidR="000477B3" w:rsidRDefault="000477B3" w:rsidP="00F16211">
      <w:pPr>
        <w:spacing w:after="0" w:line="240" w:lineRule="auto"/>
      </w:pPr>
      <w:r>
        <w:continuationSeparator/>
      </w:r>
    </w:p>
  </w:footnote>
  <w:footnote w:id="1">
    <w:p w14:paraId="4FE6D46D" w14:textId="306ECF89" w:rsidR="00677A22" w:rsidRPr="008062A9" w:rsidRDefault="00677A22"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CPC, art. 1.019, II.</w:t>
      </w:r>
    </w:p>
  </w:footnote>
  <w:footnote w:id="2">
    <w:p w14:paraId="74F4145D" w14:textId="577C12B0" w:rsidR="00677A22" w:rsidRPr="008062A9" w:rsidRDefault="00677A22"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CPC, art. 875. Realizadas a penhora e a avaliação, o juiz dará início aos atos de expropriação do bem.</w:t>
      </w:r>
    </w:p>
  </w:footnote>
  <w:footnote w:id="3">
    <w:p w14:paraId="60604BE3" w14:textId="4C638674" w:rsidR="00677A22" w:rsidRPr="008062A9" w:rsidRDefault="00677A22"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CPC, art. 879. A alienação far-se-</w:t>
      </w:r>
      <w:proofErr w:type="gramStart"/>
      <w:r w:rsidRPr="008062A9">
        <w:rPr>
          <w:rFonts w:ascii="Times New Roman" w:hAnsi="Times New Roman" w:cs="Times New Roman"/>
        </w:rPr>
        <w:t>á:...</w:t>
      </w:r>
      <w:proofErr w:type="gramEnd"/>
      <w:r w:rsidRPr="008062A9">
        <w:rPr>
          <w:rFonts w:ascii="Times New Roman" w:hAnsi="Times New Roman" w:cs="Times New Roman"/>
        </w:rPr>
        <w:t xml:space="preserve"> II - em leilão judicial eletrônico ou presencial.</w:t>
      </w:r>
    </w:p>
  </w:footnote>
  <w:footnote w:id="4">
    <w:p w14:paraId="4DBF9B80" w14:textId="5674A1AE" w:rsidR="008062A9" w:rsidRPr="008062A9" w:rsidRDefault="008062A9"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CPC, art. 901, caput. A arrematação constará de auto que será lavrado de imediato e poderá abranger bens penhorados em mais de uma execução, nele mencionadas as condições nas quais foi alienado o bem.</w:t>
      </w:r>
    </w:p>
  </w:footnote>
  <w:footnote w:id="5">
    <w:p w14:paraId="6F3AECCD" w14:textId="020A1B4C" w:rsidR="008062A9" w:rsidRPr="008062A9" w:rsidRDefault="008062A9"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 xml:space="preserve">CPC, art. 886. O leilão será precedido de publicação de edital, que </w:t>
      </w:r>
      <w:proofErr w:type="gramStart"/>
      <w:r w:rsidRPr="008062A9">
        <w:rPr>
          <w:rFonts w:ascii="Times New Roman" w:hAnsi="Times New Roman" w:cs="Times New Roman"/>
        </w:rPr>
        <w:t>conterá:...</w:t>
      </w:r>
      <w:proofErr w:type="gramEnd"/>
      <w:r w:rsidRPr="008062A9">
        <w:rPr>
          <w:rFonts w:ascii="Times New Roman" w:hAnsi="Times New Roman" w:cs="Times New Roman"/>
        </w:rPr>
        <w:t xml:space="preserve"> VI- menção da existência de ônus, recurso ou processo pendente sobre os bens a serem leiloados.</w:t>
      </w:r>
    </w:p>
  </w:footnote>
  <w:footnote w:id="6">
    <w:p w14:paraId="21C54013" w14:textId="6053FD66" w:rsidR="008062A9" w:rsidRPr="008062A9" w:rsidRDefault="008062A9"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 xml:space="preserve">CPC, art. 889. Serão cientificados da alienação judicial, com pelo menos 5 (cinco) dias de </w:t>
      </w:r>
      <w:proofErr w:type="gramStart"/>
      <w:r w:rsidRPr="008062A9">
        <w:rPr>
          <w:rFonts w:ascii="Times New Roman" w:hAnsi="Times New Roman" w:cs="Times New Roman"/>
        </w:rPr>
        <w:t>antecedência:...</w:t>
      </w:r>
      <w:proofErr w:type="gramEnd"/>
      <w:r w:rsidRPr="008062A9">
        <w:rPr>
          <w:rFonts w:ascii="Times New Roman" w:hAnsi="Times New Roman" w:cs="Times New Roman"/>
        </w:rPr>
        <w:t xml:space="preserve"> V - o credor pignoratício, hipotecário, anticrético, fiduciário ou com penhora anteriormente averbada, quando a penhora recair sobre bens com tais gravames, caso não seja o credor, de qualquer modo, parte na execução;</w:t>
      </w:r>
    </w:p>
  </w:footnote>
  <w:footnote w:id="7">
    <w:p w14:paraId="040857D0" w14:textId="77777777" w:rsidR="008062A9" w:rsidRPr="008062A9" w:rsidRDefault="008062A9" w:rsidP="008062A9">
      <w:pPr>
        <w:pStyle w:val="Textodenotaderodap"/>
        <w:ind w:right="-568"/>
        <w:jc w:val="both"/>
        <w:rPr>
          <w:rFonts w:ascii="Times New Roman" w:hAnsi="Times New Roman" w:cs="Times New Roman"/>
        </w:rPr>
      </w:pPr>
      <w:r w:rsidRPr="008062A9">
        <w:rPr>
          <w:rStyle w:val="Refdenotaderodap"/>
          <w:rFonts w:ascii="Times New Roman" w:hAnsi="Times New Roman" w:cs="Times New Roman"/>
        </w:rPr>
        <w:footnoteRef/>
      </w:r>
      <w:r w:rsidRPr="008062A9">
        <w:rPr>
          <w:rFonts w:ascii="Times New Roman" w:hAnsi="Times New Roman" w:cs="Times New Roman"/>
        </w:rPr>
        <w:t xml:space="preserve"> </w:t>
      </w:r>
      <w:r w:rsidRPr="008062A9">
        <w:rPr>
          <w:rFonts w:ascii="Times New Roman" w:hAnsi="Times New Roman" w:cs="Times New Roman"/>
        </w:rPr>
        <w:t xml:space="preserve">CPC, art. 908. Havendo pluralidade de credores ou exequentes, o dinheiro lhes será distribuído e entregue consoante a ordem das respectivas preferências. §1º No caso de adjudicação ou alienação, os créditos que recaem sobre o bem, inclusive os de natureza </w:t>
      </w:r>
      <w:proofErr w:type="spellStart"/>
      <w:r w:rsidRPr="008062A9">
        <w:rPr>
          <w:rFonts w:ascii="Times New Roman" w:hAnsi="Times New Roman" w:cs="Times New Roman"/>
        </w:rPr>
        <w:t>propter</w:t>
      </w:r>
      <w:proofErr w:type="spellEnd"/>
      <w:r w:rsidRPr="008062A9">
        <w:rPr>
          <w:rFonts w:ascii="Times New Roman" w:hAnsi="Times New Roman" w:cs="Times New Roman"/>
        </w:rPr>
        <w:t xml:space="preserve"> rem, sub-rogam-se sobre o respectivo preço, observada a ordem de preferência. §2º Não havendo título legal à preferência, o dinheiro será distribuído entre os concorrentes, observando-se a anterioridade de cada penhora.</w:t>
      </w:r>
    </w:p>
    <w:p w14:paraId="4F1D8859" w14:textId="77777777" w:rsidR="008062A9" w:rsidRPr="008062A9" w:rsidRDefault="008062A9" w:rsidP="008062A9">
      <w:pPr>
        <w:pStyle w:val="Textodenotaderodap"/>
        <w:ind w:right="-568"/>
        <w:jc w:val="both"/>
        <w:rPr>
          <w:rFonts w:ascii="Times New Roman" w:hAnsi="Times New Roman" w:cs="Times New Roman"/>
        </w:rPr>
      </w:pPr>
      <w:r w:rsidRPr="008062A9">
        <w:rPr>
          <w:rFonts w:ascii="Times New Roman" w:hAnsi="Times New Roman" w:cs="Times New Roman"/>
        </w:rPr>
        <w:t>CPC, art. 909. Os exequentes formularão as suas pretensões, que versarão unicamente sobre o direito de preferência e a anterioridade da penhora, e, apresentadas as razões, o juiz decidirá.</w:t>
      </w:r>
    </w:p>
    <w:p w14:paraId="2F4DF5AC" w14:textId="3B04AA9B" w:rsidR="008062A9" w:rsidRPr="008062A9" w:rsidRDefault="008062A9" w:rsidP="008062A9">
      <w:pPr>
        <w:pStyle w:val="Textodenotaderodap"/>
        <w:ind w:right="-568"/>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66791"/>
    <w:multiLevelType w:val="hybridMultilevel"/>
    <w:tmpl w:val="8B14F902"/>
    <w:lvl w:ilvl="0" w:tplc="47F03A5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E1D3B3F"/>
    <w:multiLevelType w:val="hybridMultilevel"/>
    <w:tmpl w:val="FD1824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43391431">
    <w:abstractNumId w:val="0"/>
  </w:num>
  <w:num w:numId="2" w16cid:durableId="976379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211"/>
    <w:rsid w:val="000477B3"/>
    <w:rsid w:val="002160CF"/>
    <w:rsid w:val="00677A22"/>
    <w:rsid w:val="008062A9"/>
    <w:rsid w:val="00F162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29013"/>
  <w15:chartTrackingRefBased/>
  <w15:docId w15:val="{01F108B3-5851-4315-8621-395D93CC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162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162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162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162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162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162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162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162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1621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1621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1621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1621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1621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1621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1621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1621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1621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16211"/>
    <w:rPr>
      <w:rFonts w:eastAsiaTheme="majorEastAsia" w:cstheme="majorBidi"/>
      <w:color w:val="272727" w:themeColor="text1" w:themeTint="D8"/>
    </w:rPr>
  </w:style>
  <w:style w:type="paragraph" w:styleId="Ttulo">
    <w:name w:val="Title"/>
    <w:basedOn w:val="Normal"/>
    <w:next w:val="Normal"/>
    <w:link w:val="TtuloChar"/>
    <w:uiPriority w:val="10"/>
    <w:qFormat/>
    <w:rsid w:val="00F16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162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1621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1621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16211"/>
    <w:pPr>
      <w:spacing w:before="160"/>
      <w:jc w:val="center"/>
    </w:pPr>
    <w:rPr>
      <w:i/>
      <w:iCs/>
      <w:color w:val="404040" w:themeColor="text1" w:themeTint="BF"/>
    </w:rPr>
  </w:style>
  <w:style w:type="character" w:customStyle="1" w:styleId="CitaoChar">
    <w:name w:val="Citação Char"/>
    <w:basedOn w:val="Fontepargpadro"/>
    <w:link w:val="Citao"/>
    <w:uiPriority w:val="29"/>
    <w:rsid w:val="00F16211"/>
    <w:rPr>
      <w:i/>
      <w:iCs/>
      <w:color w:val="404040" w:themeColor="text1" w:themeTint="BF"/>
    </w:rPr>
  </w:style>
  <w:style w:type="paragraph" w:styleId="PargrafodaLista">
    <w:name w:val="List Paragraph"/>
    <w:basedOn w:val="Normal"/>
    <w:uiPriority w:val="34"/>
    <w:qFormat/>
    <w:rsid w:val="00F16211"/>
    <w:pPr>
      <w:ind w:left="720"/>
      <w:contextualSpacing/>
    </w:pPr>
  </w:style>
  <w:style w:type="character" w:styleId="nfaseIntensa">
    <w:name w:val="Intense Emphasis"/>
    <w:basedOn w:val="Fontepargpadro"/>
    <w:uiPriority w:val="21"/>
    <w:qFormat/>
    <w:rsid w:val="00F16211"/>
    <w:rPr>
      <w:i/>
      <w:iCs/>
      <w:color w:val="2F5496" w:themeColor="accent1" w:themeShade="BF"/>
    </w:rPr>
  </w:style>
  <w:style w:type="paragraph" w:styleId="CitaoIntensa">
    <w:name w:val="Intense Quote"/>
    <w:basedOn w:val="Normal"/>
    <w:next w:val="Normal"/>
    <w:link w:val="CitaoIntensaChar"/>
    <w:uiPriority w:val="30"/>
    <w:qFormat/>
    <w:rsid w:val="00F162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16211"/>
    <w:rPr>
      <w:i/>
      <w:iCs/>
      <w:color w:val="2F5496" w:themeColor="accent1" w:themeShade="BF"/>
    </w:rPr>
  </w:style>
  <w:style w:type="character" w:styleId="RefernciaIntensa">
    <w:name w:val="Intense Reference"/>
    <w:basedOn w:val="Fontepargpadro"/>
    <w:uiPriority w:val="32"/>
    <w:qFormat/>
    <w:rsid w:val="00F16211"/>
    <w:rPr>
      <w:b/>
      <w:bCs/>
      <w:smallCaps/>
      <w:color w:val="2F5496" w:themeColor="accent1" w:themeShade="BF"/>
      <w:spacing w:val="5"/>
    </w:rPr>
  </w:style>
  <w:style w:type="paragraph" w:styleId="Textodenotaderodap">
    <w:name w:val="footnote text"/>
    <w:basedOn w:val="Normal"/>
    <w:link w:val="TextodenotaderodapChar"/>
    <w:uiPriority w:val="99"/>
    <w:unhideWhenUsed/>
    <w:rsid w:val="00677A22"/>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677A22"/>
    <w:rPr>
      <w:sz w:val="20"/>
      <w:szCs w:val="20"/>
    </w:rPr>
  </w:style>
  <w:style w:type="character" w:styleId="Refdenotaderodap">
    <w:name w:val="footnote reference"/>
    <w:basedOn w:val="Fontepargpadro"/>
    <w:uiPriority w:val="99"/>
    <w:semiHidden/>
    <w:unhideWhenUsed/>
    <w:rsid w:val="00677A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FC0E5-CA7D-40EF-9D37-FF343A434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2553</Words>
  <Characters>13789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2026-05-27T19:15:00Z</dcterms:created>
  <dcterms:modified xsi:type="dcterms:W3CDTF">2026-05-27T19:38:00Z</dcterms:modified>
</cp:coreProperties>
</file>