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E0F179" w14:textId="77777777" w:rsidR="007840D7" w:rsidRPr="007840D7" w:rsidRDefault="007840D7" w:rsidP="007840D7">
      <w:pPr>
        <w:spacing w:after="0" w:line="240" w:lineRule="auto"/>
        <w:ind w:right="-567"/>
        <w:jc w:val="center"/>
        <w:rPr>
          <w:rFonts w:ascii="Arial Black" w:hAnsi="Arial Black" w:cs="Times New Roman"/>
        </w:rPr>
      </w:pPr>
      <w:r w:rsidRPr="007840D7">
        <w:rPr>
          <w:rFonts w:ascii="Arial Black" w:hAnsi="Arial Black" w:cs="Times New Roman"/>
        </w:rPr>
        <w:t>MODELO DE PETIÇÃO</w:t>
      </w:r>
    </w:p>
    <w:p w14:paraId="1737B65A" w14:textId="7FD46B4A" w:rsidR="007840D7" w:rsidRPr="007840D7" w:rsidRDefault="007840D7" w:rsidP="007840D7">
      <w:pPr>
        <w:spacing w:after="0" w:line="240" w:lineRule="auto"/>
        <w:ind w:right="-567"/>
        <w:jc w:val="center"/>
        <w:rPr>
          <w:rFonts w:ascii="Arial Black" w:hAnsi="Arial Black" w:cs="Times New Roman"/>
        </w:rPr>
      </w:pPr>
      <w:r w:rsidRPr="007840D7">
        <w:rPr>
          <w:rFonts w:ascii="Arial Black" w:hAnsi="Arial Black" w:cs="Times New Roman"/>
        </w:rPr>
        <w:t>PEDIDO CONTRAPOSTO. DESCABIMENTO. PROCEDIMENTO COMUM ORDINÁRIO.</w:t>
      </w:r>
      <w:r w:rsidRPr="007840D7">
        <w:rPr>
          <w:rFonts w:ascii="Arial Black" w:hAnsi="Arial Black" w:cs="Times New Roman"/>
        </w:rPr>
        <w:t xml:space="preserve"> </w:t>
      </w:r>
      <w:r w:rsidRPr="007840D7">
        <w:rPr>
          <w:rFonts w:ascii="Arial Black" w:hAnsi="Arial Black" w:cs="Times New Roman"/>
        </w:rPr>
        <w:t>MEIO PROCESSUAL CABÍVEL É A RECONVENÇÃO. ERRO GROSSEIRO.</w:t>
      </w:r>
      <w:r w:rsidRPr="007840D7">
        <w:rPr>
          <w:rFonts w:ascii="Arial Black" w:hAnsi="Arial Black" w:cs="Times New Roman"/>
        </w:rPr>
        <w:t xml:space="preserve"> </w:t>
      </w:r>
      <w:r w:rsidRPr="007840D7">
        <w:rPr>
          <w:rFonts w:ascii="Arial Black" w:hAnsi="Arial Black" w:cs="Times New Roman"/>
        </w:rPr>
        <w:t>NÃO CONHECIMENTO. CONTRARRAZÕES RECURSAIS.</w:t>
      </w:r>
    </w:p>
    <w:p w14:paraId="4F5B513E" w14:textId="77777777" w:rsidR="007840D7" w:rsidRPr="007840D7" w:rsidRDefault="007840D7" w:rsidP="007840D7">
      <w:pPr>
        <w:spacing w:after="0" w:line="240" w:lineRule="auto"/>
        <w:ind w:right="-567"/>
        <w:jc w:val="right"/>
        <w:rPr>
          <w:rFonts w:ascii="Arial Black" w:hAnsi="Arial Black" w:cs="Times New Roman"/>
        </w:rPr>
      </w:pPr>
      <w:r w:rsidRPr="007840D7">
        <w:rPr>
          <w:rFonts w:ascii="Arial Black" w:hAnsi="Arial Black" w:cs="Times New Roman"/>
        </w:rPr>
        <w:t>Rénan Kfuri Lopes</w:t>
      </w:r>
    </w:p>
    <w:p w14:paraId="65565EF0" w14:textId="77777777" w:rsidR="007840D7" w:rsidRPr="007840D7" w:rsidRDefault="007840D7" w:rsidP="007840D7">
      <w:pPr>
        <w:ind w:right="-568"/>
        <w:jc w:val="both"/>
        <w:rPr>
          <w:rFonts w:ascii="Times New Roman" w:hAnsi="Times New Roman" w:cs="Times New Roman"/>
        </w:rPr>
      </w:pPr>
    </w:p>
    <w:p w14:paraId="497C3E91" w14:textId="77777777" w:rsidR="007840D7" w:rsidRDefault="007840D7" w:rsidP="007840D7">
      <w:pPr>
        <w:ind w:right="-568"/>
        <w:jc w:val="both"/>
        <w:rPr>
          <w:rFonts w:ascii="Times New Roman" w:hAnsi="Times New Roman" w:cs="Times New Roman"/>
        </w:rPr>
      </w:pPr>
      <w:r w:rsidRPr="007840D7">
        <w:rPr>
          <w:rFonts w:ascii="Times New Roman" w:hAnsi="Times New Roman" w:cs="Times New Roman"/>
        </w:rPr>
        <w:t>E</w:t>
      </w:r>
      <w:r>
        <w:rPr>
          <w:rFonts w:ascii="Times New Roman" w:hAnsi="Times New Roman" w:cs="Times New Roman"/>
        </w:rPr>
        <w:t>xmo. Sr. Juiz de Direito da ... Vara Cível da Comarca de ...</w:t>
      </w:r>
    </w:p>
    <w:p w14:paraId="25212EB0" w14:textId="2F52393B"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E-</w:t>
      </w:r>
      <w:proofErr w:type="spellStart"/>
      <w:proofErr w:type="gramStart"/>
      <w:r w:rsidRPr="007840D7">
        <w:rPr>
          <w:rFonts w:ascii="Times New Roman" w:hAnsi="Times New Roman" w:cs="Times New Roman"/>
        </w:rPr>
        <w:t>proc</w:t>
      </w:r>
      <w:proofErr w:type="spellEnd"/>
      <w:r w:rsidRPr="007840D7">
        <w:rPr>
          <w:rFonts w:ascii="Times New Roman" w:hAnsi="Times New Roman" w:cs="Times New Roman"/>
        </w:rPr>
        <w:t xml:space="preserve">  </w:t>
      </w:r>
      <w:r>
        <w:rPr>
          <w:rFonts w:ascii="Times New Roman" w:hAnsi="Times New Roman" w:cs="Times New Roman"/>
        </w:rPr>
        <w:t>...</w:t>
      </w:r>
      <w:proofErr w:type="gramEnd"/>
    </w:p>
    <w:p w14:paraId="3627AE79" w14:textId="4FA1040F" w:rsidR="007840D7" w:rsidRPr="007840D7" w:rsidRDefault="007840D7" w:rsidP="007840D7">
      <w:pPr>
        <w:ind w:right="-568"/>
        <w:jc w:val="both"/>
        <w:rPr>
          <w:rFonts w:ascii="Times New Roman" w:hAnsi="Times New Roman" w:cs="Times New Roman"/>
        </w:rPr>
      </w:pPr>
      <w:r>
        <w:rPr>
          <w:rFonts w:ascii="Times New Roman" w:hAnsi="Times New Roman" w:cs="Times New Roman"/>
        </w:rPr>
        <w:t>(nome)</w:t>
      </w:r>
      <w:r w:rsidRPr="007840D7">
        <w:rPr>
          <w:rFonts w:ascii="Times New Roman" w:hAnsi="Times New Roman" w:cs="Times New Roman"/>
        </w:rPr>
        <w:t xml:space="preserve"> e ESPÓLIO DE </w:t>
      </w:r>
      <w:r>
        <w:rPr>
          <w:rFonts w:ascii="Times New Roman" w:hAnsi="Times New Roman" w:cs="Times New Roman"/>
        </w:rPr>
        <w:t>...</w:t>
      </w:r>
      <w:r w:rsidRPr="007840D7">
        <w:rPr>
          <w:rFonts w:ascii="Times New Roman" w:hAnsi="Times New Roman" w:cs="Times New Roman"/>
        </w:rPr>
        <w:t xml:space="preserve">, apelados, ambos já qualificados, pelo comum advogado </w:t>
      </w:r>
      <w:r w:rsidRPr="007840D7">
        <w:rPr>
          <w:rFonts w:ascii="Times New Roman" w:hAnsi="Times New Roman" w:cs="Times New Roman"/>
          <w:i/>
          <w:iCs/>
        </w:rPr>
        <w:t>in fine</w:t>
      </w:r>
      <w:r w:rsidRPr="007840D7">
        <w:rPr>
          <w:rFonts w:ascii="Times New Roman" w:hAnsi="Times New Roman" w:cs="Times New Roman"/>
        </w:rPr>
        <w:t xml:space="preserve"> assinado, nos autos epigrafados que contendem contra </w:t>
      </w:r>
      <w:r>
        <w:rPr>
          <w:rFonts w:ascii="Times New Roman" w:hAnsi="Times New Roman" w:cs="Times New Roman"/>
        </w:rPr>
        <w:t>...</w:t>
      </w:r>
      <w:r w:rsidRPr="007840D7">
        <w:rPr>
          <w:rFonts w:ascii="Times New Roman" w:hAnsi="Times New Roman" w:cs="Times New Roman"/>
        </w:rPr>
        <w:t>, apelante, vêm, respeitosamente, apresentar CONTRARRAZÕES RECURSAIS, pelas razões de direito adiante articuladas.</w:t>
      </w:r>
    </w:p>
    <w:p w14:paraId="4873D9A3" w14:textId="078AD4A9" w:rsidR="007840D7" w:rsidRPr="007840D7" w:rsidRDefault="007840D7" w:rsidP="007840D7">
      <w:pPr>
        <w:ind w:right="-568"/>
        <w:jc w:val="both"/>
        <w:rPr>
          <w:rFonts w:ascii="Times New Roman" w:hAnsi="Times New Roman" w:cs="Times New Roman"/>
          <w:b/>
          <w:bCs/>
        </w:rPr>
      </w:pPr>
      <w:r w:rsidRPr="007840D7">
        <w:rPr>
          <w:rFonts w:ascii="Times New Roman" w:hAnsi="Times New Roman" w:cs="Times New Roman"/>
          <w:b/>
          <w:bCs/>
        </w:rPr>
        <w:t xml:space="preserve">I- </w:t>
      </w:r>
      <w:r w:rsidRPr="007840D7">
        <w:rPr>
          <w:rFonts w:ascii="Times New Roman" w:hAnsi="Times New Roman" w:cs="Times New Roman"/>
          <w:b/>
          <w:bCs/>
        </w:rPr>
        <w:t>BREVE ESCORÇO</w:t>
      </w:r>
    </w:p>
    <w:p w14:paraId="1F711038" w14:textId="77777777"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b/>
          <w:bCs/>
        </w:rPr>
        <w:t>A INICIAL</w:t>
      </w:r>
      <w:r w:rsidRPr="007840D7">
        <w:rPr>
          <w:rFonts w:ascii="Times New Roman" w:hAnsi="Times New Roman" w:cs="Times New Roman"/>
        </w:rPr>
        <w:tab/>
      </w:r>
    </w:p>
    <w:p w14:paraId="4F87EB31" w14:textId="7C5AD3B0"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Trata-se de uma “</w:t>
      </w:r>
      <w:r w:rsidRPr="007840D7">
        <w:rPr>
          <w:rFonts w:ascii="Times New Roman" w:hAnsi="Times New Roman" w:cs="Times New Roman"/>
          <w:i/>
          <w:iCs/>
        </w:rPr>
        <w:t>Ação Anulatória de Negócio Jurídico</w:t>
      </w:r>
      <w:r w:rsidRPr="007840D7">
        <w:rPr>
          <w:rFonts w:ascii="Times New Roman" w:hAnsi="Times New Roman" w:cs="Times New Roman"/>
        </w:rPr>
        <w:t>” promovida pelos apelados contra o apelante, objetivando a declaração de nulidade do “</w:t>
      </w:r>
      <w:r w:rsidRPr="007840D7">
        <w:rPr>
          <w:rFonts w:ascii="Times New Roman" w:hAnsi="Times New Roman" w:cs="Times New Roman"/>
          <w:i/>
          <w:iCs/>
        </w:rPr>
        <w:t>Instrumento de Autocomposição Extrajudicial de Conflitos ´Sub Judice´</w:t>
      </w:r>
      <w:r w:rsidRPr="007840D7">
        <w:rPr>
          <w:rFonts w:ascii="Times New Roman" w:hAnsi="Times New Roman" w:cs="Times New Roman"/>
        </w:rPr>
        <w:t xml:space="preserve">” firmado em </w:t>
      </w:r>
      <w:r>
        <w:rPr>
          <w:rFonts w:ascii="Times New Roman" w:hAnsi="Times New Roman" w:cs="Times New Roman"/>
        </w:rPr>
        <w:t>...</w:t>
      </w:r>
      <w:r w:rsidRPr="007840D7">
        <w:rPr>
          <w:rFonts w:ascii="Times New Roman" w:hAnsi="Times New Roman" w:cs="Times New Roman"/>
        </w:rPr>
        <w:t xml:space="preserve"> e homologado judicialmente, que envolveu a dação em pagamento de imóveis rurais das matrículas números </w:t>
      </w:r>
      <w:r>
        <w:rPr>
          <w:rFonts w:ascii="Times New Roman" w:hAnsi="Times New Roman" w:cs="Times New Roman"/>
        </w:rPr>
        <w:t>...</w:t>
      </w:r>
      <w:r w:rsidRPr="007840D7">
        <w:rPr>
          <w:rFonts w:ascii="Times New Roman" w:hAnsi="Times New Roman" w:cs="Times New Roman"/>
        </w:rPr>
        <w:t xml:space="preserve">, </w:t>
      </w:r>
      <w:r>
        <w:rPr>
          <w:rFonts w:ascii="Times New Roman" w:hAnsi="Times New Roman" w:cs="Times New Roman"/>
        </w:rPr>
        <w:t>...</w:t>
      </w:r>
      <w:r w:rsidRPr="007840D7">
        <w:rPr>
          <w:rFonts w:ascii="Times New Roman" w:hAnsi="Times New Roman" w:cs="Times New Roman"/>
        </w:rPr>
        <w:t xml:space="preserve">, </w:t>
      </w:r>
      <w:r>
        <w:rPr>
          <w:rFonts w:ascii="Times New Roman" w:hAnsi="Times New Roman" w:cs="Times New Roman"/>
        </w:rPr>
        <w:t>...</w:t>
      </w:r>
      <w:r w:rsidRPr="007840D7">
        <w:rPr>
          <w:rFonts w:ascii="Times New Roman" w:hAnsi="Times New Roman" w:cs="Times New Roman"/>
        </w:rPr>
        <w:t xml:space="preserve"> e </w:t>
      </w:r>
      <w:r>
        <w:rPr>
          <w:rFonts w:ascii="Times New Roman" w:hAnsi="Times New Roman" w:cs="Times New Roman"/>
        </w:rPr>
        <w:t>...</w:t>
      </w:r>
      <w:r w:rsidRPr="007840D7">
        <w:rPr>
          <w:rFonts w:ascii="Times New Roman" w:hAnsi="Times New Roman" w:cs="Times New Roman"/>
        </w:rPr>
        <w:t xml:space="preserve">, todos do Cartório de Registro de Imóveis de </w:t>
      </w:r>
      <w:r>
        <w:rPr>
          <w:rFonts w:ascii="Times New Roman" w:hAnsi="Times New Roman" w:cs="Times New Roman"/>
        </w:rPr>
        <w:t>...</w:t>
      </w:r>
      <w:r w:rsidRPr="007840D7">
        <w:rPr>
          <w:rFonts w:ascii="Times New Roman" w:hAnsi="Times New Roman" w:cs="Times New Roman"/>
        </w:rPr>
        <w:t>, de propriedade da empresa autora/coapelada “</w:t>
      </w:r>
      <w:r>
        <w:rPr>
          <w:rFonts w:ascii="Times New Roman" w:hAnsi="Times New Roman" w:cs="Times New Roman"/>
        </w:rPr>
        <w:t>...</w:t>
      </w:r>
      <w:r w:rsidRPr="007840D7">
        <w:rPr>
          <w:rFonts w:ascii="Times New Roman" w:hAnsi="Times New Roman" w:cs="Times New Roman"/>
        </w:rPr>
        <w:t>” para quitação de supostos créditos do réu decorrente de uma ação de prestação de contas.</w:t>
      </w:r>
    </w:p>
    <w:p w14:paraId="0F70EBD4" w14:textId="34115FE5"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A presente ação anulatória visou obter o provimento jurisdicional para declarar e invalidar por flagrante nulidades o negócio jurídico da transação efetivada através do “</w:t>
      </w:r>
      <w:r w:rsidRPr="007840D7">
        <w:rPr>
          <w:rFonts w:ascii="Times New Roman" w:hAnsi="Times New Roman" w:cs="Times New Roman"/>
          <w:i/>
          <w:iCs/>
        </w:rPr>
        <w:t>Instrumento de Autocomposição Extrajudicial de Conflitos ‘Sub Judice’</w:t>
      </w:r>
      <w:r w:rsidRPr="007840D7">
        <w:rPr>
          <w:rFonts w:ascii="Times New Roman" w:hAnsi="Times New Roman" w:cs="Times New Roman"/>
        </w:rPr>
        <w:t>” que embasou a v. sentença homologatória, como faculta neste cenário o § 4º do art. 966 do CPC</w:t>
      </w:r>
      <w:r w:rsidR="00023503">
        <w:rPr>
          <w:rStyle w:val="Refdenotaderodap"/>
          <w:rFonts w:ascii="Times New Roman" w:hAnsi="Times New Roman" w:cs="Times New Roman"/>
        </w:rPr>
        <w:footnoteReference w:id="1"/>
      </w:r>
      <w:r w:rsidRPr="007840D7">
        <w:rPr>
          <w:rFonts w:ascii="Times New Roman" w:hAnsi="Times New Roman" w:cs="Times New Roman"/>
        </w:rPr>
        <w:t xml:space="preserve">.  </w:t>
      </w:r>
    </w:p>
    <w:p w14:paraId="5AB98E49" w14:textId="05A66E92"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Apontaram os autores/apelados que a “</w:t>
      </w:r>
      <w:r w:rsidRPr="007840D7">
        <w:rPr>
          <w:rFonts w:ascii="Times New Roman" w:hAnsi="Times New Roman" w:cs="Times New Roman"/>
          <w:i/>
          <w:iCs/>
        </w:rPr>
        <w:t>transação</w:t>
      </w:r>
      <w:r w:rsidRPr="007840D7">
        <w:rPr>
          <w:rFonts w:ascii="Times New Roman" w:hAnsi="Times New Roman" w:cs="Times New Roman"/>
        </w:rPr>
        <w:t>” de alienação dos referidos imóveis via “</w:t>
      </w:r>
      <w:r w:rsidRPr="007840D7">
        <w:rPr>
          <w:rFonts w:ascii="Times New Roman" w:hAnsi="Times New Roman" w:cs="Times New Roman"/>
          <w:i/>
          <w:iCs/>
        </w:rPr>
        <w:t>dação em pagamento</w:t>
      </w:r>
      <w:r w:rsidRPr="007840D7">
        <w:rPr>
          <w:rFonts w:ascii="Times New Roman" w:hAnsi="Times New Roman" w:cs="Times New Roman"/>
        </w:rPr>
        <w:t>” se deu de forma ilícita, viciada de insanável nulidade, pois realizada sem a autorização dos sócios da “</w:t>
      </w:r>
      <w:r>
        <w:rPr>
          <w:rFonts w:ascii="Times New Roman" w:hAnsi="Times New Roman" w:cs="Times New Roman"/>
        </w:rPr>
        <w:t>...</w:t>
      </w:r>
      <w:r w:rsidRPr="007840D7">
        <w:rPr>
          <w:rFonts w:ascii="Times New Roman" w:hAnsi="Times New Roman" w:cs="Times New Roman"/>
        </w:rPr>
        <w:t>” e sem prévia manifestação e autorização judicial do juízo sucessório, vez a maioria das quotas sociais da sociedade no percentual de “</w:t>
      </w:r>
      <w:r w:rsidRPr="007840D7">
        <w:rPr>
          <w:rFonts w:ascii="Times New Roman" w:hAnsi="Times New Roman" w:cs="Times New Roman"/>
          <w:i/>
          <w:iCs/>
        </w:rPr>
        <w:t>68,50% do capital social</w:t>
      </w:r>
      <w:r w:rsidRPr="007840D7">
        <w:rPr>
          <w:rFonts w:ascii="Times New Roman" w:hAnsi="Times New Roman" w:cs="Times New Roman"/>
        </w:rPr>
        <w:t xml:space="preserve">” são objeto do inventário judicial de </w:t>
      </w:r>
      <w:r>
        <w:rPr>
          <w:rFonts w:ascii="Times New Roman" w:hAnsi="Times New Roman" w:cs="Times New Roman"/>
        </w:rPr>
        <w:t xml:space="preserve">... </w:t>
      </w:r>
      <w:r w:rsidRPr="007840D7">
        <w:rPr>
          <w:rFonts w:ascii="Times New Roman" w:hAnsi="Times New Roman" w:cs="Times New Roman"/>
        </w:rPr>
        <w:t>Em miúdos.</w:t>
      </w:r>
    </w:p>
    <w:p w14:paraId="0D3398E4" w14:textId="42102D66"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O então administrador da “</w:t>
      </w:r>
      <w:r>
        <w:rPr>
          <w:rFonts w:ascii="Times New Roman" w:hAnsi="Times New Roman" w:cs="Times New Roman"/>
        </w:rPr>
        <w:t>...</w:t>
      </w:r>
      <w:r w:rsidRPr="007840D7">
        <w:rPr>
          <w:rFonts w:ascii="Times New Roman" w:hAnsi="Times New Roman" w:cs="Times New Roman"/>
        </w:rPr>
        <w:t>”, subscritor do aludido “</w:t>
      </w:r>
      <w:r w:rsidRPr="007840D7">
        <w:rPr>
          <w:rFonts w:ascii="Times New Roman" w:hAnsi="Times New Roman" w:cs="Times New Roman"/>
          <w:i/>
          <w:iCs/>
        </w:rPr>
        <w:t>Instrumento de Autocomposição Extrajudicial de Conflitos ´Sub Judice´</w:t>
      </w:r>
      <w:r w:rsidRPr="007840D7">
        <w:rPr>
          <w:rFonts w:ascii="Times New Roman" w:hAnsi="Times New Roman" w:cs="Times New Roman"/>
        </w:rPr>
        <w:t xml:space="preserve">” firmado em </w:t>
      </w:r>
      <w:r>
        <w:rPr>
          <w:rFonts w:ascii="Times New Roman" w:hAnsi="Times New Roman" w:cs="Times New Roman"/>
        </w:rPr>
        <w:t>...</w:t>
      </w:r>
      <w:r w:rsidRPr="007840D7">
        <w:rPr>
          <w:rFonts w:ascii="Times New Roman" w:hAnsi="Times New Roman" w:cs="Times New Roman"/>
        </w:rPr>
        <w:t>, de nome “</w:t>
      </w:r>
      <w:r>
        <w:rPr>
          <w:rFonts w:ascii="Times New Roman" w:hAnsi="Times New Roman" w:cs="Times New Roman"/>
        </w:rPr>
        <w:t>...</w:t>
      </w:r>
      <w:r w:rsidRPr="007840D7">
        <w:rPr>
          <w:rFonts w:ascii="Times New Roman" w:hAnsi="Times New Roman" w:cs="Times New Roman"/>
        </w:rPr>
        <w:t xml:space="preserve">” extrapolou dos poderes conferidos pelo contrato social vigente, que não lhe outorgava poderes para alienar referidos imóveis rurais que integravam o ativo imobilizado da sociedade cujo objeto social era distinto </w:t>
      </w:r>
      <w:r w:rsidRPr="007840D7">
        <w:rPr>
          <w:rFonts w:ascii="Times New Roman" w:hAnsi="Times New Roman" w:cs="Times New Roman"/>
        </w:rPr>
        <w:lastRenderedPageBreak/>
        <w:t xml:space="preserve">que não alienação de imóveis [Cláusulas 5ª e 10ª], sem prévia autorização da maioria dos sócios, </w:t>
      </w:r>
      <w:proofErr w:type="spellStart"/>
      <w:r w:rsidRPr="007840D7">
        <w:rPr>
          <w:rFonts w:ascii="Times New Roman" w:hAnsi="Times New Roman" w:cs="Times New Roman"/>
          <w:i/>
          <w:iCs/>
        </w:rPr>
        <w:t>ex</w:t>
      </w:r>
      <w:proofErr w:type="spellEnd"/>
      <w:r w:rsidRPr="007840D7">
        <w:rPr>
          <w:rFonts w:ascii="Times New Roman" w:hAnsi="Times New Roman" w:cs="Times New Roman"/>
          <w:i/>
          <w:iCs/>
        </w:rPr>
        <w:t xml:space="preserve"> vi</w:t>
      </w:r>
      <w:r w:rsidRPr="007840D7">
        <w:rPr>
          <w:rFonts w:ascii="Times New Roman" w:hAnsi="Times New Roman" w:cs="Times New Roman"/>
        </w:rPr>
        <w:t xml:space="preserve"> </w:t>
      </w:r>
      <w:proofErr w:type="spellStart"/>
      <w:r w:rsidRPr="007840D7">
        <w:rPr>
          <w:rFonts w:ascii="Times New Roman" w:hAnsi="Times New Roman" w:cs="Times New Roman"/>
        </w:rPr>
        <w:t>arts</w:t>
      </w:r>
      <w:proofErr w:type="spellEnd"/>
      <w:r w:rsidRPr="007840D7">
        <w:rPr>
          <w:rFonts w:ascii="Times New Roman" w:hAnsi="Times New Roman" w:cs="Times New Roman"/>
        </w:rPr>
        <w:t>. 113, 166 e 1.015 do Código Civil</w:t>
      </w:r>
      <w:r w:rsidR="00023503">
        <w:rPr>
          <w:rStyle w:val="Refdenotaderodap"/>
          <w:rFonts w:ascii="Times New Roman" w:hAnsi="Times New Roman" w:cs="Times New Roman"/>
        </w:rPr>
        <w:footnoteReference w:id="2"/>
      </w:r>
      <w:r w:rsidRPr="007840D7">
        <w:rPr>
          <w:rFonts w:ascii="Times New Roman" w:hAnsi="Times New Roman" w:cs="Times New Roman"/>
        </w:rPr>
        <w:t xml:space="preserve">.   </w:t>
      </w:r>
    </w:p>
    <w:p w14:paraId="4B63504D" w14:textId="2239D4C8"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E por integrarem esses bens alienados do ativo circulante da sociedade cuja maioria das quotas do capital social [68,5%] estavam sendo inventariadas, as suas alienações prescindiam de comunicação ao juízo sucessório para manifestação do Espólio e dos herdeiros, como prescreve, sob pena de nulidade, o art. 619, II do Código de Processo Civil e art. 1.793, § 3º do Código Civil</w:t>
      </w:r>
      <w:r w:rsidR="00023503">
        <w:rPr>
          <w:rStyle w:val="Refdenotaderodap"/>
          <w:rFonts w:ascii="Times New Roman" w:hAnsi="Times New Roman" w:cs="Times New Roman"/>
        </w:rPr>
        <w:footnoteReference w:id="3"/>
      </w:r>
      <w:r w:rsidRPr="007840D7">
        <w:rPr>
          <w:rFonts w:ascii="Times New Roman" w:hAnsi="Times New Roman" w:cs="Times New Roman"/>
        </w:rPr>
        <w:t xml:space="preserve">. </w:t>
      </w:r>
    </w:p>
    <w:p w14:paraId="6539F501" w14:textId="1DD0EF0F"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A guisa de ilustração em situação idêntica à </w:t>
      </w:r>
      <w:r w:rsidRPr="007840D7">
        <w:rPr>
          <w:rFonts w:ascii="Times New Roman" w:hAnsi="Times New Roman" w:cs="Times New Roman"/>
          <w:i/>
          <w:iCs/>
        </w:rPr>
        <w:t>sub examine</w:t>
      </w:r>
      <w:r w:rsidRPr="007840D7">
        <w:rPr>
          <w:rFonts w:ascii="Times New Roman" w:hAnsi="Times New Roman" w:cs="Times New Roman"/>
        </w:rPr>
        <w:t xml:space="preserve">, envolvendo os ora contendores noutro feito, juntou-se decisões da lavra do eminente Des. </w:t>
      </w:r>
      <w:r>
        <w:rPr>
          <w:rFonts w:ascii="Times New Roman" w:hAnsi="Times New Roman" w:cs="Times New Roman"/>
        </w:rPr>
        <w:t>...</w:t>
      </w:r>
      <w:r w:rsidRPr="007840D7">
        <w:rPr>
          <w:rFonts w:ascii="Times New Roman" w:hAnsi="Times New Roman" w:cs="Times New Roman"/>
        </w:rPr>
        <w:t xml:space="preserve">, </w:t>
      </w:r>
      <w:r>
        <w:rPr>
          <w:rFonts w:ascii="Times New Roman" w:hAnsi="Times New Roman" w:cs="Times New Roman"/>
        </w:rPr>
        <w:t>...</w:t>
      </w:r>
      <w:r w:rsidRPr="007840D7">
        <w:rPr>
          <w:rFonts w:ascii="Times New Roman" w:hAnsi="Times New Roman" w:cs="Times New Roman"/>
        </w:rPr>
        <w:t xml:space="preserve">ª Câmara de Direito Comercial, proferidas nas apelações </w:t>
      </w:r>
      <w:r>
        <w:rPr>
          <w:rFonts w:ascii="Times New Roman" w:hAnsi="Times New Roman" w:cs="Times New Roman"/>
        </w:rPr>
        <w:t>...</w:t>
      </w:r>
      <w:r w:rsidRPr="007840D7">
        <w:rPr>
          <w:rFonts w:ascii="Times New Roman" w:hAnsi="Times New Roman" w:cs="Times New Roman"/>
        </w:rPr>
        <w:t xml:space="preserve"> e </w:t>
      </w:r>
      <w:r>
        <w:rPr>
          <w:rFonts w:ascii="Times New Roman" w:hAnsi="Times New Roman" w:cs="Times New Roman"/>
        </w:rPr>
        <w:t>...</w:t>
      </w:r>
      <w:r w:rsidRPr="007840D7">
        <w:rPr>
          <w:rFonts w:ascii="Times New Roman" w:hAnsi="Times New Roman" w:cs="Times New Roman"/>
        </w:rPr>
        <w:t xml:space="preserve">, no sentido de que não se poderia dar em pagamento bens objeto da inventariança sem o prévio procedimento que exige manifestação dos herdeiros e só se perfectibiliza com posterior autorização judicial, </w:t>
      </w:r>
      <w:r w:rsidRPr="007840D7">
        <w:rPr>
          <w:rFonts w:ascii="Times New Roman" w:hAnsi="Times New Roman" w:cs="Times New Roman"/>
          <w:i/>
          <w:iCs/>
        </w:rPr>
        <w:t>in litteris</w:t>
      </w:r>
      <w:r w:rsidRPr="007840D7">
        <w:rPr>
          <w:rFonts w:ascii="Times New Roman" w:hAnsi="Times New Roman" w:cs="Times New Roman"/>
        </w:rPr>
        <w:t>:</w:t>
      </w:r>
    </w:p>
    <w:p w14:paraId="7B790266" w14:textId="165ED01C"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rPr>
        <w:t xml:space="preserve">“[...] </w:t>
      </w:r>
      <w:r w:rsidRPr="007840D7">
        <w:rPr>
          <w:rFonts w:ascii="Times New Roman" w:hAnsi="Times New Roman" w:cs="Times New Roman"/>
          <w:i/>
          <w:iCs/>
        </w:rPr>
        <w:t xml:space="preserve">Trata-se de apelação cível interposta por </w:t>
      </w:r>
      <w:r>
        <w:rPr>
          <w:rFonts w:ascii="Times New Roman" w:hAnsi="Times New Roman" w:cs="Times New Roman"/>
          <w:i/>
          <w:iCs/>
        </w:rPr>
        <w:t>...</w:t>
      </w:r>
      <w:r w:rsidRPr="007840D7">
        <w:rPr>
          <w:rFonts w:ascii="Times New Roman" w:hAnsi="Times New Roman" w:cs="Times New Roman"/>
          <w:i/>
          <w:iCs/>
        </w:rPr>
        <w:t xml:space="preserve"> contra a sentença, proferida pelo Juízo da </w:t>
      </w:r>
      <w:r>
        <w:rPr>
          <w:rFonts w:ascii="Times New Roman" w:hAnsi="Times New Roman" w:cs="Times New Roman"/>
          <w:i/>
          <w:iCs/>
        </w:rPr>
        <w:t>...</w:t>
      </w:r>
      <w:r w:rsidRPr="007840D7">
        <w:rPr>
          <w:rFonts w:ascii="Times New Roman" w:hAnsi="Times New Roman" w:cs="Times New Roman"/>
          <w:i/>
          <w:iCs/>
        </w:rPr>
        <w:t xml:space="preserve">ª Vara Cível da comarca de </w:t>
      </w:r>
      <w:r>
        <w:rPr>
          <w:rFonts w:ascii="Times New Roman" w:hAnsi="Times New Roman" w:cs="Times New Roman"/>
          <w:i/>
          <w:iCs/>
        </w:rPr>
        <w:t>...</w:t>
      </w:r>
      <w:r w:rsidRPr="007840D7">
        <w:rPr>
          <w:rFonts w:ascii="Times New Roman" w:hAnsi="Times New Roman" w:cs="Times New Roman"/>
          <w:i/>
          <w:iCs/>
        </w:rPr>
        <w:t xml:space="preserve"> (evento </w:t>
      </w:r>
      <w:r>
        <w:rPr>
          <w:rFonts w:ascii="Times New Roman" w:hAnsi="Times New Roman" w:cs="Times New Roman"/>
          <w:i/>
          <w:iCs/>
        </w:rPr>
        <w:t>...</w:t>
      </w:r>
      <w:r w:rsidRPr="007840D7">
        <w:rPr>
          <w:rFonts w:ascii="Times New Roman" w:hAnsi="Times New Roman" w:cs="Times New Roman"/>
          <w:i/>
          <w:iCs/>
        </w:rPr>
        <w:t xml:space="preserve">), que julgou procedentes os pedidos formulados na ação de prestação de contas proposta em face de </w:t>
      </w:r>
      <w:r>
        <w:rPr>
          <w:rFonts w:ascii="Times New Roman" w:hAnsi="Times New Roman" w:cs="Times New Roman"/>
          <w:i/>
          <w:iCs/>
        </w:rPr>
        <w:t>...</w:t>
      </w:r>
      <w:r w:rsidRPr="007840D7">
        <w:rPr>
          <w:rFonts w:ascii="Times New Roman" w:hAnsi="Times New Roman" w:cs="Times New Roman"/>
          <w:i/>
          <w:iCs/>
        </w:rPr>
        <w:t xml:space="preserve"> e </w:t>
      </w:r>
      <w:r>
        <w:rPr>
          <w:rFonts w:ascii="Times New Roman" w:hAnsi="Times New Roman" w:cs="Times New Roman"/>
          <w:i/>
          <w:iCs/>
        </w:rPr>
        <w:t>...</w:t>
      </w:r>
    </w:p>
    <w:p w14:paraId="6C5DF77E" w14:textId="0DDE336C"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 xml:space="preserve">Após a comunicação do óbito da apelada </w:t>
      </w:r>
      <w:r>
        <w:rPr>
          <w:rFonts w:ascii="Times New Roman" w:hAnsi="Times New Roman" w:cs="Times New Roman"/>
          <w:i/>
          <w:iCs/>
        </w:rPr>
        <w:t>...</w:t>
      </w:r>
      <w:r w:rsidRPr="007840D7">
        <w:rPr>
          <w:rFonts w:ascii="Times New Roman" w:hAnsi="Times New Roman" w:cs="Times New Roman"/>
          <w:i/>
          <w:iCs/>
        </w:rPr>
        <w:t xml:space="preserve"> (evento </w:t>
      </w:r>
      <w:r>
        <w:rPr>
          <w:rFonts w:ascii="Times New Roman" w:hAnsi="Times New Roman" w:cs="Times New Roman"/>
          <w:i/>
          <w:iCs/>
        </w:rPr>
        <w:t>...</w:t>
      </w:r>
      <w:r w:rsidRPr="007840D7">
        <w:rPr>
          <w:rFonts w:ascii="Times New Roman" w:hAnsi="Times New Roman" w:cs="Times New Roman"/>
          <w:i/>
          <w:iCs/>
        </w:rPr>
        <w:t xml:space="preserve">), o recorrente requereu a homologação de acordo transacionado junto ao inventariante compromissado nos autos de inventário sob n. </w:t>
      </w:r>
      <w:r>
        <w:rPr>
          <w:rFonts w:ascii="Times New Roman" w:hAnsi="Times New Roman" w:cs="Times New Roman"/>
          <w:i/>
          <w:iCs/>
        </w:rPr>
        <w:t>...</w:t>
      </w:r>
    </w:p>
    <w:p w14:paraId="6BEC811A" w14:textId="12215561"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 xml:space="preserve">Ato contínuo, as interessadas </w:t>
      </w:r>
      <w:r>
        <w:rPr>
          <w:rFonts w:ascii="Times New Roman" w:hAnsi="Times New Roman" w:cs="Times New Roman"/>
          <w:i/>
          <w:iCs/>
        </w:rPr>
        <w:t>...</w:t>
      </w:r>
      <w:r w:rsidRPr="007840D7">
        <w:rPr>
          <w:rFonts w:ascii="Times New Roman" w:hAnsi="Times New Roman" w:cs="Times New Roman"/>
          <w:i/>
          <w:iCs/>
        </w:rPr>
        <w:t xml:space="preserve"> e </w:t>
      </w:r>
      <w:r>
        <w:rPr>
          <w:rFonts w:ascii="Times New Roman" w:hAnsi="Times New Roman" w:cs="Times New Roman"/>
          <w:i/>
          <w:iCs/>
        </w:rPr>
        <w:t>...</w:t>
      </w:r>
      <w:r w:rsidRPr="007840D7">
        <w:rPr>
          <w:rFonts w:ascii="Times New Roman" w:hAnsi="Times New Roman" w:cs="Times New Roman"/>
          <w:i/>
          <w:iCs/>
        </w:rPr>
        <w:t xml:space="preserve"> se opuseram quanto ao pedido de homologação (evento </w:t>
      </w:r>
      <w:r>
        <w:rPr>
          <w:rFonts w:ascii="Times New Roman" w:hAnsi="Times New Roman" w:cs="Times New Roman"/>
          <w:i/>
          <w:iCs/>
        </w:rPr>
        <w:t>...</w:t>
      </w:r>
      <w:r w:rsidRPr="007840D7">
        <w:rPr>
          <w:rFonts w:ascii="Times New Roman" w:hAnsi="Times New Roman" w:cs="Times New Roman"/>
          <w:i/>
          <w:iCs/>
        </w:rPr>
        <w:t>), em que sustentam, em síntese, a ausência de autorização judicial e manifestação dos demais herdeiros sobre a composição. É o breve relato. Decido. [...]</w:t>
      </w:r>
    </w:p>
    <w:p w14:paraId="6B21A4AD" w14:textId="77777777"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E, de fato razão assiste às interessadas.</w:t>
      </w:r>
    </w:p>
    <w:p w14:paraId="04B75FC9" w14:textId="05587725"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 xml:space="preserve">Isso porque, entendo que o acordo entabulado entre o recorrente </w:t>
      </w:r>
      <w:r>
        <w:rPr>
          <w:rFonts w:ascii="Times New Roman" w:hAnsi="Times New Roman" w:cs="Times New Roman"/>
          <w:i/>
          <w:iCs/>
        </w:rPr>
        <w:t>...</w:t>
      </w:r>
      <w:r w:rsidRPr="007840D7">
        <w:rPr>
          <w:rFonts w:ascii="Times New Roman" w:hAnsi="Times New Roman" w:cs="Times New Roman"/>
          <w:i/>
          <w:iCs/>
        </w:rPr>
        <w:t xml:space="preserve"> e o inventariante não pode prosperar, afinal, este não pode transacionar com bens do espólio sem prévia autorização judicial e anuência de todos os herdeiros existentes na ação de inventário.</w:t>
      </w:r>
    </w:p>
    <w:p w14:paraId="09E25AE5" w14:textId="77777777"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A disposição constante do art. 992, II, do Código de Processo Civil é clara nesse sentido:</w:t>
      </w:r>
    </w:p>
    <w:p w14:paraId="4BC5B17F" w14:textId="77777777"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lastRenderedPageBreak/>
        <w:t>Art.992. Incumbe ainda ao inventariante, ouvidos s interessados e com autorização do juiz (...)</w:t>
      </w:r>
    </w:p>
    <w:p w14:paraId="7A3738B7" w14:textId="77777777"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 xml:space="preserve">II- </w:t>
      </w:r>
      <w:proofErr w:type="gramStart"/>
      <w:r w:rsidRPr="007840D7">
        <w:rPr>
          <w:rFonts w:ascii="Times New Roman" w:hAnsi="Times New Roman" w:cs="Times New Roman"/>
          <w:i/>
          <w:iCs/>
        </w:rPr>
        <w:t>transigir</w:t>
      </w:r>
      <w:proofErr w:type="gramEnd"/>
      <w:r w:rsidRPr="007840D7">
        <w:rPr>
          <w:rFonts w:ascii="Times New Roman" w:hAnsi="Times New Roman" w:cs="Times New Roman"/>
          <w:i/>
          <w:iCs/>
        </w:rPr>
        <w:t xml:space="preserve"> em juízo ou fora dele; (...)</w:t>
      </w:r>
    </w:p>
    <w:p w14:paraId="3387ADAE" w14:textId="77777777"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w:t>
      </w:r>
    </w:p>
    <w:p w14:paraId="771EC6F2" w14:textId="77777777"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 xml:space="preserve">Em comentário à </w:t>
      </w:r>
      <w:proofErr w:type="gramStart"/>
      <w:r w:rsidRPr="007840D7">
        <w:rPr>
          <w:rFonts w:ascii="Times New Roman" w:hAnsi="Times New Roman" w:cs="Times New Roman"/>
          <w:i/>
          <w:iCs/>
        </w:rPr>
        <w:t>normativa retro</w:t>
      </w:r>
      <w:proofErr w:type="gramEnd"/>
      <w:r w:rsidRPr="007840D7">
        <w:rPr>
          <w:rFonts w:ascii="Times New Roman" w:hAnsi="Times New Roman" w:cs="Times New Roman"/>
          <w:i/>
          <w:iCs/>
        </w:rPr>
        <w:t xml:space="preserve">, Luiz Guilherme Marinoni e Daniel </w:t>
      </w:r>
      <w:proofErr w:type="spellStart"/>
      <w:r w:rsidRPr="007840D7">
        <w:rPr>
          <w:rFonts w:ascii="Times New Roman" w:hAnsi="Times New Roman" w:cs="Times New Roman"/>
          <w:i/>
          <w:iCs/>
        </w:rPr>
        <w:t>Mitidiero</w:t>
      </w:r>
      <w:proofErr w:type="spellEnd"/>
      <w:r w:rsidRPr="007840D7">
        <w:rPr>
          <w:rFonts w:ascii="Times New Roman" w:hAnsi="Times New Roman" w:cs="Times New Roman"/>
          <w:i/>
          <w:iCs/>
        </w:rPr>
        <w:t xml:space="preserve"> lecionam que “(...) se qualquer dos atos mencionados no art. 992, CPC, é realizado sem a prévia oitiva dos interessados e sem a autorização do juiz, há a possibilidade de nulifica-los” (Código de Processo Civil comentado artigo por artigo. São Paulo: Revista dos Tribunais, 2008, p. 882).</w:t>
      </w:r>
    </w:p>
    <w:p w14:paraId="72C330D7" w14:textId="77777777"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E de forma ainda mais incisiva acerca da nulidade do acordo entabulado sem a observância de autorização legal, os doutrinadores de Nelson Nery Jr. e Rosa Maria de Andrade Nery lecionam:</w:t>
      </w:r>
    </w:p>
    <w:p w14:paraId="45359CEB" w14:textId="77777777"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Nulidade. O ato do inventariante que contraria este artigo é nulo, porque para execução deles o inventariante não está investido de poderes de representação, que só serão obtidos com autorização judicial. (Código de Processo Civil Comentado. 12ª ed. São Paulo: Revista dos Tribunais, 2012. p.1.430).</w:t>
      </w:r>
    </w:p>
    <w:p w14:paraId="34D1C41B" w14:textId="77777777"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i/>
          <w:iCs/>
        </w:rPr>
        <w:t>Do mesmo modo, registre-se que o art. 1.793, § 3º do Código Civil é explícito ao dispor que “(...) Ineficaz é a disposição, sem prévia autorização do juiz da sucessão, por qualquer herdeiro, de bem componente do acervo hereditário, pendente de indivisibilidade</w:t>
      </w:r>
      <w:r w:rsidRPr="007840D7">
        <w:rPr>
          <w:rFonts w:ascii="Times New Roman" w:hAnsi="Times New Roman" w:cs="Times New Roman"/>
        </w:rPr>
        <w:t>”.</w:t>
      </w:r>
    </w:p>
    <w:p w14:paraId="6E5D0663" w14:textId="17F258F4"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 xml:space="preserve">Ademais, vislumbra-se que o autor dos presentes autos de prestação de contas é filho/herdeiro da de cujus </w:t>
      </w:r>
      <w:r w:rsidRPr="007840D7">
        <w:rPr>
          <w:rFonts w:ascii="Times New Roman" w:hAnsi="Times New Roman" w:cs="Times New Roman"/>
          <w:i/>
          <w:iCs/>
        </w:rPr>
        <w:t>...</w:t>
      </w:r>
      <w:r w:rsidRPr="007840D7">
        <w:rPr>
          <w:rFonts w:ascii="Times New Roman" w:hAnsi="Times New Roman" w:cs="Times New Roman"/>
          <w:i/>
          <w:iCs/>
        </w:rPr>
        <w:t>, bem como não há nos autos indícios de que tenha havido pedido direcionado ao juízo da sucessão a fim de que fosse analisado, possibilitado e efetivado o acordo em discussão.</w:t>
      </w:r>
    </w:p>
    <w:p w14:paraId="0E365449" w14:textId="3BD9DC51" w:rsidR="007840D7" w:rsidRPr="007840D7" w:rsidRDefault="007840D7" w:rsidP="007840D7">
      <w:pPr>
        <w:ind w:right="-568"/>
        <w:jc w:val="both"/>
        <w:rPr>
          <w:rFonts w:ascii="Times New Roman" w:hAnsi="Times New Roman" w:cs="Times New Roman"/>
          <w:i/>
          <w:iCs/>
        </w:rPr>
      </w:pPr>
      <w:r w:rsidRPr="007840D7">
        <w:rPr>
          <w:rFonts w:ascii="Times New Roman" w:hAnsi="Times New Roman" w:cs="Times New Roman"/>
          <w:i/>
          <w:iCs/>
        </w:rPr>
        <w:t>Desse modo, a disposição patrimonial foge ao poder de mera administração do inventariante, e, como a transação em análise importa em ato de disposição de patrimônio, não há falar em homologação de acordo.</w:t>
      </w:r>
      <w:r>
        <w:rPr>
          <w:rFonts w:ascii="Times New Roman" w:hAnsi="Times New Roman" w:cs="Times New Roman"/>
          <w:i/>
          <w:iCs/>
        </w:rPr>
        <w:t>”</w:t>
      </w:r>
      <w:r w:rsidRPr="007840D7">
        <w:rPr>
          <w:rFonts w:ascii="Times New Roman" w:hAnsi="Times New Roman" w:cs="Times New Roman"/>
          <w:i/>
          <w:iCs/>
        </w:rPr>
        <w:t xml:space="preserve"> </w:t>
      </w:r>
    </w:p>
    <w:p w14:paraId="683C5590" w14:textId="3016D0FD"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Pediram os autores em sede de “</w:t>
      </w:r>
      <w:r w:rsidRPr="007840D7">
        <w:rPr>
          <w:rFonts w:ascii="Times New Roman" w:hAnsi="Times New Roman" w:cs="Times New Roman"/>
          <w:i/>
          <w:iCs/>
        </w:rPr>
        <w:t>Tutela Antecipada de Urgência</w:t>
      </w:r>
      <w:r w:rsidRPr="007840D7">
        <w:rPr>
          <w:rFonts w:ascii="Times New Roman" w:hAnsi="Times New Roman" w:cs="Times New Roman"/>
        </w:rPr>
        <w:t xml:space="preserve">” inaudita altera </w:t>
      </w:r>
      <w:proofErr w:type="spellStart"/>
      <w:r w:rsidRPr="007840D7">
        <w:rPr>
          <w:rFonts w:ascii="Times New Roman" w:hAnsi="Times New Roman" w:cs="Times New Roman"/>
        </w:rPr>
        <w:t>pars</w:t>
      </w:r>
      <w:proofErr w:type="spellEnd"/>
      <w:r w:rsidRPr="007840D7">
        <w:rPr>
          <w:rFonts w:ascii="Times New Roman" w:hAnsi="Times New Roman" w:cs="Times New Roman"/>
        </w:rPr>
        <w:t xml:space="preserve"> [CPC, </w:t>
      </w:r>
      <w:proofErr w:type="spellStart"/>
      <w:r w:rsidRPr="007840D7">
        <w:rPr>
          <w:rFonts w:ascii="Times New Roman" w:hAnsi="Times New Roman" w:cs="Times New Roman"/>
        </w:rPr>
        <w:t>arts</w:t>
      </w:r>
      <w:proofErr w:type="spellEnd"/>
      <w:r w:rsidRPr="007840D7">
        <w:rPr>
          <w:rFonts w:ascii="Times New Roman" w:hAnsi="Times New Roman" w:cs="Times New Roman"/>
        </w:rPr>
        <w:t>. 300 e seguintes] fossem averbadas nas matrículas transacionadas a existência da presente ação de nulidade, com o fito de proteger vindouros adquirentes de boa-fé e evitar eventual alegação de desconhecimento do litígio de terceiros.</w:t>
      </w:r>
    </w:p>
    <w:p w14:paraId="61A64A37" w14:textId="3E9D48B2"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No mérito a procedência da ação para decretar a nulidade do “</w:t>
      </w:r>
      <w:r w:rsidRPr="007840D7">
        <w:rPr>
          <w:rFonts w:ascii="Times New Roman" w:hAnsi="Times New Roman" w:cs="Times New Roman"/>
          <w:i/>
          <w:iCs/>
        </w:rPr>
        <w:t>INSTRUMENTO DE AUTOCOMPOSIÇÃO EXTRAJUDICIAL DE CONFLITOS ‘SUB JUDICE’</w:t>
      </w:r>
      <w:r w:rsidRPr="007840D7">
        <w:rPr>
          <w:rFonts w:ascii="Times New Roman" w:hAnsi="Times New Roman" w:cs="Times New Roman"/>
        </w:rPr>
        <w:t>” FIRMADO EM “</w:t>
      </w:r>
      <w:r>
        <w:rPr>
          <w:rFonts w:ascii="Times New Roman" w:hAnsi="Times New Roman" w:cs="Times New Roman"/>
        </w:rPr>
        <w:t>...</w:t>
      </w:r>
      <w:r w:rsidRPr="007840D7">
        <w:rPr>
          <w:rFonts w:ascii="Times New Roman" w:hAnsi="Times New Roman" w:cs="Times New Roman"/>
        </w:rPr>
        <w:t>”, condenando o réu ao pagamento das custas processuais e honorários advocatícios no percentual de 20% do valor da causa atualizado [CPC, art. 85, § 2º].</w:t>
      </w:r>
    </w:p>
    <w:p w14:paraId="26B5230C" w14:textId="57E031B9"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Foi deferida a tutela de urgência no evento </w:t>
      </w:r>
      <w:r>
        <w:rPr>
          <w:rFonts w:ascii="Times New Roman" w:hAnsi="Times New Roman" w:cs="Times New Roman"/>
        </w:rPr>
        <w:t>...</w:t>
      </w:r>
    </w:p>
    <w:p w14:paraId="0E0E380A" w14:textId="77777777" w:rsidR="007840D7" w:rsidRPr="007840D7" w:rsidRDefault="007840D7" w:rsidP="007840D7">
      <w:pPr>
        <w:ind w:right="-568"/>
        <w:jc w:val="both"/>
        <w:rPr>
          <w:rFonts w:ascii="Times New Roman" w:hAnsi="Times New Roman" w:cs="Times New Roman"/>
          <w:b/>
          <w:bCs/>
        </w:rPr>
      </w:pPr>
      <w:r w:rsidRPr="007840D7">
        <w:rPr>
          <w:rFonts w:ascii="Times New Roman" w:hAnsi="Times New Roman" w:cs="Times New Roman"/>
          <w:b/>
          <w:bCs/>
        </w:rPr>
        <w:t>A CONTESTAÇÃO</w:t>
      </w:r>
      <w:r w:rsidRPr="007840D7">
        <w:rPr>
          <w:rFonts w:ascii="Times New Roman" w:hAnsi="Times New Roman" w:cs="Times New Roman"/>
          <w:b/>
          <w:bCs/>
        </w:rPr>
        <w:tab/>
      </w:r>
    </w:p>
    <w:p w14:paraId="52887F58" w14:textId="5C37C322"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Regularmente citado o réu apresentou contestação no evento </w:t>
      </w:r>
      <w:r>
        <w:rPr>
          <w:rFonts w:ascii="Times New Roman" w:hAnsi="Times New Roman" w:cs="Times New Roman"/>
        </w:rPr>
        <w:t>...</w:t>
      </w:r>
      <w:r w:rsidRPr="007840D7">
        <w:rPr>
          <w:rFonts w:ascii="Times New Roman" w:hAnsi="Times New Roman" w:cs="Times New Roman"/>
        </w:rPr>
        <w:t xml:space="preserve"> arguindo preliminares de incompetência absoluta do juízo e ausência de interesse processual. No mérito, que a formalização do acordo foi realizada em contexto de busca de solução de créditos reclamados em diversas ações de prestação de contas. </w:t>
      </w:r>
    </w:p>
    <w:p w14:paraId="11CCA351" w14:textId="1A985128"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lastRenderedPageBreak/>
        <w:t>Ao final da peça, na parte dos pedidos, propugnou pelo acolhimento das preliminares, improcedência da ação e formulou um “</w:t>
      </w:r>
      <w:r w:rsidRPr="007840D7">
        <w:rPr>
          <w:rFonts w:ascii="Times New Roman" w:hAnsi="Times New Roman" w:cs="Times New Roman"/>
          <w:i/>
          <w:iCs/>
        </w:rPr>
        <w:t>pedido subsidiário</w:t>
      </w:r>
      <w:r w:rsidRPr="007840D7">
        <w:rPr>
          <w:rFonts w:ascii="Times New Roman" w:hAnsi="Times New Roman" w:cs="Times New Roman"/>
        </w:rPr>
        <w:t>” contraposto de indenização por benfeitorias que disse ter feito nos imóveis.</w:t>
      </w:r>
    </w:p>
    <w:p w14:paraId="72A20F9F" w14:textId="77777777" w:rsidR="007840D7" w:rsidRPr="007840D7" w:rsidRDefault="007840D7" w:rsidP="007840D7">
      <w:pPr>
        <w:ind w:right="-568"/>
        <w:jc w:val="both"/>
        <w:rPr>
          <w:rFonts w:ascii="Times New Roman" w:hAnsi="Times New Roman" w:cs="Times New Roman"/>
          <w:b/>
          <w:bCs/>
        </w:rPr>
      </w:pPr>
      <w:r w:rsidRPr="007840D7">
        <w:rPr>
          <w:rFonts w:ascii="Times New Roman" w:hAnsi="Times New Roman" w:cs="Times New Roman"/>
          <w:b/>
          <w:bCs/>
        </w:rPr>
        <w:t>A RÉPLICA</w:t>
      </w:r>
      <w:r w:rsidRPr="007840D7">
        <w:rPr>
          <w:rFonts w:ascii="Times New Roman" w:hAnsi="Times New Roman" w:cs="Times New Roman"/>
          <w:b/>
          <w:bCs/>
        </w:rPr>
        <w:tab/>
      </w:r>
    </w:p>
    <w:p w14:paraId="43770DA5" w14:textId="103013A0"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Os ora apelados apresentarem réplica no evento </w:t>
      </w:r>
      <w:r>
        <w:rPr>
          <w:rFonts w:ascii="Times New Roman" w:hAnsi="Times New Roman" w:cs="Times New Roman"/>
        </w:rPr>
        <w:t>...</w:t>
      </w:r>
      <w:r w:rsidRPr="007840D7">
        <w:rPr>
          <w:rFonts w:ascii="Times New Roman" w:hAnsi="Times New Roman" w:cs="Times New Roman"/>
        </w:rPr>
        <w:t xml:space="preserve"> refutando integralmente a peça de resistência.</w:t>
      </w:r>
    </w:p>
    <w:p w14:paraId="49535CAA" w14:textId="77777777" w:rsidR="007840D7" w:rsidRPr="007840D7" w:rsidRDefault="007840D7" w:rsidP="007840D7">
      <w:pPr>
        <w:ind w:right="-568"/>
        <w:jc w:val="both"/>
        <w:rPr>
          <w:rFonts w:ascii="Times New Roman" w:hAnsi="Times New Roman" w:cs="Times New Roman"/>
          <w:b/>
          <w:bCs/>
        </w:rPr>
      </w:pPr>
      <w:r w:rsidRPr="007840D7">
        <w:rPr>
          <w:rFonts w:ascii="Times New Roman" w:hAnsi="Times New Roman" w:cs="Times New Roman"/>
          <w:b/>
          <w:bCs/>
        </w:rPr>
        <w:t>A V. SENTENÇA</w:t>
      </w:r>
      <w:r w:rsidRPr="007840D7">
        <w:rPr>
          <w:rFonts w:ascii="Times New Roman" w:hAnsi="Times New Roman" w:cs="Times New Roman"/>
          <w:b/>
          <w:bCs/>
        </w:rPr>
        <w:tab/>
      </w:r>
    </w:p>
    <w:p w14:paraId="1E16CAEA" w14:textId="26894882"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A v. sentença recorrida do evento </w:t>
      </w:r>
      <w:r>
        <w:rPr>
          <w:rFonts w:ascii="Times New Roman" w:hAnsi="Times New Roman" w:cs="Times New Roman"/>
        </w:rPr>
        <w:t>...</w:t>
      </w:r>
      <w:r w:rsidRPr="007840D7">
        <w:rPr>
          <w:rFonts w:ascii="Times New Roman" w:hAnsi="Times New Roman" w:cs="Times New Roman"/>
        </w:rPr>
        <w:t xml:space="preserve"> conheceu diretamente do pedido, por ser a questão de mérito exclusivamente de direito.</w:t>
      </w:r>
    </w:p>
    <w:p w14:paraId="4068EFB0" w14:textId="77777777" w:rsidR="007840D7" w:rsidRDefault="007840D7" w:rsidP="007840D7">
      <w:pPr>
        <w:ind w:right="-568"/>
        <w:jc w:val="both"/>
        <w:rPr>
          <w:rFonts w:ascii="Times New Roman" w:hAnsi="Times New Roman" w:cs="Times New Roman"/>
        </w:rPr>
      </w:pPr>
      <w:r w:rsidRPr="007840D7">
        <w:rPr>
          <w:rFonts w:ascii="Times New Roman" w:hAnsi="Times New Roman" w:cs="Times New Roman"/>
        </w:rPr>
        <w:t>Rejeitou a preliminar suscitada e no mérito acolheu os fundamentos e os pedidos trazidos e buscados na exordial para julgar procedente para decretar a nulidade do “</w:t>
      </w:r>
      <w:r w:rsidRPr="007840D7">
        <w:rPr>
          <w:rFonts w:ascii="Times New Roman" w:hAnsi="Times New Roman" w:cs="Times New Roman"/>
          <w:i/>
          <w:iCs/>
        </w:rPr>
        <w:t>Instrumento de Autocomposição Extrajudicial de Conflitos ´Sub Judice´</w:t>
      </w:r>
      <w:r w:rsidRPr="007840D7">
        <w:rPr>
          <w:rFonts w:ascii="Times New Roman" w:hAnsi="Times New Roman" w:cs="Times New Roman"/>
        </w:rPr>
        <w:t xml:space="preserve">” firmado em </w:t>
      </w:r>
      <w:r>
        <w:rPr>
          <w:rFonts w:ascii="Times New Roman" w:hAnsi="Times New Roman" w:cs="Times New Roman"/>
        </w:rPr>
        <w:t>...</w:t>
      </w:r>
      <w:r w:rsidRPr="007840D7">
        <w:rPr>
          <w:rFonts w:ascii="Times New Roman" w:hAnsi="Times New Roman" w:cs="Times New Roman"/>
        </w:rPr>
        <w:t xml:space="preserve">, retornando as partes ao </w:t>
      </w:r>
      <w:r w:rsidRPr="007840D7">
        <w:rPr>
          <w:rFonts w:ascii="Times New Roman" w:hAnsi="Times New Roman" w:cs="Times New Roman"/>
          <w:i/>
          <w:iCs/>
        </w:rPr>
        <w:t>status quo ante</w:t>
      </w:r>
      <w:r w:rsidRPr="007840D7">
        <w:rPr>
          <w:rFonts w:ascii="Times New Roman" w:hAnsi="Times New Roman" w:cs="Times New Roman"/>
        </w:rPr>
        <w:t>.</w:t>
      </w:r>
    </w:p>
    <w:p w14:paraId="587C5253" w14:textId="2507D35E"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Deixou de CONHECER do pedido de indenização por eventuais benfeitorias realizadas pelo ora apelante, “</w:t>
      </w:r>
      <w:r w:rsidRPr="007840D7">
        <w:rPr>
          <w:rFonts w:ascii="Times New Roman" w:hAnsi="Times New Roman" w:cs="Times New Roman"/>
          <w:i/>
          <w:iCs/>
        </w:rPr>
        <w:t>uma vez que não foi formulado através de reconvenção na contestação</w:t>
      </w:r>
      <w:r w:rsidRPr="007840D7">
        <w:rPr>
          <w:rFonts w:ascii="Times New Roman" w:hAnsi="Times New Roman" w:cs="Times New Roman"/>
        </w:rPr>
        <w:t>”.</w:t>
      </w:r>
    </w:p>
    <w:p w14:paraId="27726583" w14:textId="38447485"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Condenou o réu/apelante ao pagamento das custas processuais e honorários advocatícios sucumbenciais fixados em 10% [dez por cento] sobre o valor atualizado na causa, considerando o julgamento antecipado da lide.</w:t>
      </w:r>
    </w:p>
    <w:p w14:paraId="06F5562C" w14:textId="77777777" w:rsidR="007840D7" w:rsidRPr="007840D7" w:rsidRDefault="007840D7" w:rsidP="007840D7">
      <w:pPr>
        <w:ind w:right="-568"/>
        <w:jc w:val="both"/>
        <w:rPr>
          <w:rFonts w:ascii="Times New Roman" w:hAnsi="Times New Roman" w:cs="Times New Roman"/>
          <w:b/>
          <w:bCs/>
        </w:rPr>
      </w:pPr>
      <w:r w:rsidRPr="007840D7">
        <w:rPr>
          <w:rFonts w:ascii="Times New Roman" w:hAnsi="Times New Roman" w:cs="Times New Roman"/>
          <w:b/>
          <w:bCs/>
        </w:rPr>
        <w:t>A PETIÇÃO PROCEDENDO AOS DEPÓSITOS DAS CUSTAS E ANTECIPANDO O PAGAMENTO DA VERBA HONORÁRIA SUCUMBENCIAL</w:t>
      </w:r>
      <w:r w:rsidRPr="007840D7">
        <w:rPr>
          <w:rFonts w:ascii="Times New Roman" w:hAnsi="Times New Roman" w:cs="Times New Roman"/>
          <w:b/>
          <w:bCs/>
        </w:rPr>
        <w:tab/>
      </w:r>
    </w:p>
    <w:p w14:paraId="0CF79B85" w14:textId="18F35044"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O réu/apelante na petição do evento </w:t>
      </w:r>
      <w:r>
        <w:rPr>
          <w:rFonts w:ascii="Times New Roman" w:hAnsi="Times New Roman" w:cs="Times New Roman"/>
        </w:rPr>
        <w:t>...</w:t>
      </w:r>
      <w:r w:rsidRPr="007840D7">
        <w:rPr>
          <w:rFonts w:ascii="Times New Roman" w:hAnsi="Times New Roman" w:cs="Times New Roman"/>
        </w:rPr>
        <w:t xml:space="preserve">, </w:t>
      </w:r>
      <w:r w:rsidRPr="007840D7">
        <w:rPr>
          <w:rFonts w:ascii="Times New Roman" w:hAnsi="Times New Roman" w:cs="Times New Roman"/>
          <w:i/>
          <w:iCs/>
        </w:rPr>
        <w:t>sponte sua</w:t>
      </w:r>
      <w:r w:rsidRPr="007840D7">
        <w:rPr>
          <w:rFonts w:ascii="Times New Roman" w:hAnsi="Times New Roman" w:cs="Times New Roman"/>
        </w:rPr>
        <w:t>, veio aos autos e se pronunciou no sentido de que:</w:t>
      </w:r>
    </w:p>
    <w:p w14:paraId="12160660" w14:textId="457DEA88"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w:t>
      </w:r>
      <w:r>
        <w:rPr>
          <w:rFonts w:ascii="Times New Roman" w:hAnsi="Times New Roman" w:cs="Times New Roman"/>
        </w:rPr>
        <w:t xml:space="preserve"> </w:t>
      </w:r>
      <w:proofErr w:type="gramStart"/>
      <w:r w:rsidRPr="007840D7">
        <w:rPr>
          <w:rFonts w:ascii="Times New Roman" w:hAnsi="Times New Roman" w:cs="Times New Roman"/>
        </w:rPr>
        <w:t>impugnará</w:t>
      </w:r>
      <w:proofErr w:type="gramEnd"/>
      <w:r w:rsidRPr="007840D7">
        <w:rPr>
          <w:rFonts w:ascii="Times New Roman" w:hAnsi="Times New Roman" w:cs="Times New Roman"/>
        </w:rPr>
        <w:t xml:space="preserve"> apenas parcialmente a sentença;</w:t>
      </w:r>
    </w:p>
    <w:p w14:paraId="71FF482B" w14:textId="1D0B70C9"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w:t>
      </w:r>
      <w:r>
        <w:rPr>
          <w:rFonts w:ascii="Times New Roman" w:hAnsi="Times New Roman" w:cs="Times New Roman"/>
        </w:rPr>
        <w:t xml:space="preserve"> </w:t>
      </w:r>
      <w:proofErr w:type="gramStart"/>
      <w:r w:rsidRPr="007840D7">
        <w:rPr>
          <w:rFonts w:ascii="Times New Roman" w:hAnsi="Times New Roman" w:cs="Times New Roman"/>
        </w:rPr>
        <w:t>na</w:t>
      </w:r>
      <w:proofErr w:type="gramEnd"/>
      <w:r w:rsidRPr="007840D7">
        <w:rPr>
          <w:rFonts w:ascii="Times New Roman" w:hAnsi="Times New Roman" w:cs="Times New Roman"/>
        </w:rPr>
        <w:t xml:space="preserve"> impugnação recursal “</w:t>
      </w:r>
      <w:r w:rsidRPr="007840D7">
        <w:rPr>
          <w:rFonts w:ascii="Times New Roman" w:hAnsi="Times New Roman" w:cs="Times New Roman"/>
          <w:i/>
          <w:iCs/>
        </w:rPr>
        <w:t>não contemplará as cominações no tocante ao reembolso das custas do processo e verba honorária conferida</w:t>
      </w:r>
      <w:r w:rsidRPr="007840D7">
        <w:rPr>
          <w:rFonts w:ascii="Times New Roman" w:hAnsi="Times New Roman" w:cs="Times New Roman"/>
        </w:rPr>
        <w:t>” [sic];</w:t>
      </w:r>
    </w:p>
    <w:p w14:paraId="69809BC5" w14:textId="6DF6DD2B"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w:t>
      </w:r>
      <w:r>
        <w:rPr>
          <w:rFonts w:ascii="Times New Roman" w:hAnsi="Times New Roman" w:cs="Times New Roman"/>
        </w:rPr>
        <w:t xml:space="preserve"> </w:t>
      </w:r>
      <w:r w:rsidRPr="007840D7">
        <w:rPr>
          <w:rFonts w:ascii="Times New Roman" w:hAnsi="Times New Roman" w:cs="Times New Roman"/>
        </w:rPr>
        <w:t>“</w:t>
      </w:r>
      <w:r w:rsidRPr="007840D7">
        <w:rPr>
          <w:rFonts w:ascii="Times New Roman" w:hAnsi="Times New Roman" w:cs="Times New Roman"/>
          <w:i/>
          <w:iCs/>
        </w:rPr>
        <w:t xml:space="preserve">Assim sendo, pretende desde logo desincumbir-se destas obrigações, </w:t>
      </w:r>
      <w:r w:rsidRPr="007840D7">
        <w:rPr>
          <w:rFonts w:ascii="Times New Roman" w:hAnsi="Times New Roman" w:cs="Times New Roman"/>
          <w:i/>
          <w:iCs/>
        </w:rPr>
        <w:tab/>
        <w:t>trazendo</w:t>
      </w:r>
      <w:r>
        <w:rPr>
          <w:rFonts w:ascii="Times New Roman" w:hAnsi="Times New Roman" w:cs="Times New Roman"/>
          <w:i/>
          <w:iCs/>
        </w:rPr>
        <w:t xml:space="preserve"> </w:t>
      </w:r>
      <w:r w:rsidRPr="007840D7">
        <w:rPr>
          <w:rFonts w:ascii="Times New Roman" w:hAnsi="Times New Roman" w:cs="Times New Roman"/>
          <w:i/>
          <w:iCs/>
        </w:rPr>
        <w:t>os</w:t>
      </w:r>
      <w:r>
        <w:rPr>
          <w:rFonts w:ascii="Times New Roman" w:hAnsi="Times New Roman" w:cs="Times New Roman"/>
          <w:i/>
          <w:iCs/>
        </w:rPr>
        <w:t xml:space="preserve"> </w:t>
      </w:r>
      <w:r w:rsidRPr="007840D7">
        <w:rPr>
          <w:rFonts w:ascii="Times New Roman" w:hAnsi="Times New Roman" w:cs="Times New Roman"/>
          <w:i/>
          <w:iCs/>
        </w:rPr>
        <w:t>correspondentes valores em pagamentos</w:t>
      </w:r>
      <w:r w:rsidRPr="007840D7">
        <w:rPr>
          <w:rFonts w:ascii="Times New Roman" w:hAnsi="Times New Roman" w:cs="Times New Roman"/>
        </w:rPr>
        <w:t xml:space="preserve">” das custas processuais no total de R$ </w:t>
      </w:r>
      <w:r>
        <w:rPr>
          <w:rFonts w:ascii="Times New Roman" w:hAnsi="Times New Roman" w:cs="Times New Roman"/>
        </w:rPr>
        <w:t>...</w:t>
      </w:r>
      <w:r w:rsidRPr="007840D7">
        <w:rPr>
          <w:rFonts w:ascii="Times New Roman" w:hAnsi="Times New Roman" w:cs="Times New Roman"/>
        </w:rPr>
        <w:t xml:space="preserve"> e da verba honorária sucumbencial de R$ </w:t>
      </w:r>
      <w:r>
        <w:rPr>
          <w:rFonts w:ascii="Times New Roman" w:hAnsi="Times New Roman" w:cs="Times New Roman"/>
        </w:rPr>
        <w:t>...</w:t>
      </w:r>
      <w:r w:rsidRPr="007840D7">
        <w:rPr>
          <w:rFonts w:ascii="Times New Roman" w:hAnsi="Times New Roman" w:cs="Times New Roman"/>
        </w:rPr>
        <w:t>;</w:t>
      </w:r>
    </w:p>
    <w:p w14:paraId="05E4C20A" w14:textId="6D65CF3C"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w:t>
      </w:r>
      <w:r>
        <w:rPr>
          <w:rFonts w:ascii="Times New Roman" w:hAnsi="Times New Roman" w:cs="Times New Roman"/>
        </w:rPr>
        <w:t xml:space="preserve"> </w:t>
      </w:r>
      <w:proofErr w:type="gramStart"/>
      <w:r w:rsidRPr="007840D7">
        <w:rPr>
          <w:rFonts w:ascii="Times New Roman" w:hAnsi="Times New Roman" w:cs="Times New Roman"/>
        </w:rPr>
        <w:t>quanto</w:t>
      </w:r>
      <w:proofErr w:type="gramEnd"/>
      <w:r w:rsidRPr="007840D7">
        <w:rPr>
          <w:rFonts w:ascii="Times New Roman" w:hAnsi="Times New Roman" w:cs="Times New Roman"/>
        </w:rPr>
        <w:t xml:space="preserve"> aos valores depositados das custas processuais e honorários advocatícios sucumbenciais estariam liberados para o levantamento.</w:t>
      </w:r>
    </w:p>
    <w:p w14:paraId="4D7E44C6" w14:textId="2D128035"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Juntou aos autos o comprovante dos depósitos das custas processuais e dos honorários advocatícios, certificados pela ilustrada secretaria as contas destes depósitos judiciais nos eventos subsequentes de números </w:t>
      </w:r>
      <w:r>
        <w:rPr>
          <w:rFonts w:ascii="Times New Roman" w:hAnsi="Times New Roman" w:cs="Times New Roman"/>
        </w:rPr>
        <w:t>...</w:t>
      </w:r>
      <w:r w:rsidRPr="007840D7">
        <w:rPr>
          <w:rFonts w:ascii="Times New Roman" w:hAnsi="Times New Roman" w:cs="Times New Roman"/>
        </w:rPr>
        <w:t>/depósitos judiciais.</w:t>
      </w:r>
    </w:p>
    <w:p w14:paraId="002138E0" w14:textId="77777777" w:rsidR="007840D7" w:rsidRPr="006B0D1F" w:rsidRDefault="007840D7" w:rsidP="007840D7">
      <w:pPr>
        <w:ind w:right="-568"/>
        <w:jc w:val="both"/>
        <w:rPr>
          <w:rFonts w:ascii="Times New Roman" w:hAnsi="Times New Roman" w:cs="Times New Roman"/>
          <w:b/>
          <w:bCs/>
        </w:rPr>
      </w:pPr>
      <w:r w:rsidRPr="006B0D1F">
        <w:rPr>
          <w:rFonts w:ascii="Times New Roman" w:hAnsi="Times New Roman" w:cs="Times New Roman"/>
          <w:b/>
          <w:bCs/>
        </w:rPr>
        <w:t>A APELAÇÃO INTERPOSTA</w:t>
      </w:r>
      <w:r w:rsidRPr="006B0D1F">
        <w:rPr>
          <w:rFonts w:ascii="Times New Roman" w:hAnsi="Times New Roman" w:cs="Times New Roman"/>
          <w:b/>
          <w:bCs/>
        </w:rPr>
        <w:tab/>
      </w:r>
    </w:p>
    <w:p w14:paraId="158F8DCB" w14:textId="12B86DFD"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lastRenderedPageBreak/>
        <w:t xml:space="preserve">O réu interpôs a apelação do evento </w:t>
      </w:r>
      <w:r w:rsidR="006B0D1F">
        <w:rPr>
          <w:rFonts w:ascii="Times New Roman" w:hAnsi="Times New Roman" w:cs="Times New Roman"/>
        </w:rPr>
        <w:t>...</w:t>
      </w:r>
      <w:r w:rsidRPr="007840D7">
        <w:rPr>
          <w:rFonts w:ascii="Times New Roman" w:hAnsi="Times New Roman" w:cs="Times New Roman"/>
        </w:rPr>
        <w:t xml:space="preserve"> apenas contra parte da v. sentença do evento </w:t>
      </w:r>
      <w:r w:rsidR="006B0D1F">
        <w:rPr>
          <w:rFonts w:ascii="Times New Roman" w:hAnsi="Times New Roman" w:cs="Times New Roman"/>
        </w:rPr>
        <w:t>...</w:t>
      </w:r>
      <w:r w:rsidRPr="007840D7">
        <w:rPr>
          <w:rFonts w:ascii="Times New Roman" w:hAnsi="Times New Roman" w:cs="Times New Roman"/>
        </w:rPr>
        <w:t xml:space="preserve"> que deixou de “</w:t>
      </w:r>
      <w:r w:rsidRPr="006B0D1F">
        <w:rPr>
          <w:rFonts w:ascii="Times New Roman" w:hAnsi="Times New Roman" w:cs="Times New Roman"/>
          <w:i/>
          <w:iCs/>
        </w:rPr>
        <w:t>conhecer do pedido de indenização por eventuais benfeitorias realizadas, uma vez que não foi formulada através de reconvenção em contestação</w:t>
      </w:r>
      <w:r w:rsidRPr="007840D7">
        <w:rPr>
          <w:rFonts w:ascii="Times New Roman" w:hAnsi="Times New Roman" w:cs="Times New Roman"/>
        </w:rPr>
        <w:t>” [sic].</w:t>
      </w:r>
    </w:p>
    <w:p w14:paraId="7DC09061" w14:textId="5985FFEE"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Reafirmou o recorrente que “</w:t>
      </w:r>
      <w:r w:rsidRPr="006B0D1F">
        <w:rPr>
          <w:rFonts w:ascii="Times New Roman" w:hAnsi="Times New Roman" w:cs="Times New Roman"/>
          <w:i/>
          <w:iCs/>
        </w:rPr>
        <w:t xml:space="preserve">Contra as condenações decorrentes da procedência dos pedidos, quanto as obrigações determinadas ao Réu, não se opôs resistência, tão pouco retardamento na satisfação, afastando aumento do quantum. Já procedido ao depósito em conta vinculada, com finalidade de pagamento (Eventos </w:t>
      </w:r>
      <w:r w:rsidR="006B0D1F">
        <w:rPr>
          <w:rFonts w:ascii="Times New Roman" w:hAnsi="Times New Roman" w:cs="Times New Roman"/>
          <w:i/>
          <w:iCs/>
        </w:rPr>
        <w:t>...</w:t>
      </w:r>
      <w:r w:rsidRPr="006B0D1F">
        <w:rPr>
          <w:rFonts w:ascii="Times New Roman" w:hAnsi="Times New Roman" w:cs="Times New Roman"/>
          <w:i/>
          <w:iCs/>
        </w:rPr>
        <w:t>)</w:t>
      </w:r>
      <w:r w:rsidRPr="007840D7">
        <w:rPr>
          <w:rFonts w:ascii="Times New Roman" w:hAnsi="Times New Roman" w:cs="Times New Roman"/>
        </w:rPr>
        <w:t>” [sic].</w:t>
      </w:r>
    </w:p>
    <w:p w14:paraId="5C5C67FB" w14:textId="2BF016CC"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O apelante sustentou com poucas palavras que as “</w:t>
      </w:r>
      <w:r w:rsidRPr="006B0D1F">
        <w:rPr>
          <w:rFonts w:ascii="Times New Roman" w:hAnsi="Times New Roman" w:cs="Times New Roman"/>
          <w:i/>
          <w:iCs/>
        </w:rPr>
        <w:t>alegadas</w:t>
      </w:r>
      <w:r w:rsidRPr="007840D7">
        <w:rPr>
          <w:rFonts w:ascii="Times New Roman" w:hAnsi="Times New Roman" w:cs="Times New Roman"/>
        </w:rPr>
        <w:t xml:space="preserve">” benfeitorias realizadas no solo seriam indispensáveis para manter sua prestabilidade, </w:t>
      </w:r>
      <w:r w:rsidRPr="006B0D1F">
        <w:rPr>
          <w:rFonts w:ascii="Times New Roman" w:hAnsi="Times New Roman" w:cs="Times New Roman"/>
          <w:i/>
          <w:iCs/>
        </w:rPr>
        <w:t>in litteris</w:t>
      </w:r>
      <w:r w:rsidRPr="007840D7">
        <w:rPr>
          <w:rFonts w:ascii="Times New Roman" w:hAnsi="Times New Roman" w:cs="Times New Roman"/>
        </w:rPr>
        <w:t>:</w:t>
      </w:r>
    </w:p>
    <w:p w14:paraId="600DFF8B" w14:textId="77777777" w:rsidR="007840D7" w:rsidRPr="006B0D1F" w:rsidRDefault="007840D7" w:rsidP="007840D7">
      <w:pPr>
        <w:ind w:right="-568"/>
        <w:jc w:val="both"/>
        <w:rPr>
          <w:rFonts w:ascii="Times New Roman" w:hAnsi="Times New Roman" w:cs="Times New Roman"/>
          <w:i/>
          <w:iCs/>
        </w:rPr>
      </w:pPr>
      <w:r w:rsidRPr="007840D7">
        <w:rPr>
          <w:rFonts w:ascii="Times New Roman" w:hAnsi="Times New Roman" w:cs="Times New Roman"/>
        </w:rPr>
        <w:t>“</w:t>
      </w:r>
      <w:r w:rsidRPr="006B0D1F">
        <w:rPr>
          <w:rFonts w:ascii="Times New Roman" w:hAnsi="Times New Roman" w:cs="Times New Roman"/>
          <w:i/>
          <w:iCs/>
        </w:rPr>
        <w:t>Afirma, ao contrário do constante, sob vênia, que não se trata de “eventuais benfeitorias”, mas sim, de indispensáveis benfeitorias lançadas em solo abandonado há décadas, sob pena de continuação da imprestabilidade para os fins a que antes se prestava.</w:t>
      </w:r>
    </w:p>
    <w:p w14:paraId="5FD796AC" w14:textId="77777777" w:rsidR="006B0D1F" w:rsidRDefault="007840D7" w:rsidP="007840D7">
      <w:pPr>
        <w:ind w:right="-568"/>
        <w:jc w:val="both"/>
        <w:rPr>
          <w:rFonts w:ascii="Times New Roman" w:hAnsi="Times New Roman" w:cs="Times New Roman"/>
        </w:rPr>
      </w:pPr>
      <w:r w:rsidRPr="006B0D1F">
        <w:rPr>
          <w:rFonts w:ascii="Times New Roman" w:hAnsi="Times New Roman" w:cs="Times New Roman"/>
          <w:i/>
          <w:iCs/>
        </w:rPr>
        <w:t xml:space="preserve">Entende, data </w:t>
      </w:r>
      <w:proofErr w:type="spellStart"/>
      <w:r w:rsidRPr="006B0D1F">
        <w:rPr>
          <w:rFonts w:ascii="Times New Roman" w:hAnsi="Times New Roman" w:cs="Times New Roman"/>
          <w:i/>
          <w:iCs/>
        </w:rPr>
        <w:t>maxima</w:t>
      </w:r>
      <w:proofErr w:type="spellEnd"/>
      <w:r w:rsidRPr="006B0D1F">
        <w:rPr>
          <w:rFonts w:ascii="Times New Roman" w:hAnsi="Times New Roman" w:cs="Times New Roman"/>
          <w:i/>
          <w:iCs/>
        </w:rPr>
        <w:t xml:space="preserve"> </w:t>
      </w:r>
      <w:proofErr w:type="spellStart"/>
      <w:r w:rsidRPr="006B0D1F">
        <w:rPr>
          <w:rFonts w:ascii="Times New Roman" w:hAnsi="Times New Roman" w:cs="Times New Roman"/>
          <w:i/>
          <w:iCs/>
        </w:rPr>
        <w:t>venia</w:t>
      </w:r>
      <w:proofErr w:type="spellEnd"/>
      <w:r w:rsidRPr="006B0D1F">
        <w:rPr>
          <w:rFonts w:ascii="Times New Roman" w:hAnsi="Times New Roman" w:cs="Times New Roman"/>
          <w:i/>
          <w:iCs/>
        </w:rPr>
        <w:t>, que a pretensão não só poderia quanto deveria ter sido conhecida tal qual externada, sem o óbice sentencial “criado” nesta sede</w:t>
      </w:r>
      <w:r w:rsidRPr="007840D7">
        <w:rPr>
          <w:rFonts w:ascii="Times New Roman" w:hAnsi="Times New Roman" w:cs="Times New Roman"/>
        </w:rPr>
        <w:t>.”</w:t>
      </w:r>
    </w:p>
    <w:p w14:paraId="356CC59C" w14:textId="6F13A616"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Pediu o provimento do recurso para que “</w:t>
      </w:r>
      <w:r w:rsidRPr="006B0D1F">
        <w:rPr>
          <w:rFonts w:ascii="Times New Roman" w:hAnsi="Times New Roman" w:cs="Times New Roman"/>
          <w:i/>
          <w:iCs/>
        </w:rPr>
        <w:t>seja determinado que a pretensão indenizatória seja conhecida na instância de ingresso</w:t>
      </w:r>
      <w:r w:rsidRPr="007840D7">
        <w:rPr>
          <w:rFonts w:ascii="Times New Roman" w:hAnsi="Times New Roman" w:cs="Times New Roman"/>
        </w:rPr>
        <w:t>”.</w:t>
      </w:r>
      <w:r w:rsidRPr="007840D7">
        <w:rPr>
          <w:rFonts w:ascii="Times New Roman" w:hAnsi="Times New Roman" w:cs="Times New Roman"/>
        </w:rPr>
        <w:tab/>
      </w:r>
    </w:p>
    <w:p w14:paraId="24F07ABB" w14:textId="2A0D7847" w:rsidR="007840D7" w:rsidRPr="006B0D1F" w:rsidRDefault="007840D7" w:rsidP="007840D7">
      <w:pPr>
        <w:ind w:right="-568"/>
        <w:jc w:val="both"/>
        <w:rPr>
          <w:rFonts w:ascii="Times New Roman" w:hAnsi="Times New Roman" w:cs="Times New Roman"/>
          <w:b/>
          <w:bCs/>
        </w:rPr>
      </w:pPr>
      <w:r w:rsidRPr="006B0D1F">
        <w:rPr>
          <w:rFonts w:ascii="Times New Roman" w:hAnsi="Times New Roman" w:cs="Times New Roman"/>
          <w:b/>
          <w:bCs/>
        </w:rPr>
        <w:t>II-</w:t>
      </w:r>
      <w:r w:rsidRPr="006B0D1F">
        <w:rPr>
          <w:rFonts w:ascii="Times New Roman" w:hAnsi="Times New Roman" w:cs="Times New Roman"/>
          <w:b/>
          <w:bCs/>
        </w:rPr>
        <w:t xml:space="preserve"> </w:t>
      </w:r>
      <w:r w:rsidRPr="006B0D1F">
        <w:rPr>
          <w:rFonts w:ascii="Times New Roman" w:hAnsi="Times New Roman" w:cs="Times New Roman"/>
          <w:b/>
          <w:bCs/>
        </w:rPr>
        <w:t>IMPROVIMENTO DA APELAÇÃO</w:t>
      </w:r>
    </w:p>
    <w:p w14:paraId="1A6F9112" w14:textId="61CC1482" w:rsidR="007840D7" w:rsidRPr="006B0D1F" w:rsidRDefault="007840D7" w:rsidP="007840D7">
      <w:pPr>
        <w:ind w:right="-568"/>
        <w:jc w:val="both"/>
        <w:rPr>
          <w:rFonts w:ascii="Times New Roman" w:hAnsi="Times New Roman" w:cs="Times New Roman"/>
          <w:b/>
          <w:bCs/>
        </w:rPr>
      </w:pPr>
      <w:r w:rsidRPr="006B0D1F">
        <w:rPr>
          <w:rFonts w:ascii="Times New Roman" w:hAnsi="Times New Roman" w:cs="Times New Roman"/>
          <w:b/>
          <w:bCs/>
        </w:rPr>
        <w:t>DESCABIDO PEDIDO CONTRAPOSTO GENÉRICO EM PROCEDIMENTO COMUM ORDINÁRIO -</w:t>
      </w:r>
    </w:p>
    <w:p w14:paraId="09803A55" w14:textId="6D3B9B76" w:rsidR="007840D7" w:rsidRPr="006B0D1F" w:rsidRDefault="007840D7" w:rsidP="007840D7">
      <w:pPr>
        <w:ind w:right="-568"/>
        <w:jc w:val="both"/>
        <w:rPr>
          <w:rFonts w:ascii="Times New Roman" w:hAnsi="Times New Roman" w:cs="Times New Roman"/>
          <w:b/>
          <w:bCs/>
        </w:rPr>
      </w:pPr>
      <w:r w:rsidRPr="006B0D1F">
        <w:rPr>
          <w:rFonts w:ascii="Times New Roman" w:hAnsi="Times New Roman" w:cs="Times New Roman"/>
          <w:b/>
          <w:bCs/>
        </w:rPr>
        <w:t>O MEIO PROCESSUAL CABÍVEL SERIA ATRAVÉS DA “</w:t>
      </w:r>
      <w:proofErr w:type="gramStart"/>
      <w:r w:rsidRPr="006B0D1F">
        <w:rPr>
          <w:rFonts w:ascii="Times New Roman" w:hAnsi="Times New Roman" w:cs="Times New Roman"/>
          <w:b/>
          <w:bCs/>
          <w:i/>
          <w:iCs/>
        </w:rPr>
        <w:t>RECONVENÇÃO</w:t>
      </w:r>
      <w:r w:rsidRPr="006B0D1F">
        <w:rPr>
          <w:rFonts w:ascii="Times New Roman" w:hAnsi="Times New Roman" w:cs="Times New Roman"/>
          <w:b/>
          <w:bCs/>
        </w:rPr>
        <w:t>”-</w:t>
      </w:r>
      <w:proofErr w:type="gramEnd"/>
      <w:r w:rsidRPr="006B0D1F">
        <w:rPr>
          <w:rFonts w:ascii="Times New Roman" w:hAnsi="Times New Roman" w:cs="Times New Roman"/>
          <w:b/>
          <w:bCs/>
        </w:rPr>
        <w:t xml:space="preserve"> ERRO GROSSEIRO -</w:t>
      </w:r>
    </w:p>
    <w:p w14:paraId="21BF5FFD" w14:textId="22C7EEB6" w:rsidR="007840D7" w:rsidRPr="006B0D1F" w:rsidRDefault="007840D7" w:rsidP="007840D7">
      <w:pPr>
        <w:ind w:right="-568"/>
        <w:jc w:val="both"/>
        <w:rPr>
          <w:rFonts w:ascii="Times New Roman" w:hAnsi="Times New Roman" w:cs="Times New Roman"/>
          <w:b/>
          <w:bCs/>
        </w:rPr>
      </w:pPr>
      <w:r w:rsidRPr="006B0D1F">
        <w:rPr>
          <w:rFonts w:ascii="Times New Roman" w:hAnsi="Times New Roman" w:cs="Times New Roman"/>
          <w:b/>
          <w:bCs/>
        </w:rPr>
        <w:t>DOUTRINA E PRECEDENTES -</w:t>
      </w:r>
    </w:p>
    <w:p w14:paraId="45D23CDC" w14:textId="77777777" w:rsidR="007840D7" w:rsidRPr="006B0D1F" w:rsidRDefault="007840D7" w:rsidP="007840D7">
      <w:pPr>
        <w:ind w:right="-568"/>
        <w:jc w:val="both"/>
        <w:rPr>
          <w:rFonts w:ascii="Times New Roman" w:hAnsi="Times New Roman" w:cs="Times New Roman"/>
          <w:b/>
          <w:bCs/>
        </w:rPr>
      </w:pPr>
      <w:r w:rsidRPr="006B0D1F">
        <w:rPr>
          <w:rFonts w:ascii="Times New Roman" w:hAnsi="Times New Roman" w:cs="Times New Roman"/>
          <w:b/>
          <w:bCs/>
        </w:rPr>
        <w:t>MANTENÇA DO NÃO CONHECIMENTO DO PEDIDO CONTRAPOSTO-</w:t>
      </w:r>
    </w:p>
    <w:p w14:paraId="131B400F" w14:textId="7EF4F89E"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Desmerece qualquer reparo a v. sentença objurgada quando NÃO CONHECEU do pedido contraposto genérico formulado na contestação do evento </w:t>
      </w:r>
      <w:r w:rsidR="006B0D1F">
        <w:rPr>
          <w:rFonts w:ascii="Times New Roman" w:hAnsi="Times New Roman" w:cs="Times New Roman"/>
        </w:rPr>
        <w:t>...</w:t>
      </w:r>
    </w:p>
    <w:p w14:paraId="088844BE" w14:textId="16F2D018"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O réu apenas formulou um “</w:t>
      </w:r>
      <w:r w:rsidRPr="006B0D1F">
        <w:rPr>
          <w:rFonts w:ascii="Times New Roman" w:hAnsi="Times New Roman" w:cs="Times New Roman"/>
          <w:i/>
          <w:iCs/>
        </w:rPr>
        <w:t>pedido</w:t>
      </w:r>
      <w:r w:rsidRPr="007840D7">
        <w:rPr>
          <w:rFonts w:ascii="Times New Roman" w:hAnsi="Times New Roman" w:cs="Times New Roman"/>
        </w:rPr>
        <w:t>” subsidiário de condenação contra os autores na parte final de sua contestação, sem qualquer fundamentação fática-legal, desacompanhado de documento para “</w:t>
      </w:r>
      <w:r w:rsidRPr="006B0D1F">
        <w:rPr>
          <w:rFonts w:ascii="Times New Roman" w:hAnsi="Times New Roman" w:cs="Times New Roman"/>
          <w:i/>
          <w:iCs/>
        </w:rPr>
        <w:t>que se determine procedam as Autoras à indenização do Réu de todas as benfeitorias realizadas, da espécie necessárias (assim entendias, no caso, as indispensáveis para que se possa utilizar das terras para os fins a que se destinam, notadamente agropastoris, conforme elencado, supra, sob pena de enriquecimento sem causa, tudo a ser apurado, levantado e quantificado pecuniariamente em liquidação de sentença</w:t>
      </w:r>
      <w:r w:rsidRPr="007840D7">
        <w:rPr>
          <w:rFonts w:ascii="Times New Roman" w:hAnsi="Times New Roman" w:cs="Times New Roman"/>
        </w:rPr>
        <w:t>” [sic].</w:t>
      </w:r>
    </w:p>
    <w:p w14:paraId="21E4DC9C" w14:textId="7C25E495"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Ora, a presente demanda de nulidade de ato jurídico tramita sob a égide do rito comum de uma ação ordinária prevista no Código de Processo Civil. E por isso, se o apelante/réu pretendesse formular um pedido indenizatório contra os apelados/autores deveria utilizar o instituto da reconvenção, e não o simples pedido contraposto subsidiário. A distinção é fundamental e se baseia na autonomia do pedido e no rito processual. </w:t>
      </w:r>
    </w:p>
    <w:p w14:paraId="6AFDDB8F" w14:textId="453BAE09"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lastRenderedPageBreak/>
        <w:t xml:space="preserve">No rito comum, a pretensão indenizatória do réu/apelante contra os autores/apelados deveria ter sido apresentada por meio da reconvenção. A reconvenção é, na verdade, uma nova e independente ação proposta pelo réu contra o autor, incidentalmente ao processo principal, nos termos do art. 343, </w:t>
      </w:r>
      <w:r w:rsidRPr="006B0D1F">
        <w:rPr>
          <w:rFonts w:ascii="Times New Roman" w:hAnsi="Times New Roman" w:cs="Times New Roman"/>
          <w:i/>
          <w:iCs/>
        </w:rPr>
        <w:t>caput</w:t>
      </w:r>
      <w:r w:rsidRPr="007840D7">
        <w:rPr>
          <w:rFonts w:ascii="Times New Roman" w:hAnsi="Times New Roman" w:cs="Times New Roman"/>
        </w:rPr>
        <w:t xml:space="preserve">, do Código de Processo Civil, </w:t>
      </w:r>
      <w:r w:rsidRPr="006B0D1F">
        <w:rPr>
          <w:rFonts w:ascii="Times New Roman" w:hAnsi="Times New Roman" w:cs="Times New Roman"/>
          <w:i/>
          <w:iCs/>
        </w:rPr>
        <w:t xml:space="preserve">in </w:t>
      </w:r>
      <w:proofErr w:type="spellStart"/>
      <w:r w:rsidRPr="006B0D1F">
        <w:rPr>
          <w:rFonts w:ascii="Times New Roman" w:hAnsi="Times New Roman" w:cs="Times New Roman"/>
          <w:i/>
          <w:iCs/>
        </w:rPr>
        <w:t>verbis</w:t>
      </w:r>
      <w:proofErr w:type="spellEnd"/>
      <w:r w:rsidRPr="007840D7">
        <w:rPr>
          <w:rFonts w:ascii="Times New Roman" w:hAnsi="Times New Roman" w:cs="Times New Roman"/>
        </w:rPr>
        <w:t>:</w:t>
      </w:r>
    </w:p>
    <w:p w14:paraId="27DCFAFB" w14:textId="77777777" w:rsidR="007840D7" w:rsidRPr="006B0D1F" w:rsidRDefault="007840D7" w:rsidP="007840D7">
      <w:pPr>
        <w:ind w:right="-568"/>
        <w:jc w:val="both"/>
        <w:rPr>
          <w:rFonts w:ascii="Times New Roman" w:hAnsi="Times New Roman" w:cs="Times New Roman"/>
          <w:i/>
          <w:iCs/>
        </w:rPr>
      </w:pPr>
      <w:r w:rsidRPr="006B0D1F">
        <w:rPr>
          <w:rFonts w:ascii="Times New Roman" w:hAnsi="Times New Roman" w:cs="Times New Roman"/>
          <w:i/>
          <w:iCs/>
        </w:rPr>
        <w:t>Art.343, caput. Na contestação, é lícito ao réu propor reconvenção para manifestar pretensão própria, conexa com a ação principal ou com o fundamento da defesa.</w:t>
      </w:r>
    </w:p>
    <w:p w14:paraId="639536BD" w14:textId="49003EA0" w:rsidR="007840D7" w:rsidRPr="007840D7" w:rsidRDefault="007840D7" w:rsidP="007840D7">
      <w:pPr>
        <w:ind w:right="-568"/>
        <w:jc w:val="both"/>
        <w:rPr>
          <w:rFonts w:ascii="Times New Roman" w:hAnsi="Times New Roman" w:cs="Times New Roman"/>
        </w:rPr>
      </w:pPr>
      <w:r w:rsidRPr="006B0D1F">
        <w:rPr>
          <w:rFonts w:ascii="Times New Roman" w:hAnsi="Times New Roman" w:cs="Times New Roman"/>
          <w:i/>
          <w:iCs/>
        </w:rPr>
        <w:t>§1º.</w:t>
      </w:r>
      <w:r w:rsidR="006B0D1F" w:rsidRPr="006B0D1F">
        <w:rPr>
          <w:rFonts w:ascii="Times New Roman" w:hAnsi="Times New Roman" w:cs="Times New Roman"/>
          <w:i/>
          <w:iCs/>
        </w:rPr>
        <w:t xml:space="preserve"> </w:t>
      </w:r>
      <w:r w:rsidRPr="006B0D1F">
        <w:rPr>
          <w:rFonts w:ascii="Times New Roman" w:hAnsi="Times New Roman" w:cs="Times New Roman"/>
          <w:i/>
          <w:iCs/>
        </w:rPr>
        <w:t>Proposta a reconvenção, o autor será intimado, na pessoa de seu advogado, para apresentar resposta no prazo de 15 (quinze) dias</w:t>
      </w:r>
      <w:r w:rsidRPr="007840D7">
        <w:rPr>
          <w:rFonts w:ascii="Times New Roman" w:hAnsi="Times New Roman" w:cs="Times New Roman"/>
        </w:rPr>
        <w:t>.</w:t>
      </w:r>
    </w:p>
    <w:p w14:paraId="3C59E751" w14:textId="32BDE92B"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 xml:space="preserve">A apresentação de pedido contraposto em contestação no procedimento comum formulado pelo réu/apelante constituiu erro grosseiro, pois referido instituto é restrito a procedimentos especiais, como os juizados especiais cíveis [Lei 9.099/95], não sendo possível a aplicação do princípio da fungibilidade para sanar enorme equívoco, </w:t>
      </w:r>
      <w:proofErr w:type="spellStart"/>
      <w:r w:rsidRPr="006B0D1F">
        <w:rPr>
          <w:rFonts w:ascii="Times New Roman" w:hAnsi="Times New Roman" w:cs="Times New Roman"/>
          <w:i/>
          <w:iCs/>
        </w:rPr>
        <w:t>rogata</w:t>
      </w:r>
      <w:proofErr w:type="spellEnd"/>
      <w:r w:rsidRPr="006B0D1F">
        <w:rPr>
          <w:rFonts w:ascii="Times New Roman" w:hAnsi="Times New Roman" w:cs="Times New Roman"/>
          <w:i/>
          <w:iCs/>
        </w:rPr>
        <w:t xml:space="preserve"> </w:t>
      </w:r>
      <w:proofErr w:type="spellStart"/>
      <w:r w:rsidRPr="006B0D1F">
        <w:rPr>
          <w:rFonts w:ascii="Times New Roman" w:hAnsi="Times New Roman" w:cs="Times New Roman"/>
          <w:i/>
          <w:iCs/>
        </w:rPr>
        <w:t>venia</w:t>
      </w:r>
      <w:proofErr w:type="spellEnd"/>
      <w:r w:rsidRPr="007840D7">
        <w:rPr>
          <w:rFonts w:ascii="Times New Roman" w:hAnsi="Times New Roman" w:cs="Times New Roman"/>
        </w:rPr>
        <w:t>.</w:t>
      </w:r>
    </w:p>
    <w:p w14:paraId="600BF06E" w14:textId="3AA6D8B5"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Esse douto pretório, TRIBUNAL DE JUSTIÇA DE SANTA CATARINA, em voz única, ombreia o posicionamento esposado pela v. sentença objurgada, no ponto:</w:t>
      </w:r>
    </w:p>
    <w:p w14:paraId="0B680B09" w14:textId="004013E4" w:rsidR="007840D7" w:rsidRPr="007840D7" w:rsidRDefault="006B0D1F" w:rsidP="007840D7">
      <w:pPr>
        <w:ind w:right="-568"/>
        <w:jc w:val="both"/>
        <w:rPr>
          <w:rFonts w:ascii="Times New Roman" w:hAnsi="Times New Roman" w:cs="Times New Roman"/>
        </w:rPr>
      </w:pPr>
      <w:r>
        <w:rPr>
          <w:rFonts w:ascii="Times New Roman" w:hAnsi="Times New Roman" w:cs="Times New Roman"/>
        </w:rPr>
        <w:t>“</w:t>
      </w:r>
      <w:r w:rsidR="007840D7" w:rsidRPr="006B0D1F">
        <w:rPr>
          <w:rFonts w:ascii="Times New Roman" w:hAnsi="Times New Roman" w:cs="Times New Roman"/>
          <w:i/>
          <w:iCs/>
        </w:rPr>
        <w:t>AGRAVO DE INSTRUMENTO. AÇÃO DECLARATÓRIA DE RECONHECIMENTO DE SOCIEDADE EMPRESARIAL C/C AÇÃO DE EXIGIR CONTAS E TUTELA ANTECIPADA DE URGÊNCIA. DECISÃO HOSTILIZADA QUE NÃO CONHECEU DO PEDIDO CONTRAPOSTO APRESENTADO NA CONTESTAÇÃO, SOB O FUNDAMENTO DE QUE TAL DEVERIA SER INTENTADO MEDIANTE RECONVENÇÃO. INSURGÊNCIA DA PARTE REQUERIDA. PEDIDO CONTRAPOSTO QUE SE RESTRINGE ÀS HIPÓTESES TAXATIVAMENTE PREVISTAS EM LEI, COMO NAS AÇÕES DE NATUREZA DÚPLICE. PRETENSÕES EM VOGA QUE REFOGEM À DITA PREMISSA, DEVENDO SER DEBATIDAS EM SEDE DE RECONVENÇÃO. INOBSERVÂNCIA, NA ESPÉCIE, DOS REQUISITOS LEGAIS MÍNIMOS A REFLETIR EM NÍTIDO ERRO GROSSEIRO, OBSTANDO A APLICAÇÃO DO PRINCÍPIO DA FUNGIBILIDADE PROCESSUAL. INADEQUAÇÃO DA VIA ELEITA QUE INVIABILIZA A APLICAÇÃO, POR ANALOGIA, DO ART. 321 DO CPC, DISPOSITIVO DESTINADO À CORREÇÃO DE VÍCIOS FORMAIS EXCLUSIVAMENTE EM PEÇAS QUE SE ENCONTREM DEVIDAMENTE ADEQUADAS À RESPECTIVA FINALIDADE JURÍDICA. DECISUM MANTIDO. RECURO CONHECIDO E DESPROVIDO</w:t>
      </w:r>
      <w:r w:rsidR="007840D7" w:rsidRPr="007840D7">
        <w:rPr>
          <w:rFonts w:ascii="Times New Roman" w:hAnsi="Times New Roman" w:cs="Times New Roman"/>
        </w:rPr>
        <w:t>.</w:t>
      </w:r>
      <w:r>
        <w:rPr>
          <w:rFonts w:ascii="Times New Roman" w:hAnsi="Times New Roman" w:cs="Times New Roman"/>
        </w:rPr>
        <w:t>”</w:t>
      </w:r>
      <w:r w:rsidR="007840D7" w:rsidRPr="007840D7">
        <w:rPr>
          <w:rFonts w:ascii="Times New Roman" w:hAnsi="Times New Roman" w:cs="Times New Roman"/>
        </w:rPr>
        <w:t xml:space="preserve"> </w:t>
      </w:r>
      <w:r>
        <w:rPr>
          <w:rFonts w:ascii="Times New Roman" w:hAnsi="Times New Roman" w:cs="Times New Roman"/>
        </w:rPr>
        <w:t xml:space="preserve"> </w:t>
      </w:r>
      <w:r w:rsidR="007840D7" w:rsidRPr="007840D7">
        <w:rPr>
          <w:rFonts w:ascii="Times New Roman" w:hAnsi="Times New Roman" w:cs="Times New Roman"/>
        </w:rPr>
        <w:t xml:space="preserve">[TJSC, AI 5045438-47.2025.8.24.0000, 1ª Câmara de Direito Comercial, Rel. Des. JOSÉ MAURÍCIO LISBOA, </w:t>
      </w:r>
      <w:proofErr w:type="spellStart"/>
      <w:r w:rsidR="007840D7" w:rsidRPr="007840D7">
        <w:rPr>
          <w:rFonts w:ascii="Times New Roman" w:hAnsi="Times New Roman" w:cs="Times New Roman"/>
        </w:rPr>
        <w:t>DJe</w:t>
      </w:r>
      <w:proofErr w:type="spellEnd"/>
      <w:r w:rsidR="007840D7" w:rsidRPr="007840D7">
        <w:rPr>
          <w:rFonts w:ascii="Times New Roman" w:hAnsi="Times New Roman" w:cs="Times New Roman"/>
        </w:rPr>
        <w:t xml:space="preserve"> 28/08/2025].</w:t>
      </w:r>
    </w:p>
    <w:p w14:paraId="7CDDC7B8" w14:textId="3E572A46" w:rsidR="007840D7" w:rsidRPr="007840D7" w:rsidRDefault="006B0D1F" w:rsidP="007840D7">
      <w:pPr>
        <w:ind w:right="-568"/>
        <w:jc w:val="both"/>
        <w:rPr>
          <w:rFonts w:ascii="Times New Roman" w:hAnsi="Times New Roman" w:cs="Times New Roman"/>
        </w:rPr>
      </w:pPr>
      <w:r>
        <w:rPr>
          <w:rFonts w:ascii="Times New Roman" w:hAnsi="Times New Roman" w:cs="Times New Roman"/>
        </w:rPr>
        <w:t>“</w:t>
      </w:r>
      <w:r w:rsidR="007840D7" w:rsidRPr="006B0D1F">
        <w:rPr>
          <w:rFonts w:ascii="Times New Roman" w:hAnsi="Times New Roman" w:cs="Times New Roman"/>
          <w:i/>
          <w:iCs/>
        </w:rPr>
        <w:t xml:space="preserve">APELAÇÃO CÍVEL. AÇÃO DE COBRANÇA. SENTENÇA DE PARCIAL PROCEDÊNCIA, COM A CONDENAÇÃO DA AUTORA À REPETIÇÃO DO INDÉBITO PLEITEADA PELA RÉ EM CONTESTAÇÃO. RECURSO DA PARTE AUTORA. PRELIMINAR. SUSTENTADA A NULIDADE DO PEDIDO CONTRAPOSTO EM CONTESTAÇÃO E A INOBSERVÂNCIA DA FORMALIDADE NECESSÁRIA AO CONHECIMENTO DO PLEITO RECONVENCIONAL. TESE ACOLHIDA. AÇÃO QUE TRAMITOU PELO RITO ORDINÁRIO. INADMISSIBILIDADE DE PEDIDO CONTRAPOSTO EM CONTESTAÇÃO. IMPOSITIVO AFASTAMENTO DA CONDENAÇÃO À REPETIÇÃO DO INDÉBITO. PRETENSÃO QUE DEVERIA SER OBJETO DE RECONVENÇÃO OU AÇÃO PRÓPRIA. PEDIDO EM </w:t>
      </w:r>
      <w:r w:rsidR="007840D7" w:rsidRPr="006B0D1F">
        <w:rPr>
          <w:rFonts w:ascii="Times New Roman" w:hAnsi="Times New Roman" w:cs="Times New Roman"/>
          <w:i/>
          <w:iCs/>
        </w:rPr>
        <w:lastRenderedPageBreak/>
        <w:t>CONTESTAÇÃO QUE NÃO COMPORTA CONHECIMENTO. SENTENÇA ALTERADA NO PONTO. ANÁLISE DO MÉRITO RECURSAL PREJUDICADA. ÔNUS SUCUMBENCIAL REDISTRIBUÍDO. RECURSO CONHECIDO E PROVIDO</w:t>
      </w:r>
      <w:r w:rsidR="007840D7" w:rsidRPr="007840D7">
        <w:rPr>
          <w:rFonts w:ascii="Times New Roman" w:hAnsi="Times New Roman" w:cs="Times New Roman"/>
        </w:rPr>
        <w:t>.</w:t>
      </w:r>
      <w:r>
        <w:rPr>
          <w:rFonts w:ascii="Times New Roman" w:hAnsi="Times New Roman" w:cs="Times New Roman"/>
        </w:rPr>
        <w:t>”</w:t>
      </w:r>
      <w:r w:rsidR="007840D7" w:rsidRPr="007840D7">
        <w:rPr>
          <w:rFonts w:ascii="Times New Roman" w:hAnsi="Times New Roman" w:cs="Times New Roman"/>
        </w:rPr>
        <w:t xml:space="preserve"> </w:t>
      </w:r>
      <w:r>
        <w:rPr>
          <w:rFonts w:ascii="Times New Roman" w:hAnsi="Times New Roman" w:cs="Times New Roman"/>
        </w:rPr>
        <w:t xml:space="preserve"> </w:t>
      </w:r>
      <w:r w:rsidR="007840D7" w:rsidRPr="007840D7">
        <w:rPr>
          <w:rFonts w:ascii="Times New Roman" w:hAnsi="Times New Roman" w:cs="Times New Roman"/>
        </w:rPr>
        <w:t xml:space="preserve">[TJSC, Apelação Cível 5022001-62.2022.8.24.0038, 7ª Câmara de Direito Civil, Relator Des. OSMAR NUNES JÚNIOR, </w:t>
      </w:r>
      <w:proofErr w:type="spellStart"/>
      <w:r w:rsidR="007840D7" w:rsidRPr="007840D7">
        <w:rPr>
          <w:rFonts w:ascii="Times New Roman" w:hAnsi="Times New Roman" w:cs="Times New Roman"/>
        </w:rPr>
        <w:t>DJe</w:t>
      </w:r>
      <w:proofErr w:type="spellEnd"/>
      <w:r w:rsidR="007840D7" w:rsidRPr="007840D7">
        <w:rPr>
          <w:rFonts w:ascii="Times New Roman" w:hAnsi="Times New Roman" w:cs="Times New Roman"/>
        </w:rPr>
        <w:t xml:space="preserve"> 16/10/2025].</w:t>
      </w:r>
    </w:p>
    <w:p w14:paraId="391A0AB2" w14:textId="185158AF" w:rsidR="007840D7" w:rsidRPr="007840D7" w:rsidRDefault="006B0D1F" w:rsidP="007840D7">
      <w:pPr>
        <w:ind w:right="-568"/>
        <w:jc w:val="both"/>
        <w:rPr>
          <w:rFonts w:ascii="Times New Roman" w:hAnsi="Times New Roman" w:cs="Times New Roman"/>
        </w:rPr>
      </w:pPr>
      <w:r>
        <w:rPr>
          <w:rFonts w:ascii="Times New Roman" w:hAnsi="Times New Roman" w:cs="Times New Roman"/>
        </w:rPr>
        <w:t>“</w:t>
      </w:r>
      <w:r w:rsidR="007840D7" w:rsidRPr="006B0D1F">
        <w:rPr>
          <w:rFonts w:ascii="Times New Roman" w:hAnsi="Times New Roman" w:cs="Times New Roman"/>
          <w:i/>
          <w:iCs/>
        </w:rPr>
        <w:t>APELAÇÃO CÍVEL. AÇÃO DE DESPEJO. SENTENÇA DE PROCEDÊNCIA. INSURGÊNCIA DA PARTE RÉ. LOCAÇÃO RESIDENCIAL E COMERCIAL PRORROGADA POR PRAZO INDETERMINADO. SENTENÇA QUE NÃO CONHECEU DA PRETENSÃO DE INDENIZAÇÃO POR INADEQUAÇÃO DA VIA ELEITA. NÃO CABIMENTO DA PRETENSÃO POR MERO PEDIDO CONTRAPOSTO. NECESSIDADE DE RECONVENÇÃO OU DE AÇÃO AUTÔNOMA</w:t>
      </w:r>
      <w:proofErr w:type="gramStart"/>
      <w:r w:rsidR="007840D7" w:rsidRPr="007840D7">
        <w:rPr>
          <w:rFonts w:ascii="Times New Roman" w:hAnsi="Times New Roman" w:cs="Times New Roman"/>
        </w:rPr>
        <w:t>.</w:t>
      </w:r>
      <w:r>
        <w:rPr>
          <w:rFonts w:ascii="Times New Roman" w:hAnsi="Times New Roman" w:cs="Times New Roman"/>
        </w:rPr>
        <w:t>”</w:t>
      </w:r>
      <w:r w:rsidR="007840D7" w:rsidRPr="007840D7">
        <w:rPr>
          <w:rFonts w:ascii="Times New Roman" w:hAnsi="Times New Roman" w:cs="Times New Roman"/>
        </w:rPr>
        <w:t>[</w:t>
      </w:r>
      <w:proofErr w:type="gramEnd"/>
      <w:r w:rsidR="007840D7" w:rsidRPr="007840D7">
        <w:rPr>
          <w:rFonts w:ascii="Times New Roman" w:hAnsi="Times New Roman" w:cs="Times New Roman"/>
        </w:rPr>
        <w:t xml:space="preserve">TJSC, Apelação Cível 5003135-79.2024.8.24.0282, 7ª Câmara de Direito Civil, Relator Des. CARLOS ROBERTO DA SILVA, </w:t>
      </w:r>
      <w:proofErr w:type="spellStart"/>
      <w:r w:rsidR="007840D7" w:rsidRPr="007840D7">
        <w:rPr>
          <w:rFonts w:ascii="Times New Roman" w:hAnsi="Times New Roman" w:cs="Times New Roman"/>
        </w:rPr>
        <w:t>DJe</w:t>
      </w:r>
      <w:proofErr w:type="spellEnd"/>
      <w:r w:rsidR="007840D7" w:rsidRPr="007840D7">
        <w:rPr>
          <w:rFonts w:ascii="Times New Roman" w:hAnsi="Times New Roman" w:cs="Times New Roman"/>
        </w:rPr>
        <w:t xml:space="preserve"> 22/08/2025].</w:t>
      </w:r>
    </w:p>
    <w:p w14:paraId="3BF71B01" w14:textId="3C54BE49" w:rsidR="007840D7" w:rsidRPr="007840D7" w:rsidRDefault="006B0D1F" w:rsidP="007840D7">
      <w:pPr>
        <w:ind w:right="-568"/>
        <w:jc w:val="both"/>
        <w:rPr>
          <w:rFonts w:ascii="Times New Roman" w:hAnsi="Times New Roman" w:cs="Times New Roman"/>
        </w:rPr>
      </w:pPr>
      <w:r>
        <w:rPr>
          <w:rFonts w:ascii="Times New Roman" w:hAnsi="Times New Roman" w:cs="Times New Roman"/>
        </w:rPr>
        <w:t>“</w:t>
      </w:r>
      <w:r w:rsidR="007840D7" w:rsidRPr="006B0D1F">
        <w:rPr>
          <w:rFonts w:ascii="Times New Roman" w:hAnsi="Times New Roman" w:cs="Times New Roman"/>
          <w:i/>
          <w:iCs/>
        </w:rPr>
        <w:t>APELAÇÃO CÍVEL. AÇÃO DECLARATÓRIA DE INEXISTÊNCIA DE DÉBITO CUMULADA COM CANCELAMENTO DE PROTESTO E INDENIZAÇÃO POR DANOS MORAIS. SENTENÇA DE PROCEDÊNCIA E NÃO CONHECIMENTO DO PEDIDO CONTRAPOSTO. IRRESIGNAÇÃO DAS PARTES. NÃO CONHECIMENTO DO PEDIDO CONTRAPOSTO QUE NÃO SE CONFUNDE COM PREJUÍZO À DEFESA. VIA ELEITA INADEQUADA. PRETENSÃO A SER DEDUZIDA EM RECONVENÇÃO. RÉ CIENTE DO RITO ORDINÁRIO ADOTADO DESDE O INÍCIO DA ACTIO. DECISÃO ACERTADA</w:t>
      </w:r>
      <w:r w:rsidR="007840D7" w:rsidRPr="007840D7">
        <w:rPr>
          <w:rFonts w:ascii="Times New Roman" w:hAnsi="Times New Roman" w:cs="Times New Roman"/>
        </w:rPr>
        <w:t>.</w:t>
      </w:r>
      <w:r>
        <w:rPr>
          <w:rFonts w:ascii="Times New Roman" w:hAnsi="Times New Roman" w:cs="Times New Roman"/>
        </w:rPr>
        <w:t xml:space="preserve">” </w:t>
      </w:r>
      <w:proofErr w:type="gramStart"/>
      <w:r w:rsidR="007840D7" w:rsidRPr="007840D7">
        <w:rPr>
          <w:rFonts w:ascii="Times New Roman" w:hAnsi="Times New Roman" w:cs="Times New Roman"/>
        </w:rPr>
        <w:t>[</w:t>
      </w:r>
      <w:proofErr w:type="gramEnd"/>
      <w:r w:rsidR="007840D7" w:rsidRPr="007840D7">
        <w:rPr>
          <w:rFonts w:ascii="Times New Roman" w:hAnsi="Times New Roman" w:cs="Times New Roman"/>
        </w:rPr>
        <w:t xml:space="preserve">TJSC, Apelação Cível 0300550-16.2015.8.24.0045, 4ª Câmara de Direito Civil, Relator Des. LUIZ FELIPE SCHUCH, </w:t>
      </w:r>
      <w:proofErr w:type="spellStart"/>
      <w:r w:rsidR="007840D7" w:rsidRPr="007840D7">
        <w:rPr>
          <w:rFonts w:ascii="Times New Roman" w:hAnsi="Times New Roman" w:cs="Times New Roman"/>
        </w:rPr>
        <w:t>DJe</w:t>
      </w:r>
      <w:proofErr w:type="spellEnd"/>
      <w:r w:rsidR="007840D7" w:rsidRPr="007840D7">
        <w:rPr>
          <w:rFonts w:ascii="Times New Roman" w:hAnsi="Times New Roman" w:cs="Times New Roman"/>
        </w:rPr>
        <w:t xml:space="preserve"> 30/07/2021].</w:t>
      </w:r>
    </w:p>
    <w:p w14:paraId="7EBBB970" w14:textId="1A14D7DB"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Vogando na esteira, único o repositório jurisprudencial pátrio sobre o tema:</w:t>
      </w:r>
    </w:p>
    <w:p w14:paraId="6B9B45B7" w14:textId="71B96050" w:rsidR="007840D7" w:rsidRPr="007840D7" w:rsidRDefault="006B0D1F" w:rsidP="007840D7">
      <w:pPr>
        <w:ind w:right="-568"/>
        <w:jc w:val="both"/>
        <w:rPr>
          <w:rFonts w:ascii="Times New Roman" w:hAnsi="Times New Roman" w:cs="Times New Roman"/>
        </w:rPr>
      </w:pPr>
      <w:r>
        <w:rPr>
          <w:rFonts w:ascii="Times New Roman" w:hAnsi="Times New Roman" w:cs="Times New Roman"/>
        </w:rPr>
        <w:t>“</w:t>
      </w:r>
      <w:r w:rsidR="007840D7" w:rsidRPr="006B0D1F">
        <w:rPr>
          <w:rFonts w:ascii="Times New Roman" w:hAnsi="Times New Roman" w:cs="Times New Roman"/>
          <w:i/>
          <w:iCs/>
        </w:rPr>
        <w:t>APELAÇÃO - AÇÃO DE COBRANÇA - Contrato de prestação de serviços de transporte - Sentença de procedência - Insurgência da requerida. CERCEAMENTO DE DEFESA - Inocorrência - Produção de provas que, destinando-se à corroboração de pedido contraposto não conhecido, revelou-se desnecessária - Julgamento regularmente proferido nos termos do artigo 355 do Código de Processo Civil. PEDIDO CONTRAPOSTO - Inadequação - Impossibilidade de recebimento como reconvenção - Pedido contraposto que, sendo indissociável da ação principal, em muito se diferencia da reconvenção, que tem natureza própria - C. Superior Tribunal de Justiça que já se pronunciou no sentido de que a formulação de pedido contraposto somente é cabível nas hipóteses expressamente previstas na legislação pátria - Princípio da fungibilidade que não encontra campo de aplicação na espécie - Precedentes deste E. Tribunal de Justiça do Estado de São Paulo - D. juízo de primeira instância categórico ao não conhecer do pedido contraposto formulado pela ré, em virtude de sua inadequação - Sentença mantida - RECURSO NÃO PROVIDO</w:t>
      </w:r>
      <w:r>
        <w:rPr>
          <w:rFonts w:ascii="Times New Roman" w:hAnsi="Times New Roman" w:cs="Times New Roman"/>
        </w:rPr>
        <w:t>.”</w:t>
      </w:r>
      <w:r w:rsidR="007840D7" w:rsidRPr="007840D7">
        <w:rPr>
          <w:rFonts w:ascii="Times New Roman" w:hAnsi="Times New Roman" w:cs="Times New Roman"/>
        </w:rPr>
        <w:t xml:space="preserve"> [TJSP, Apelação Cível 10030034920208260323, Relator Des. </w:t>
      </w:r>
      <w:proofErr w:type="spellStart"/>
      <w:r w:rsidR="007840D7" w:rsidRPr="007840D7">
        <w:rPr>
          <w:rFonts w:ascii="Times New Roman" w:hAnsi="Times New Roman" w:cs="Times New Roman"/>
        </w:rPr>
        <w:t>Lavínio</w:t>
      </w:r>
      <w:proofErr w:type="spellEnd"/>
      <w:r w:rsidR="007840D7" w:rsidRPr="007840D7">
        <w:rPr>
          <w:rFonts w:ascii="Times New Roman" w:hAnsi="Times New Roman" w:cs="Times New Roman"/>
        </w:rPr>
        <w:t xml:space="preserve"> Donizetti </w:t>
      </w:r>
      <w:proofErr w:type="spellStart"/>
      <w:r w:rsidR="007840D7" w:rsidRPr="007840D7">
        <w:rPr>
          <w:rFonts w:ascii="Times New Roman" w:hAnsi="Times New Roman" w:cs="Times New Roman"/>
        </w:rPr>
        <w:t>Paschoalão</w:t>
      </w:r>
      <w:proofErr w:type="spellEnd"/>
      <w:r w:rsidR="007840D7" w:rsidRPr="007840D7">
        <w:rPr>
          <w:rFonts w:ascii="Times New Roman" w:hAnsi="Times New Roman" w:cs="Times New Roman"/>
        </w:rPr>
        <w:t xml:space="preserve">, 38ª Câmara de Direito Privado, </w:t>
      </w:r>
      <w:proofErr w:type="spellStart"/>
      <w:r w:rsidR="007840D7" w:rsidRPr="007840D7">
        <w:rPr>
          <w:rFonts w:ascii="Times New Roman" w:hAnsi="Times New Roman" w:cs="Times New Roman"/>
        </w:rPr>
        <w:t>DJe</w:t>
      </w:r>
      <w:proofErr w:type="spellEnd"/>
      <w:r w:rsidR="007840D7" w:rsidRPr="007840D7">
        <w:rPr>
          <w:rFonts w:ascii="Times New Roman" w:hAnsi="Times New Roman" w:cs="Times New Roman"/>
        </w:rPr>
        <w:t xml:space="preserve"> 14/11/2023].</w:t>
      </w:r>
    </w:p>
    <w:p w14:paraId="1CFA7650" w14:textId="3878CF50" w:rsidR="007840D7" w:rsidRPr="007840D7" w:rsidRDefault="006B0D1F" w:rsidP="007840D7">
      <w:pPr>
        <w:ind w:right="-568"/>
        <w:jc w:val="both"/>
        <w:rPr>
          <w:rFonts w:ascii="Times New Roman" w:hAnsi="Times New Roman" w:cs="Times New Roman"/>
        </w:rPr>
      </w:pPr>
      <w:r>
        <w:rPr>
          <w:rFonts w:ascii="Times New Roman" w:hAnsi="Times New Roman" w:cs="Times New Roman"/>
        </w:rPr>
        <w:t>“</w:t>
      </w:r>
      <w:r w:rsidR="007840D7" w:rsidRPr="006B0D1F">
        <w:rPr>
          <w:rFonts w:ascii="Times New Roman" w:hAnsi="Times New Roman" w:cs="Times New Roman"/>
          <w:i/>
          <w:iCs/>
        </w:rPr>
        <w:t xml:space="preserve">APELAÇÃO CÍVEL. AÇÃO DE RESCISÃO DE CONTRATO DE COMPRA E VENDA COM IMISSÃO DE POSSE. INDENIZAÇÃO POR BENFEITORIAS EM PEDIDO CONTRAPOSTO FORMULADO PELO RÉU. INADMISSIBILIDADE DO PEDIDO. AUSÊNCIA DE RECONVENÇÃO OU DE AÇÃO DE CONHECIMENTO APROPRIADA AO PEDIDO. </w:t>
      </w:r>
      <w:r w:rsidR="007840D7" w:rsidRPr="006B0D1F">
        <w:rPr>
          <w:rFonts w:ascii="Times New Roman" w:hAnsi="Times New Roman" w:cs="Times New Roman"/>
          <w:i/>
          <w:iCs/>
        </w:rPr>
        <w:lastRenderedPageBreak/>
        <w:t>SENTENÇA REFORMADA PARA DECOTAR OS EFEITOS DO PEDIDO CONTRAPOSTO. PRECEDENTES DO STJ. - Nas ações de conhecimento, especificamente de rescisão de contrato por inadimplemento do comprador, seguido de pleito de "reintegração de posse", mostra-se inadmissível o pleito formulado pelo réu indenização por benfeitorias, apresentado apenas como pedido contraposto, ante a ausência de procedimento processual adequado e de interesse processual. Precedentes do STJ - Não conhecido o pedido contraposto, cumpre decotar da sentença os efeitos correlatos a tal pedido, cabendo à parte interessada se valer do procedimento apropriado para debater o mérito do pleito indenizatório apontado</w:t>
      </w:r>
      <w:r w:rsidR="007840D7" w:rsidRPr="007840D7">
        <w:rPr>
          <w:rFonts w:ascii="Times New Roman" w:hAnsi="Times New Roman" w:cs="Times New Roman"/>
        </w:rPr>
        <w:t>.</w:t>
      </w:r>
      <w:r>
        <w:rPr>
          <w:rFonts w:ascii="Times New Roman" w:hAnsi="Times New Roman" w:cs="Times New Roman"/>
        </w:rPr>
        <w:t xml:space="preserve">” </w:t>
      </w:r>
      <w:proofErr w:type="gramStart"/>
      <w:r w:rsidR="007840D7" w:rsidRPr="007840D7">
        <w:rPr>
          <w:rFonts w:ascii="Times New Roman" w:hAnsi="Times New Roman" w:cs="Times New Roman"/>
        </w:rPr>
        <w:t>[</w:t>
      </w:r>
      <w:proofErr w:type="gramEnd"/>
      <w:r w:rsidR="007840D7" w:rsidRPr="007840D7">
        <w:rPr>
          <w:rFonts w:ascii="Times New Roman" w:hAnsi="Times New Roman" w:cs="Times New Roman"/>
        </w:rPr>
        <w:t xml:space="preserve">TJMG, Apelação Cível 0111634-73.2015.8 .13.0701, Relator Des. Luiz Carlos Gomes da Mata, 13ª CÂMARA CÍVEL, </w:t>
      </w:r>
      <w:proofErr w:type="spellStart"/>
      <w:r w:rsidR="007840D7" w:rsidRPr="007840D7">
        <w:rPr>
          <w:rFonts w:ascii="Times New Roman" w:hAnsi="Times New Roman" w:cs="Times New Roman"/>
        </w:rPr>
        <w:t>DJe</w:t>
      </w:r>
      <w:proofErr w:type="spellEnd"/>
      <w:r w:rsidR="007840D7" w:rsidRPr="007840D7">
        <w:rPr>
          <w:rFonts w:ascii="Times New Roman" w:hAnsi="Times New Roman" w:cs="Times New Roman"/>
        </w:rPr>
        <w:t xml:space="preserve"> 09/04/2024].</w:t>
      </w:r>
    </w:p>
    <w:p w14:paraId="49DECB4D" w14:textId="5790A254" w:rsidR="007840D7" w:rsidRPr="00023503" w:rsidRDefault="006B0D1F" w:rsidP="007840D7">
      <w:pPr>
        <w:ind w:right="-568"/>
        <w:jc w:val="both"/>
        <w:rPr>
          <w:rFonts w:ascii="Times New Roman" w:hAnsi="Times New Roman" w:cs="Times New Roman"/>
          <w:i/>
          <w:iCs/>
        </w:rPr>
      </w:pPr>
      <w:r>
        <w:rPr>
          <w:rFonts w:ascii="Times New Roman" w:hAnsi="Times New Roman" w:cs="Times New Roman"/>
        </w:rPr>
        <w:t>“</w:t>
      </w:r>
      <w:r w:rsidR="007840D7" w:rsidRPr="00023503">
        <w:rPr>
          <w:rFonts w:ascii="Times New Roman" w:hAnsi="Times New Roman" w:cs="Times New Roman"/>
          <w:i/>
          <w:iCs/>
        </w:rPr>
        <w:t xml:space="preserve">APELAÇÃO. PROCESSUAL CIVIL. AÇÃO. RITO ORDINÁRIO. DESPEJO. COBRANÇA. PEDIDO CONTRAPOSTO. IMPOSSIBILIDADE. RECONVENÇÃO. VIA ADEQUADA. </w:t>
      </w:r>
      <w:r w:rsidR="00023503" w:rsidRPr="00023503">
        <w:rPr>
          <w:rFonts w:ascii="Times New Roman" w:hAnsi="Times New Roman" w:cs="Times New Roman"/>
          <w:i/>
          <w:iCs/>
        </w:rPr>
        <w:t xml:space="preserve"> </w:t>
      </w:r>
      <w:r w:rsidR="007840D7" w:rsidRPr="00023503">
        <w:rPr>
          <w:rFonts w:ascii="Times New Roman" w:hAnsi="Times New Roman" w:cs="Times New Roman"/>
          <w:i/>
          <w:iCs/>
        </w:rPr>
        <w:t>1. Não se admite a formulação de pedido contraposto nas ações que tramitam pelo rito ordinário. Em ação que tramite sob o rito ordinário o requerimento deve ser formulado por reconvenção. A formulação de pedido contraposto somente é admitida nos processos sob o rito sumaríssimo, em trâmite perante os Juizados Especiais. O pedido contraposto e a reconvenção, apesar de se assemelharem um do outro, são institutos distintos. 2. Apelação desprovida</w:t>
      </w:r>
      <w:r w:rsidR="007840D7" w:rsidRPr="007840D7">
        <w:rPr>
          <w:rFonts w:ascii="Times New Roman" w:hAnsi="Times New Roman" w:cs="Times New Roman"/>
        </w:rPr>
        <w:t>.</w:t>
      </w:r>
      <w:r w:rsidR="00023503">
        <w:rPr>
          <w:rFonts w:ascii="Times New Roman" w:hAnsi="Times New Roman" w:cs="Times New Roman"/>
        </w:rPr>
        <w:t>”</w:t>
      </w:r>
      <w:r w:rsidR="007840D7" w:rsidRPr="007840D7">
        <w:rPr>
          <w:rFonts w:ascii="Times New Roman" w:hAnsi="Times New Roman" w:cs="Times New Roman"/>
        </w:rPr>
        <w:t xml:space="preserve"> </w:t>
      </w:r>
      <w:r w:rsidR="00023503">
        <w:rPr>
          <w:rFonts w:ascii="Times New Roman" w:hAnsi="Times New Roman" w:cs="Times New Roman"/>
          <w:i/>
          <w:iCs/>
        </w:rPr>
        <w:t xml:space="preserve"> </w:t>
      </w:r>
      <w:r w:rsidR="007840D7" w:rsidRPr="007840D7">
        <w:rPr>
          <w:rFonts w:ascii="Times New Roman" w:hAnsi="Times New Roman" w:cs="Times New Roman"/>
        </w:rPr>
        <w:t xml:space="preserve">[TJDF, Apelação Cível 07126708820228070001 1677987, Relator Des. Hector Valverde Santanna, 2ª Turma Cível, </w:t>
      </w:r>
      <w:proofErr w:type="spellStart"/>
      <w:r w:rsidR="007840D7" w:rsidRPr="007840D7">
        <w:rPr>
          <w:rFonts w:ascii="Times New Roman" w:hAnsi="Times New Roman" w:cs="Times New Roman"/>
        </w:rPr>
        <w:t>DJe</w:t>
      </w:r>
      <w:proofErr w:type="spellEnd"/>
      <w:r w:rsidR="007840D7" w:rsidRPr="007840D7">
        <w:rPr>
          <w:rFonts w:ascii="Times New Roman" w:hAnsi="Times New Roman" w:cs="Times New Roman"/>
        </w:rPr>
        <w:t xml:space="preserve">  04/04/2023].</w:t>
      </w:r>
    </w:p>
    <w:p w14:paraId="493C401E" w14:textId="62B05D29" w:rsidR="007840D7" w:rsidRPr="007840D7" w:rsidRDefault="007840D7" w:rsidP="007840D7">
      <w:pPr>
        <w:ind w:right="-568"/>
        <w:jc w:val="both"/>
        <w:rPr>
          <w:rFonts w:ascii="Times New Roman" w:hAnsi="Times New Roman" w:cs="Times New Roman"/>
        </w:rPr>
      </w:pPr>
      <w:r w:rsidRPr="007840D7">
        <w:rPr>
          <w:rFonts w:ascii="Times New Roman" w:hAnsi="Times New Roman" w:cs="Times New Roman"/>
        </w:rPr>
        <w:t>Logo, escorreita a v. sentença ao não conhecer do pedido contraposto subsidiário de indenização.</w:t>
      </w:r>
    </w:p>
    <w:p w14:paraId="79AE760E" w14:textId="22F2D646" w:rsidR="007840D7" w:rsidRPr="00023503" w:rsidRDefault="007840D7" w:rsidP="007840D7">
      <w:pPr>
        <w:ind w:right="-568"/>
        <w:jc w:val="both"/>
        <w:rPr>
          <w:rFonts w:ascii="Times New Roman" w:hAnsi="Times New Roman" w:cs="Times New Roman"/>
          <w:b/>
          <w:bCs/>
        </w:rPr>
      </w:pPr>
      <w:r w:rsidRPr="00023503">
        <w:rPr>
          <w:rFonts w:ascii="Times New Roman" w:hAnsi="Times New Roman" w:cs="Times New Roman"/>
          <w:b/>
          <w:bCs/>
        </w:rPr>
        <w:t>III-PEDIDOS</w:t>
      </w:r>
    </w:p>
    <w:p w14:paraId="47AE208A" w14:textId="524938C4" w:rsidR="007840D7" w:rsidRPr="007840D7" w:rsidRDefault="007840D7" w:rsidP="007840D7">
      <w:pPr>
        <w:ind w:right="-568"/>
        <w:jc w:val="both"/>
        <w:rPr>
          <w:rFonts w:ascii="Times New Roman" w:hAnsi="Times New Roman" w:cs="Times New Roman"/>
        </w:rPr>
      </w:pPr>
      <w:proofErr w:type="spellStart"/>
      <w:r w:rsidRPr="00023503">
        <w:rPr>
          <w:rFonts w:ascii="Times New Roman" w:hAnsi="Times New Roman" w:cs="Times New Roman"/>
          <w:b/>
          <w:bCs/>
          <w:i/>
          <w:iCs/>
        </w:rPr>
        <w:t>Ex</w:t>
      </w:r>
      <w:proofErr w:type="spellEnd"/>
      <w:r w:rsidRPr="00023503">
        <w:rPr>
          <w:rFonts w:ascii="Times New Roman" w:hAnsi="Times New Roman" w:cs="Times New Roman"/>
          <w:b/>
          <w:bCs/>
          <w:i/>
          <w:iCs/>
        </w:rPr>
        <w:t xml:space="preserve"> positis</w:t>
      </w:r>
      <w:r w:rsidRPr="007840D7">
        <w:rPr>
          <w:rFonts w:ascii="Times New Roman" w:hAnsi="Times New Roman" w:cs="Times New Roman"/>
        </w:rPr>
        <w:t>, os apelados/coautores requerem SEJA NEGADO PROVIMENTO AO RECURSO.</w:t>
      </w:r>
    </w:p>
    <w:p w14:paraId="7E232652" w14:textId="6C03266F" w:rsidR="007840D7" w:rsidRPr="007840D7" w:rsidRDefault="007840D7" w:rsidP="00023503">
      <w:pPr>
        <w:spacing w:after="0" w:line="240" w:lineRule="auto"/>
        <w:ind w:right="-567"/>
        <w:jc w:val="center"/>
        <w:rPr>
          <w:rFonts w:ascii="Times New Roman" w:hAnsi="Times New Roman" w:cs="Times New Roman"/>
        </w:rPr>
      </w:pPr>
      <w:r w:rsidRPr="007840D7">
        <w:rPr>
          <w:rFonts w:ascii="Times New Roman" w:hAnsi="Times New Roman" w:cs="Times New Roman"/>
        </w:rPr>
        <w:t>P</w:t>
      </w:r>
      <w:r w:rsidR="00023503">
        <w:rPr>
          <w:rFonts w:ascii="Times New Roman" w:hAnsi="Times New Roman" w:cs="Times New Roman"/>
        </w:rPr>
        <w:t>ede</w:t>
      </w:r>
      <w:r w:rsidRPr="007840D7">
        <w:rPr>
          <w:rFonts w:ascii="Times New Roman" w:hAnsi="Times New Roman" w:cs="Times New Roman"/>
        </w:rPr>
        <w:t xml:space="preserve"> Deferimento.</w:t>
      </w:r>
    </w:p>
    <w:p w14:paraId="4261C080" w14:textId="5DB8E9AD" w:rsidR="007840D7" w:rsidRDefault="00023503" w:rsidP="00023503">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2D92710E" w14:textId="3DC8C8FD" w:rsidR="00023503" w:rsidRPr="007840D7" w:rsidRDefault="00023503" w:rsidP="00023503">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023503" w:rsidRPr="007840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7D5D1" w14:textId="77777777" w:rsidR="00F23434" w:rsidRDefault="00F23434" w:rsidP="007840D7">
      <w:pPr>
        <w:spacing w:after="0" w:line="240" w:lineRule="auto"/>
      </w:pPr>
      <w:r>
        <w:separator/>
      </w:r>
    </w:p>
  </w:endnote>
  <w:endnote w:type="continuationSeparator" w:id="0">
    <w:p w14:paraId="13380DEA" w14:textId="77777777" w:rsidR="00F23434" w:rsidRDefault="00F23434" w:rsidP="00784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05B03" w14:textId="77777777" w:rsidR="00F23434" w:rsidRDefault="00F23434" w:rsidP="007840D7">
      <w:pPr>
        <w:spacing w:after="0" w:line="240" w:lineRule="auto"/>
      </w:pPr>
      <w:r>
        <w:separator/>
      </w:r>
    </w:p>
  </w:footnote>
  <w:footnote w:type="continuationSeparator" w:id="0">
    <w:p w14:paraId="7BB87178" w14:textId="77777777" w:rsidR="00F23434" w:rsidRDefault="00F23434" w:rsidP="007840D7">
      <w:pPr>
        <w:spacing w:after="0" w:line="240" w:lineRule="auto"/>
      </w:pPr>
      <w:r>
        <w:continuationSeparator/>
      </w:r>
    </w:p>
  </w:footnote>
  <w:footnote w:id="1">
    <w:p w14:paraId="199899E1" w14:textId="6F2B16DD" w:rsidR="00023503" w:rsidRPr="00023503" w:rsidRDefault="00023503" w:rsidP="00023503">
      <w:pPr>
        <w:pStyle w:val="Textodenotaderodap"/>
        <w:ind w:right="-568"/>
        <w:jc w:val="both"/>
        <w:rPr>
          <w:rFonts w:ascii="Times New Roman" w:hAnsi="Times New Roman" w:cs="Times New Roman"/>
        </w:rPr>
      </w:pPr>
      <w:r w:rsidRPr="00023503">
        <w:rPr>
          <w:rStyle w:val="Refdenotaderodap"/>
          <w:rFonts w:ascii="Times New Roman" w:hAnsi="Times New Roman" w:cs="Times New Roman"/>
        </w:rPr>
        <w:footnoteRef/>
      </w:r>
      <w:r w:rsidRPr="00023503">
        <w:rPr>
          <w:rFonts w:ascii="Times New Roman" w:hAnsi="Times New Roman" w:cs="Times New Roman"/>
        </w:rPr>
        <w:t xml:space="preserve"> </w:t>
      </w:r>
      <w:r w:rsidRPr="00023503">
        <w:rPr>
          <w:rFonts w:ascii="Times New Roman" w:hAnsi="Times New Roman" w:cs="Times New Roman"/>
        </w:rPr>
        <w:t>CPC, art. 966. [...] § 4º - Os atos de disposição de direitos, praticados pelas partes ou por outros participantes do processo e homologados pelo juízo, bem como os atos homologatórios praticados no curso da execução, estão sujeitos à anulação, nos termos da lei.</w:t>
      </w:r>
    </w:p>
  </w:footnote>
  <w:footnote w:id="2">
    <w:p w14:paraId="45AF39A6" w14:textId="77777777" w:rsidR="00023503" w:rsidRPr="00023503" w:rsidRDefault="00023503" w:rsidP="00023503">
      <w:pPr>
        <w:pStyle w:val="Textodenotaderodap"/>
        <w:ind w:right="-568"/>
        <w:jc w:val="both"/>
        <w:rPr>
          <w:rFonts w:ascii="Times New Roman" w:hAnsi="Times New Roman" w:cs="Times New Roman"/>
        </w:rPr>
      </w:pPr>
      <w:r w:rsidRPr="00023503">
        <w:rPr>
          <w:rStyle w:val="Refdenotaderodap"/>
          <w:rFonts w:ascii="Times New Roman" w:hAnsi="Times New Roman" w:cs="Times New Roman"/>
        </w:rPr>
        <w:footnoteRef/>
      </w:r>
      <w:r w:rsidRPr="00023503">
        <w:rPr>
          <w:rFonts w:ascii="Times New Roman" w:hAnsi="Times New Roman" w:cs="Times New Roman"/>
        </w:rPr>
        <w:t xml:space="preserve"> </w:t>
      </w:r>
      <w:r w:rsidRPr="00023503">
        <w:rPr>
          <w:rFonts w:ascii="Times New Roman" w:hAnsi="Times New Roman" w:cs="Times New Roman"/>
        </w:rPr>
        <w:t>CC, art. 113. Os negócios jurídicos devem ser interpretados conforme a boa-fé e os usos do lugar de sua celebração.</w:t>
      </w:r>
    </w:p>
    <w:p w14:paraId="6E436420" w14:textId="77777777" w:rsidR="00023503" w:rsidRPr="00023503" w:rsidRDefault="00023503" w:rsidP="00023503">
      <w:pPr>
        <w:pStyle w:val="Textodenotaderodap"/>
        <w:ind w:right="-568"/>
        <w:jc w:val="both"/>
        <w:rPr>
          <w:rFonts w:ascii="Times New Roman" w:hAnsi="Times New Roman" w:cs="Times New Roman"/>
        </w:rPr>
      </w:pPr>
      <w:r w:rsidRPr="00023503">
        <w:rPr>
          <w:rFonts w:ascii="Times New Roman" w:hAnsi="Times New Roman" w:cs="Times New Roman"/>
        </w:rPr>
        <w:t>§ 1º.  A interpretação do negócio jurídico deve lhe atribuir o sentido que:  [...]</w:t>
      </w:r>
    </w:p>
    <w:p w14:paraId="2A652320" w14:textId="77777777" w:rsidR="00023503" w:rsidRPr="00023503" w:rsidRDefault="00023503" w:rsidP="00023503">
      <w:pPr>
        <w:pStyle w:val="Textodenotaderodap"/>
        <w:ind w:right="-568"/>
        <w:jc w:val="both"/>
        <w:rPr>
          <w:rFonts w:ascii="Times New Roman" w:hAnsi="Times New Roman" w:cs="Times New Roman"/>
        </w:rPr>
      </w:pPr>
      <w:r w:rsidRPr="00023503">
        <w:rPr>
          <w:rFonts w:ascii="Times New Roman" w:hAnsi="Times New Roman" w:cs="Times New Roman"/>
        </w:rPr>
        <w:t>III - corresponder à boa-</w:t>
      </w:r>
      <w:proofErr w:type="gramStart"/>
      <w:r w:rsidRPr="00023503">
        <w:rPr>
          <w:rFonts w:ascii="Times New Roman" w:hAnsi="Times New Roman" w:cs="Times New Roman"/>
        </w:rPr>
        <w:t>fé;...</w:t>
      </w:r>
      <w:proofErr w:type="gramEnd"/>
    </w:p>
    <w:p w14:paraId="05015413" w14:textId="77777777" w:rsidR="00023503" w:rsidRPr="00023503" w:rsidRDefault="00023503" w:rsidP="00023503">
      <w:pPr>
        <w:pStyle w:val="Textodenotaderodap"/>
        <w:ind w:right="-568"/>
        <w:jc w:val="both"/>
        <w:rPr>
          <w:rFonts w:ascii="Times New Roman" w:hAnsi="Times New Roman" w:cs="Times New Roman"/>
        </w:rPr>
      </w:pPr>
      <w:r w:rsidRPr="00023503">
        <w:rPr>
          <w:rFonts w:ascii="Times New Roman" w:hAnsi="Times New Roman" w:cs="Times New Roman"/>
        </w:rPr>
        <w:t xml:space="preserve">V - </w:t>
      </w:r>
      <w:proofErr w:type="gramStart"/>
      <w:r w:rsidRPr="00023503">
        <w:rPr>
          <w:rFonts w:ascii="Times New Roman" w:hAnsi="Times New Roman" w:cs="Times New Roman"/>
        </w:rPr>
        <w:t>corresponder</w:t>
      </w:r>
      <w:proofErr w:type="gramEnd"/>
      <w:r w:rsidRPr="00023503">
        <w:rPr>
          <w:rFonts w:ascii="Times New Roman" w:hAnsi="Times New Roman" w:cs="Times New Roman"/>
        </w:rPr>
        <w:t xml:space="preserve"> a qual seria a razoável negociação das partes sobre a questão discutida, inferida das demais disposições do negócio e da racionalidade econômica das partes, consideradas as informações disponíveis no momento de sua celebração...</w:t>
      </w:r>
    </w:p>
    <w:p w14:paraId="1F032164" w14:textId="77777777" w:rsidR="00023503" w:rsidRPr="00023503" w:rsidRDefault="00023503" w:rsidP="00023503">
      <w:pPr>
        <w:pStyle w:val="Textodenotaderodap"/>
        <w:ind w:right="-568"/>
        <w:jc w:val="both"/>
        <w:rPr>
          <w:rFonts w:ascii="Times New Roman" w:hAnsi="Times New Roman" w:cs="Times New Roman"/>
        </w:rPr>
      </w:pPr>
      <w:r w:rsidRPr="00023503">
        <w:rPr>
          <w:rFonts w:ascii="Times New Roman" w:hAnsi="Times New Roman" w:cs="Times New Roman"/>
        </w:rPr>
        <w:t>Art.166. É nulo o negócio jurídico quando:...</w:t>
      </w:r>
    </w:p>
    <w:p w14:paraId="5624AD8D" w14:textId="77777777" w:rsidR="00023503" w:rsidRPr="00023503" w:rsidRDefault="00023503" w:rsidP="00023503">
      <w:pPr>
        <w:pStyle w:val="Textodenotaderodap"/>
        <w:ind w:right="-568"/>
        <w:jc w:val="both"/>
        <w:rPr>
          <w:rFonts w:ascii="Times New Roman" w:hAnsi="Times New Roman" w:cs="Times New Roman"/>
        </w:rPr>
      </w:pPr>
      <w:r w:rsidRPr="00023503">
        <w:rPr>
          <w:rFonts w:ascii="Times New Roman" w:hAnsi="Times New Roman" w:cs="Times New Roman"/>
        </w:rPr>
        <w:t xml:space="preserve">IV - </w:t>
      </w:r>
      <w:proofErr w:type="gramStart"/>
      <w:r w:rsidRPr="00023503">
        <w:rPr>
          <w:rFonts w:ascii="Times New Roman" w:hAnsi="Times New Roman" w:cs="Times New Roman"/>
        </w:rPr>
        <w:t>não</w:t>
      </w:r>
      <w:proofErr w:type="gramEnd"/>
      <w:r w:rsidRPr="00023503">
        <w:rPr>
          <w:rFonts w:ascii="Times New Roman" w:hAnsi="Times New Roman" w:cs="Times New Roman"/>
        </w:rPr>
        <w:t xml:space="preserve"> revestir a forma prescrita em lei;</w:t>
      </w:r>
    </w:p>
    <w:p w14:paraId="5822EB37" w14:textId="77777777" w:rsidR="00023503" w:rsidRPr="00023503" w:rsidRDefault="00023503" w:rsidP="00023503">
      <w:pPr>
        <w:pStyle w:val="Textodenotaderodap"/>
        <w:ind w:right="-568"/>
        <w:jc w:val="both"/>
        <w:rPr>
          <w:rFonts w:ascii="Times New Roman" w:hAnsi="Times New Roman" w:cs="Times New Roman"/>
        </w:rPr>
      </w:pPr>
      <w:r w:rsidRPr="00023503">
        <w:rPr>
          <w:rFonts w:ascii="Times New Roman" w:hAnsi="Times New Roman" w:cs="Times New Roman"/>
        </w:rPr>
        <w:t xml:space="preserve">V </w:t>
      </w:r>
      <w:proofErr w:type="gramStart"/>
      <w:r w:rsidRPr="00023503">
        <w:rPr>
          <w:rFonts w:ascii="Times New Roman" w:hAnsi="Times New Roman" w:cs="Times New Roman"/>
        </w:rPr>
        <w:t>-  for</w:t>
      </w:r>
      <w:proofErr w:type="gramEnd"/>
      <w:r w:rsidRPr="00023503">
        <w:rPr>
          <w:rFonts w:ascii="Times New Roman" w:hAnsi="Times New Roman" w:cs="Times New Roman"/>
        </w:rPr>
        <w:t xml:space="preserve"> preterida alguma solenidade que a lei considere essencial para a sua validade.</w:t>
      </w:r>
    </w:p>
    <w:p w14:paraId="01AA78E7" w14:textId="4EA67386" w:rsidR="00023503" w:rsidRPr="00023503" w:rsidRDefault="00023503" w:rsidP="00023503">
      <w:pPr>
        <w:pStyle w:val="Textodenotaderodap"/>
        <w:ind w:right="-568"/>
        <w:jc w:val="both"/>
        <w:rPr>
          <w:rFonts w:ascii="Times New Roman" w:hAnsi="Times New Roman" w:cs="Times New Roman"/>
        </w:rPr>
      </w:pPr>
      <w:r w:rsidRPr="00023503">
        <w:rPr>
          <w:rFonts w:ascii="Times New Roman" w:hAnsi="Times New Roman" w:cs="Times New Roman"/>
        </w:rPr>
        <w:t>Art. 1.015. No silêncio do contrato, os administradores podem praticar todos os atos pertinentes à gestão da sociedade; não constituindo objeto social, a oneração ou a venda de bens imóveis depende do que a maioria dos sócios decidir.</w:t>
      </w:r>
    </w:p>
  </w:footnote>
  <w:footnote w:id="3">
    <w:p w14:paraId="4D9F2986" w14:textId="77777777" w:rsidR="00023503" w:rsidRPr="00023503" w:rsidRDefault="00023503" w:rsidP="00023503">
      <w:pPr>
        <w:pStyle w:val="Textodenotaderodap"/>
        <w:ind w:right="-568"/>
        <w:jc w:val="both"/>
        <w:rPr>
          <w:rFonts w:ascii="Times New Roman" w:hAnsi="Times New Roman" w:cs="Times New Roman"/>
        </w:rPr>
      </w:pPr>
      <w:r w:rsidRPr="00023503">
        <w:rPr>
          <w:rStyle w:val="Refdenotaderodap"/>
          <w:rFonts w:ascii="Times New Roman" w:hAnsi="Times New Roman" w:cs="Times New Roman"/>
        </w:rPr>
        <w:footnoteRef/>
      </w:r>
      <w:r w:rsidRPr="00023503">
        <w:rPr>
          <w:rFonts w:ascii="Times New Roman" w:hAnsi="Times New Roman" w:cs="Times New Roman"/>
        </w:rPr>
        <w:t xml:space="preserve"> </w:t>
      </w:r>
      <w:r w:rsidRPr="00023503">
        <w:rPr>
          <w:rFonts w:ascii="Times New Roman" w:hAnsi="Times New Roman" w:cs="Times New Roman"/>
        </w:rPr>
        <w:t>CPC, art. 619. Incumbe ainda ao inventariante, ouvidos os interessados e com autorização do juiz: [...] II- transigir em juízo ou fora dele; [...]</w:t>
      </w:r>
    </w:p>
    <w:p w14:paraId="1FA4C9E9" w14:textId="6E08D2C4" w:rsidR="00023503" w:rsidRPr="00023503" w:rsidRDefault="00023503" w:rsidP="00023503">
      <w:pPr>
        <w:pStyle w:val="Textodenotaderodap"/>
        <w:ind w:right="-568"/>
        <w:jc w:val="both"/>
        <w:rPr>
          <w:rFonts w:ascii="Times New Roman" w:hAnsi="Times New Roman" w:cs="Times New Roman"/>
        </w:rPr>
      </w:pPr>
      <w:r w:rsidRPr="00023503">
        <w:rPr>
          <w:rFonts w:ascii="Times New Roman" w:hAnsi="Times New Roman" w:cs="Times New Roman"/>
        </w:rPr>
        <w:t>CC, art. 1.793. ...§ 3º. Ineficaz é a disposição, sem prévia autorização do juiz da sucessão, por qualquer herdeiro, de bem componente do acervo hereditário, pendente de divisibilidade.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3B26A1"/>
    <w:multiLevelType w:val="hybridMultilevel"/>
    <w:tmpl w:val="37A28E74"/>
    <w:lvl w:ilvl="0" w:tplc="AE183E5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738600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0D7"/>
    <w:rsid w:val="00023503"/>
    <w:rsid w:val="006B0D1F"/>
    <w:rsid w:val="007840D7"/>
    <w:rsid w:val="00DD0A9B"/>
    <w:rsid w:val="00F234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D7C10"/>
  <w15:chartTrackingRefBased/>
  <w15:docId w15:val="{2C9CD8A8-F4F9-4219-B768-2615E11B3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7840D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7840D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840D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840D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840D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840D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840D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840D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840D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840D7"/>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7840D7"/>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7840D7"/>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7840D7"/>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7840D7"/>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7840D7"/>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840D7"/>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840D7"/>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840D7"/>
    <w:rPr>
      <w:rFonts w:eastAsiaTheme="majorEastAsia" w:cstheme="majorBidi"/>
      <w:color w:val="272727" w:themeColor="text1" w:themeTint="D8"/>
    </w:rPr>
  </w:style>
  <w:style w:type="paragraph" w:styleId="Ttulo">
    <w:name w:val="Title"/>
    <w:basedOn w:val="Normal"/>
    <w:next w:val="Normal"/>
    <w:link w:val="TtuloChar"/>
    <w:uiPriority w:val="10"/>
    <w:qFormat/>
    <w:rsid w:val="007840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840D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7840D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840D7"/>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840D7"/>
    <w:pPr>
      <w:spacing w:before="160"/>
      <w:jc w:val="center"/>
    </w:pPr>
    <w:rPr>
      <w:i/>
      <w:iCs/>
      <w:color w:val="404040" w:themeColor="text1" w:themeTint="BF"/>
    </w:rPr>
  </w:style>
  <w:style w:type="character" w:customStyle="1" w:styleId="CitaoChar">
    <w:name w:val="Citação Char"/>
    <w:basedOn w:val="Fontepargpadro"/>
    <w:link w:val="Citao"/>
    <w:uiPriority w:val="29"/>
    <w:rsid w:val="007840D7"/>
    <w:rPr>
      <w:i/>
      <w:iCs/>
      <w:color w:val="404040" w:themeColor="text1" w:themeTint="BF"/>
    </w:rPr>
  </w:style>
  <w:style w:type="paragraph" w:styleId="PargrafodaLista">
    <w:name w:val="List Paragraph"/>
    <w:basedOn w:val="Normal"/>
    <w:uiPriority w:val="34"/>
    <w:qFormat/>
    <w:rsid w:val="007840D7"/>
    <w:pPr>
      <w:ind w:left="720"/>
      <w:contextualSpacing/>
    </w:pPr>
  </w:style>
  <w:style w:type="character" w:styleId="nfaseIntensa">
    <w:name w:val="Intense Emphasis"/>
    <w:basedOn w:val="Fontepargpadro"/>
    <w:uiPriority w:val="21"/>
    <w:qFormat/>
    <w:rsid w:val="007840D7"/>
    <w:rPr>
      <w:i/>
      <w:iCs/>
      <w:color w:val="2F5496" w:themeColor="accent1" w:themeShade="BF"/>
    </w:rPr>
  </w:style>
  <w:style w:type="paragraph" w:styleId="CitaoIntensa">
    <w:name w:val="Intense Quote"/>
    <w:basedOn w:val="Normal"/>
    <w:next w:val="Normal"/>
    <w:link w:val="CitaoIntensaChar"/>
    <w:uiPriority w:val="30"/>
    <w:qFormat/>
    <w:rsid w:val="007840D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840D7"/>
    <w:rPr>
      <w:i/>
      <w:iCs/>
      <w:color w:val="2F5496" w:themeColor="accent1" w:themeShade="BF"/>
    </w:rPr>
  </w:style>
  <w:style w:type="character" w:styleId="RefernciaIntensa">
    <w:name w:val="Intense Reference"/>
    <w:basedOn w:val="Fontepargpadro"/>
    <w:uiPriority w:val="32"/>
    <w:qFormat/>
    <w:rsid w:val="007840D7"/>
    <w:rPr>
      <w:b/>
      <w:bCs/>
      <w:smallCaps/>
      <w:color w:val="2F5496" w:themeColor="accent1" w:themeShade="BF"/>
      <w:spacing w:val="5"/>
    </w:rPr>
  </w:style>
  <w:style w:type="paragraph" w:styleId="Textodenotaderodap">
    <w:name w:val="footnote text"/>
    <w:basedOn w:val="Normal"/>
    <w:link w:val="TextodenotaderodapChar"/>
    <w:uiPriority w:val="99"/>
    <w:semiHidden/>
    <w:unhideWhenUsed/>
    <w:rsid w:val="00023503"/>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023503"/>
    <w:rPr>
      <w:sz w:val="20"/>
      <w:szCs w:val="20"/>
    </w:rPr>
  </w:style>
  <w:style w:type="character" w:styleId="Refdenotaderodap">
    <w:name w:val="footnote reference"/>
    <w:basedOn w:val="Fontepargpadro"/>
    <w:uiPriority w:val="99"/>
    <w:semiHidden/>
    <w:unhideWhenUsed/>
    <w:rsid w:val="000235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DAD9F-CD1A-4F41-B3BF-51BBC1D0B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8</Pages>
  <Words>3024</Words>
  <Characters>16335</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2025-11-10T13:38:00Z</dcterms:created>
  <dcterms:modified xsi:type="dcterms:W3CDTF">2025-11-10T14:06:00Z</dcterms:modified>
</cp:coreProperties>
</file>