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279D8" w14:textId="77777777" w:rsidR="00F12660" w:rsidRPr="00F12660" w:rsidRDefault="00F12660" w:rsidP="00F12660">
      <w:pPr>
        <w:spacing w:after="0" w:line="240" w:lineRule="auto"/>
        <w:ind w:right="-568"/>
        <w:jc w:val="center"/>
        <w:rPr>
          <w:rFonts w:ascii="Arial Black" w:hAnsi="Arial Black" w:cs="Times New Roman"/>
        </w:rPr>
      </w:pPr>
      <w:r w:rsidRPr="00F12660">
        <w:rPr>
          <w:rFonts w:ascii="Arial Black" w:hAnsi="Arial Black" w:cs="Times New Roman"/>
        </w:rPr>
        <w:t>MODELO DE PETIÇÃO</w:t>
      </w:r>
    </w:p>
    <w:p w14:paraId="59193998" w14:textId="77777777" w:rsidR="00F12660" w:rsidRPr="00F12660" w:rsidRDefault="00F12660" w:rsidP="00F12660">
      <w:pPr>
        <w:spacing w:after="0" w:line="240" w:lineRule="auto"/>
        <w:ind w:right="-568"/>
        <w:jc w:val="center"/>
        <w:rPr>
          <w:rFonts w:ascii="Arial Black" w:hAnsi="Arial Black" w:cs="Times New Roman"/>
        </w:rPr>
      </w:pPr>
      <w:r w:rsidRPr="00F12660">
        <w:rPr>
          <w:rFonts w:ascii="Arial Black" w:hAnsi="Arial Black" w:cs="Times New Roman"/>
        </w:rPr>
        <w:t>INVENTÁRIO. COLAÇÃO. IMPUGNAÇÃO. MATÉRIA COMPLEXA.</w:t>
      </w:r>
    </w:p>
    <w:p w14:paraId="37C36C2A" w14:textId="77777777" w:rsidR="00F12660" w:rsidRPr="00F12660" w:rsidRDefault="00F12660" w:rsidP="00F12660">
      <w:pPr>
        <w:spacing w:after="0" w:line="240" w:lineRule="auto"/>
        <w:ind w:right="-568"/>
        <w:jc w:val="center"/>
        <w:rPr>
          <w:rFonts w:ascii="Arial Black" w:hAnsi="Arial Black" w:cs="Times New Roman"/>
        </w:rPr>
      </w:pPr>
      <w:r w:rsidRPr="00F12660">
        <w:rPr>
          <w:rFonts w:ascii="Arial Black" w:hAnsi="Arial Black" w:cs="Times New Roman"/>
        </w:rPr>
        <w:t>REQUERIMENTO ENVIO VIAS ORDINÁRIAS</w:t>
      </w:r>
    </w:p>
    <w:p w14:paraId="5F1948F8" w14:textId="77777777" w:rsidR="00F12660" w:rsidRPr="00F12660" w:rsidRDefault="00F12660" w:rsidP="00F12660">
      <w:pPr>
        <w:spacing w:after="0" w:line="240" w:lineRule="auto"/>
        <w:ind w:right="-568"/>
        <w:jc w:val="right"/>
        <w:rPr>
          <w:rFonts w:ascii="Arial Black" w:hAnsi="Arial Black" w:cs="Times New Roman"/>
        </w:rPr>
      </w:pPr>
      <w:proofErr w:type="spellStart"/>
      <w:r w:rsidRPr="00F12660">
        <w:rPr>
          <w:rFonts w:ascii="Arial Black" w:hAnsi="Arial Black" w:cs="Times New Roman"/>
        </w:rPr>
        <w:t>Rénan</w:t>
      </w:r>
      <w:proofErr w:type="spellEnd"/>
      <w:r w:rsidRPr="00F12660">
        <w:rPr>
          <w:rFonts w:ascii="Arial Black" w:hAnsi="Arial Black" w:cs="Times New Roman"/>
        </w:rPr>
        <w:t xml:space="preserve"> </w:t>
      </w:r>
      <w:proofErr w:type="spellStart"/>
      <w:r w:rsidRPr="00F12660">
        <w:rPr>
          <w:rFonts w:ascii="Arial Black" w:hAnsi="Arial Black" w:cs="Times New Roman"/>
        </w:rPr>
        <w:t>Kfuri</w:t>
      </w:r>
      <w:proofErr w:type="spellEnd"/>
      <w:r w:rsidRPr="00F12660">
        <w:rPr>
          <w:rFonts w:ascii="Arial Black" w:hAnsi="Arial Black" w:cs="Times New Roman"/>
        </w:rPr>
        <w:t xml:space="preserve"> Lopes</w:t>
      </w:r>
    </w:p>
    <w:p w14:paraId="68113765" w14:textId="77777777" w:rsidR="00F12660" w:rsidRPr="00F12660" w:rsidRDefault="00F12660" w:rsidP="00F12660">
      <w:pPr>
        <w:ind w:right="-568"/>
        <w:jc w:val="both"/>
        <w:rPr>
          <w:rFonts w:ascii="Times New Roman" w:hAnsi="Times New Roman" w:cs="Times New Roman"/>
        </w:rPr>
      </w:pPr>
    </w:p>
    <w:p w14:paraId="613F3F79" w14:textId="77777777" w:rsidR="00F12660" w:rsidRDefault="00F12660" w:rsidP="00F12660">
      <w:pPr>
        <w:ind w:right="-568"/>
        <w:jc w:val="both"/>
        <w:rPr>
          <w:rFonts w:ascii="Times New Roman" w:hAnsi="Times New Roman" w:cs="Times New Roman"/>
        </w:rPr>
      </w:pPr>
      <w:r w:rsidRPr="00F12660">
        <w:rPr>
          <w:rFonts w:ascii="Times New Roman" w:hAnsi="Times New Roman" w:cs="Times New Roman"/>
        </w:rPr>
        <w:t>E</w:t>
      </w:r>
      <w:r>
        <w:rPr>
          <w:rFonts w:ascii="Times New Roman" w:hAnsi="Times New Roman" w:cs="Times New Roman"/>
        </w:rPr>
        <w:t>xmo. Sr. Juiz de Direito da ... Vara de Sucessões e Ausências da Comarca de ...</w:t>
      </w:r>
    </w:p>
    <w:p w14:paraId="4B19B8A6" w14:textId="00C3C7CF"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Inventário n. </w:t>
      </w:r>
      <w:r>
        <w:rPr>
          <w:rFonts w:ascii="Times New Roman" w:hAnsi="Times New Roman" w:cs="Times New Roman"/>
        </w:rPr>
        <w:t>...</w:t>
      </w:r>
    </w:p>
    <w:p w14:paraId="36252812" w14:textId="4FEA8BDC" w:rsidR="00F12660" w:rsidRPr="00F12660" w:rsidRDefault="00F12660" w:rsidP="00F12660">
      <w:pPr>
        <w:ind w:right="-568"/>
        <w:jc w:val="both"/>
        <w:rPr>
          <w:rFonts w:ascii="Times New Roman" w:hAnsi="Times New Roman" w:cs="Times New Roman"/>
        </w:rPr>
      </w:pPr>
      <w:r>
        <w:rPr>
          <w:rFonts w:ascii="Times New Roman" w:hAnsi="Times New Roman" w:cs="Times New Roman"/>
        </w:rPr>
        <w:t>(nome)</w:t>
      </w:r>
      <w:r w:rsidRPr="00F12660">
        <w:rPr>
          <w:rFonts w:ascii="Times New Roman" w:hAnsi="Times New Roman" w:cs="Times New Roman"/>
        </w:rPr>
        <w:t xml:space="preserve"> e </w:t>
      </w:r>
      <w:r>
        <w:rPr>
          <w:rFonts w:ascii="Times New Roman" w:hAnsi="Times New Roman" w:cs="Times New Roman"/>
        </w:rPr>
        <w:t>(nome)</w:t>
      </w:r>
      <w:r w:rsidRPr="00F12660">
        <w:rPr>
          <w:rFonts w:ascii="Times New Roman" w:hAnsi="Times New Roman" w:cs="Times New Roman"/>
        </w:rPr>
        <w:t xml:space="preserve">, coerdeiros e o primeiro também na qualidade de inventariante, pelos comuns advogados </w:t>
      </w:r>
      <w:r w:rsidRPr="00F12660">
        <w:rPr>
          <w:rFonts w:ascii="Times New Roman" w:hAnsi="Times New Roman" w:cs="Times New Roman"/>
          <w:i/>
          <w:iCs/>
        </w:rPr>
        <w:t>in fine</w:t>
      </w:r>
      <w:r w:rsidRPr="00F12660">
        <w:rPr>
          <w:rFonts w:ascii="Times New Roman" w:hAnsi="Times New Roman" w:cs="Times New Roman"/>
        </w:rPr>
        <w:t xml:space="preserve"> assinados, vêm, respeitosamente, à presença de Vossa Excelência, com fundamento nos </w:t>
      </w:r>
      <w:proofErr w:type="spellStart"/>
      <w:r w:rsidRPr="00F12660">
        <w:rPr>
          <w:rFonts w:ascii="Times New Roman" w:hAnsi="Times New Roman" w:cs="Times New Roman"/>
        </w:rPr>
        <w:t>arts</w:t>
      </w:r>
      <w:proofErr w:type="spellEnd"/>
      <w:r w:rsidRPr="00F12660">
        <w:rPr>
          <w:rFonts w:ascii="Times New Roman" w:hAnsi="Times New Roman" w:cs="Times New Roman"/>
        </w:rPr>
        <w:t>. 507, 612, 627, 641 e 669 do CPC, apresentar</w:t>
      </w:r>
      <w:r>
        <w:rPr>
          <w:rFonts w:ascii="Times New Roman" w:hAnsi="Times New Roman" w:cs="Times New Roman"/>
        </w:rPr>
        <w:t xml:space="preserve"> </w:t>
      </w:r>
      <w:r w:rsidRPr="00F12660">
        <w:rPr>
          <w:rFonts w:ascii="Times New Roman" w:hAnsi="Times New Roman" w:cs="Times New Roman"/>
        </w:rPr>
        <w:t>IMPUGNAÇÃO À DETERMINAÇÃO DE COLAÇÃO, COM PRELIMINAR DE PRECLUSÃO E REQUERIMENTO DE REMESSA ÀS VIAS ORDINÁRIAS</w:t>
      </w:r>
      <w:r>
        <w:rPr>
          <w:rFonts w:ascii="Times New Roman" w:hAnsi="Times New Roman" w:cs="Times New Roman"/>
        </w:rPr>
        <w:t xml:space="preserve"> </w:t>
      </w:r>
      <w:r w:rsidRPr="00F12660">
        <w:rPr>
          <w:rFonts w:ascii="Times New Roman" w:hAnsi="Times New Roman" w:cs="Times New Roman"/>
        </w:rPr>
        <w:t xml:space="preserve">em face da decisão de Id </w:t>
      </w:r>
      <w:r>
        <w:rPr>
          <w:rFonts w:ascii="Times New Roman" w:hAnsi="Times New Roman" w:cs="Times New Roman"/>
        </w:rPr>
        <w:t>...</w:t>
      </w:r>
      <w:r w:rsidRPr="00F12660">
        <w:rPr>
          <w:rFonts w:ascii="Times New Roman" w:hAnsi="Times New Roman" w:cs="Times New Roman"/>
        </w:rPr>
        <w:t xml:space="preserve">, proferida em </w:t>
      </w:r>
      <w:r>
        <w:rPr>
          <w:rFonts w:ascii="Times New Roman" w:hAnsi="Times New Roman" w:cs="Times New Roman"/>
        </w:rPr>
        <w:t>...</w:t>
      </w:r>
      <w:r w:rsidRPr="00F12660">
        <w:rPr>
          <w:rFonts w:ascii="Times New Roman" w:hAnsi="Times New Roman" w:cs="Times New Roman"/>
        </w:rPr>
        <w:t xml:space="preserve">, na parte em que determinou aos ora Impugnantes a conferência à colação das quotas da sociedade </w:t>
      </w:r>
      <w:r>
        <w:rPr>
          <w:rFonts w:ascii="Times New Roman" w:hAnsi="Times New Roman" w:cs="Times New Roman"/>
        </w:rPr>
        <w:t>..</w:t>
      </w:r>
      <w:r w:rsidRPr="00F12660">
        <w:rPr>
          <w:rFonts w:ascii="Times New Roman" w:hAnsi="Times New Roman" w:cs="Times New Roman"/>
        </w:rPr>
        <w:t xml:space="preserve">. e dos lotes </w:t>
      </w:r>
      <w:r>
        <w:rPr>
          <w:rFonts w:ascii="Times New Roman" w:hAnsi="Times New Roman" w:cs="Times New Roman"/>
        </w:rPr>
        <w:t>...</w:t>
      </w:r>
      <w:r w:rsidRPr="00F12660">
        <w:rPr>
          <w:rFonts w:ascii="Times New Roman" w:hAnsi="Times New Roman" w:cs="Times New Roman"/>
        </w:rPr>
        <w:t xml:space="preserve">,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xml:space="preserve"> da matrícula nº </w:t>
      </w:r>
      <w:r>
        <w:rPr>
          <w:rFonts w:ascii="Times New Roman" w:hAnsi="Times New Roman" w:cs="Times New Roman"/>
        </w:rPr>
        <w:t>...</w:t>
      </w:r>
      <w:r w:rsidRPr="00F12660">
        <w:rPr>
          <w:rFonts w:ascii="Times New Roman" w:hAnsi="Times New Roman" w:cs="Times New Roman"/>
        </w:rPr>
        <w:t xml:space="preserve"> do CRI de </w:t>
      </w:r>
      <w:r>
        <w:rPr>
          <w:rFonts w:ascii="Times New Roman" w:hAnsi="Times New Roman" w:cs="Times New Roman"/>
        </w:rPr>
        <w:t>...</w:t>
      </w:r>
      <w:r w:rsidRPr="00F12660">
        <w:rPr>
          <w:rFonts w:ascii="Times New Roman" w:hAnsi="Times New Roman" w:cs="Times New Roman"/>
        </w:rPr>
        <w:t>, pelas razões de fato e de direito adiante articuladas:</w:t>
      </w:r>
    </w:p>
    <w:p w14:paraId="21E33B8B" w14:textId="02C38561"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 xml:space="preserve">I- </w:t>
      </w:r>
      <w:r w:rsidRPr="00F12660">
        <w:rPr>
          <w:rFonts w:ascii="Times New Roman" w:hAnsi="Times New Roman" w:cs="Times New Roman"/>
          <w:b/>
          <w:bCs/>
        </w:rPr>
        <w:t>TEMPESTIVIDADE</w:t>
      </w:r>
    </w:p>
    <w:p w14:paraId="25700DE7" w14:textId="5E6F340E"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presente impugnação é tempestiva, protocolada dentro do prazo de 15 [quinze] dias fixado no item 2 da decisão de Id </w:t>
      </w:r>
      <w:r>
        <w:rPr>
          <w:rFonts w:ascii="Times New Roman" w:hAnsi="Times New Roman" w:cs="Times New Roman"/>
        </w:rPr>
        <w:t>...</w:t>
      </w:r>
      <w:r w:rsidRPr="00F12660">
        <w:rPr>
          <w:rFonts w:ascii="Times New Roman" w:hAnsi="Times New Roman" w:cs="Times New Roman"/>
        </w:rPr>
        <w:t xml:space="preserve">, nos exatos termos do art. 641, </w:t>
      </w:r>
      <w:r w:rsidRPr="00F12660">
        <w:rPr>
          <w:rFonts w:ascii="Times New Roman" w:hAnsi="Times New Roman" w:cs="Times New Roman"/>
          <w:i/>
          <w:iCs/>
        </w:rPr>
        <w:t>caput</w:t>
      </w:r>
      <w:r w:rsidRPr="00F12660">
        <w:rPr>
          <w:rFonts w:ascii="Times New Roman" w:hAnsi="Times New Roman" w:cs="Times New Roman"/>
        </w:rPr>
        <w:t>, do CPC, que assegura ao herdeiro instado a conferir bens o direito de negar a obrigação de colacioná-los, submetendo a controvérsia à decisão judicial após o contraditório.</w:t>
      </w:r>
    </w:p>
    <w:p w14:paraId="269725D4" w14:textId="297B13E8"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II-</w:t>
      </w:r>
      <w:r w:rsidRPr="00F12660">
        <w:rPr>
          <w:rFonts w:ascii="Times New Roman" w:hAnsi="Times New Roman" w:cs="Times New Roman"/>
          <w:b/>
          <w:bCs/>
        </w:rPr>
        <w:t xml:space="preserve"> </w:t>
      </w:r>
      <w:r w:rsidRPr="00F12660">
        <w:rPr>
          <w:rFonts w:ascii="Times New Roman" w:hAnsi="Times New Roman" w:cs="Times New Roman"/>
          <w:b/>
          <w:bCs/>
        </w:rPr>
        <w:t>SÍNTESE DO OBJETO DA IMPUGNAÇÃO</w:t>
      </w:r>
    </w:p>
    <w:p w14:paraId="0F92F94E" w14:textId="4401BF3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decisão ora impugnada acolheu, em cognição sumária e sem instrução probatória, a alegação da petição de Id 1</w:t>
      </w:r>
      <w:r>
        <w:rPr>
          <w:rFonts w:ascii="Times New Roman" w:hAnsi="Times New Roman" w:cs="Times New Roman"/>
        </w:rPr>
        <w:t>...</w:t>
      </w:r>
      <w:r w:rsidRPr="00F12660">
        <w:rPr>
          <w:rFonts w:ascii="Times New Roman" w:hAnsi="Times New Roman" w:cs="Times New Roman"/>
        </w:rPr>
        <w:t xml:space="preserve">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xml:space="preserve">], segundo a qual a transferência das quotas sociais da </w:t>
      </w:r>
      <w:r>
        <w:rPr>
          <w:rFonts w:ascii="Times New Roman" w:hAnsi="Times New Roman" w:cs="Times New Roman"/>
        </w:rPr>
        <w:t>..</w:t>
      </w:r>
      <w:r w:rsidRPr="00F12660">
        <w:rPr>
          <w:rFonts w:ascii="Times New Roman" w:hAnsi="Times New Roman" w:cs="Times New Roman"/>
        </w:rPr>
        <w:t xml:space="preserve">., ocorrida em dezembro de 2005, e a aquisição dos lotes </w:t>
      </w:r>
      <w:r>
        <w:rPr>
          <w:rFonts w:ascii="Times New Roman" w:hAnsi="Times New Roman" w:cs="Times New Roman"/>
        </w:rPr>
        <w:t>...</w:t>
      </w:r>
      <w:r w:rsidRPr="00F12660">
        <w:rPr>
          <w:rFonts w:ascii="Times New Roman" w:hAnsi="Times New Roman" w:cs="Times New Roman"/>
        </w:rPr>
        <w:t xml:space="preserve">,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xml:space="preserve"> da matrícula nº </w:t>
      </w:r>
      <w:r>
        <w:rPr>
          <w:rFonts w:ascii="Times New Roman" w:hAnsi="Times New Roman" w:cs="Times New Roman"/>
        </w:rPr>
        <w:t xml:space="preserve">... </w:t>
      </w:r>
      <w:r w:rsidRPr="00F12660">
        <w:rPr>
          <w:rFonts w:ascii="Times New Roman" w:hAnsi="Times New Roman" w:cs="Times New Roman"/>
        </w:rPr>
        <w:t xml:space="preserve">do CRI de </w:t>
      </w:r>
      <w:r>
        <w:rPr>
          <w:rFonts w:ascii="Times New Roman" w:hAnsi="Times New Roman" w:cs="Times New Roman"/>
        </w:rPr>
        <w:t>...</w:t>
      </w:r>
      <w:r w:rsidRPr="00F12660">
        <w:rPr>
          <w:rFonts w:ascii="Times New Roman" w:hAnsi="Times New Roman" w:cs="Times New Roman"/>
        </w:rPr>
        <w:t xml:space="preserve">, ocorrida em </w:t>
      </w:r>
      <w:r>
        <w:rPr>
          <w:rFonts w:ascii="Times New Roman" w:hAnsi="Times New Roman" w:cs="Times New Roman"/>
        </w:rPr>
        <w:t>...</w:t>
      </w:r>
      <w:r w:rsidRPr="00F12660">
        <w:rPr>
          <w:rFonts w:ascii="Times New Roman" w:hAnsi="Times New Roman" w:cs="Times New Roman"/>
        </w:rPr>
        <w:t xml:space="preserve">, constituiriam doações sujeitas a colação [art. 544, CC], determinando aos ora Impugnantes que as conferissem no prazo de 15 dias, sob as penas dos </w:t>
      </w:r>
      <w:proofErr w:type="spellStart"/>
      <w:r w:rsidRPr="00F12660">
        <w:rPr>
          <w:rFonts w:ascii="Times New Roman" w:hAnsi="Times New Roman" w:cs="Times New Roman"/>
        </w:rPr>
        <w:t>arts</w:t>
      </w:r>
      <w:proofErr w:type="spellEnd"/>
      <w:r w:rsidRPr="00F12660">
        <w:rPr>
          <w:rFonts w:ascii="Times New Roman" w:hAnsi="Times New Roman" w:cs="Times New Roman"/>
        </w:rPr>
        <w:t>. 641 do CPC e 1.992 do CC.</w:t>
      </w:r>
    </w:p>
    <w:p w14:paraId="377855E2" w14:textId="121145C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Ocorre que, como se demonstrará, (i) a própria matéria já havia sido objeto de decisão anterior deste d. Juízo, não impugnada, que a remeteu para ação própria; (</w:t>
      </w:r>
      <w:proofErr w:type="spellStart"/>
      <w:r w:rsidRPr="00F12660">
        <w:rPr>
          <w:rFonts w:ascii="Times New Roman" w:hAnsi="Times New Roman" w:cs="Times New Roman"/>
        </w:rPr>
        <w:t>ii</w:t>
      </w:r>
      <w:proofErr w:type="spellEnd"/>
      <w:r w:rsidRPr="00F12660">
        <w:rPr>
          <w:rFonts w:ascii="Times New Roman" w:hAnsi="Times New Roman" w:cs="Times New Roman"/>
        </w:rPr>
        <w:t>) a natureza da transmissão das quotas sociais é onerosa, e não gratuita; e (</w:t>
      </w:r>
      <w:proofErr w:type="spellStart"/>
      <w:r w:rsidRPr="00F12660">
        <w:rPr>
          <w:rFonts w:ascii="Times New Roman" w:hAnsi="Times New Roman" w:cs="Times New Roman"/>
        </w:rPr>
        <w:t>iii</w:t>
      </w:r>
      <w:proofErr w:type="spellEnd"/>
      <w:r w:rsidRPr="00F12660">
        <w:rPr>
          <w:rFonts w:ascii="Times New Roman" w:hAnsi="Times New Roman" w:cs="Times New Roman"/>
        </w:rPr>
        <w:t>) em qualquer hipótese, a controvérsia depende de dilação probatória incompatível com o rito sumário do inventário, impondo-se a aplicação do art. 641, §2º do CPC.</w:t>
      </w:r>
    </w:p>
    <w:p w14:paraId="1E83914D" w14:textId="4AC38981"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III-</w:t>
      </w:r>
      <w:r w:rsidRPr="00F12660">
        <w:rPr>
          <w:rFonts w:ascii="Times New Roman" w:hAnsi="Times New Roman" w:cs="Times New Roman"/>
          <w:b/>
          <w:bCs/>
        </w:rPr>
        <w:t xml:space="preserve"> </w:t>
      </w:r>
      <w:r w:rsidRPr="00F12660">
        <w:rPr>
          <w:rFonts w:ascii="Times New Roman" w:hAnsi="Times New Roman" w:cs="Times New Roman"/>
          <w:b/>
          <w:bCs/>
        </w:rPr>
        <w:t xml:space="preserve">PRELIMINAR: DA PRECLUSÃO DA MATÉRIA - ATA DE AUDIÊNCIA DE </w:t>
      </w:r>
      <w:r w:rsidRPr="00F12660">
        <w:rPr>
          <w:rFonts w:ascii="Times New Roman" w:hAnsi="Times New Roman" w:cs="Times New Roman"/>
          <w:b/>
          <w:bCs/>
        </w:rPr>
        <w:t>...</w:t>
      </w:r>
    </w:p>
    <w:p w14:paraId="3869F46A" w14:textId="60ACF0C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Em audiência realizada em </w:t>
      </w:r>
      <w:r>
        <w:rPr>
          <w:rFonts w:ascii="Times New Roman" w:hAnsi="Times New Roman" w:cs="Times New Roman"/>
        </w:rPr>
        <w:t>...</w:t>
      </w:r>
      <w:r w:rsidRPr="00F12660">
        <w:rPr>
          <w:rFonts w:ascii="Times New Roman" w:hAnsi="Times New Roman" w:cs="Times New Roman"/>
        </w:rPr>
        <w:t xml:space="preserve">, nestes mesmos autos [então autuados sob a numeração correlata </w:t>
      </w:r>
      <w:r>
        <w:rPr>
          <w:rFonts w:ascii="Times New Roman" w:hAnsi="Times New Roman" w:cs="Times New Roman"/>
        </w:rPr>
        <w:t>...</w:t>
      </w:r>
      <w:r w:rsidRPr="00F12660">
        <w:rPr>
          <w:rFonts w:ascii="Times New Roman" w:hAnsi="Times New Roman" w:cs="Times New Roman"/>
        </w:rPr>
        <w:t xml:space="preserve">], este d. Juízo, ouvidas as partes e o patrono da própria Sra. </w:t>
      </w:r>
      <w:proofErr w:type="gramStart"/>
      <w:r>
        <w:rPr>
          <w:rFonts w:ascii="Times New Roman" w:hAnsi="Times New Roman" w:cs="Times New Roman"/>
        </w:rPr>
        <w:t>...</w:t>
      </w:r>
      <w:r w:rsidRPr="00F12660">
        <w:rPr>
          <w:rFonts w:ascii="Times New Roman" w:hAnsi="Times New Roman" w:cs="Times New Roman"/>
        </w:rPr>
        <w:t>,  genitora</w:t>
      </w:r>
      <w:proofErr w:type="gramEnd"/>
      <w:r w:rsidRPr="00F12660">
        <w:rPr>
          <w:rFonts w:ascii="Times New Roman" w:hAnsi="Times New Roman" w:cs="Times New Roman"/>
        </w:rPr>
        <w:t xml:space="preserve"> e, à época, representante legal dos </w:t>
      </w:r>
      <w:proofErr w:type="gramStart"/>
      <w:r w:rsidRPr="00F12660">
        <w:rPr>
          <w:rFonts w:ascii="Times New Roman" w:hAnsi="Times New Roman" w:cs="Times New Roman"/>
        </w:rPr>
        <w:t>ora Habilitandos</w:t>
      </w:r>
      <w:proofErr w:type="gramEnd"/>
      <w:r w:rsidRPr="00F12660">
        <w:rPr>
          <w:rFonts w:ascii="Times New Roman" w:hAnsi="Times New Roman" w:cs="Times New Roman"/>
        </w:rPr>
        <w:t xml:space="preserve">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xml:space="preserve">, deliberou expressamente, sem qualquer ressalva ou provocação de recurso pelos presentes, </w:t>
      </w:r>
      <w:r w:rsidRPr="00F12660">
        <w:rPr>
          <w:rFonts w:ascii="Times New Roman" w:hAnsi="Times New Roman" w:cs="Times New Roman"/>
          <w:i/>
          <w:iCs/>
        </w:rPr>
        <w:t>in litteris</w:t>
      </w:r>
      <w:r w:rsidRPr="00F12660">
        <w:rPr>
          <w:rFonts w:ascii="Times New Roman" w:hAnsi="Times New Roman" w:cs="Times New Roman"/>
        </w:rPr>
        <w:t>:</w:t>
      </w:r>
    </w:p>
    <w:p w14:paraId="53D25E3F" w14:textId="77777777" w:rsidR="00F12660" w:rsidRPr="00F12660" w:rsidRDefault="00F12660" w:rsidP="00F12660">
      <w:pPr>
        <w:ind w:right="-568"/>
        <w:jc w:val="both"/>
        <w:rPr>
          <w:rFonts w:ascii="Times New Roman" w:hAnsi="Times New Roman" w:cs="Times New Roman"/>
        </w:rPr>
      </w:pPr>
    </w:p>
    <w:p w14:paraId="0D90DFAA" w14:textId="69945C8E"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w:t>
      </w:r>
      <w:r w:rsidRPr="00F12660">
        <w:rPr>
          <w:rFonts w:ascii="Times New Roman" w:hAnsi="Times New Roman" w:cs="Times New Roman"/>
          <w:i/>
          <w:iCs/>
        </w:rPr>
        <w:t>No que se refere à apuração de haveres relativamente à participação do autor da herança na pessoa jurídica mencionada, informou o juiz aos presentes, determinando a intimação das demais partes e do MP, que em caso de controvérsia a respeito de tal patrimônio deverá ser a questão analisada em ação própria perante o juízo competente</w:t>
      </w:r>
      <w:r w:rsidRPr="00F12660">
        <w:rPr>
          <w:rFonts w:ascii="Times New Roman" w:hAnsi="Times New Roman" w:cs="Times New Roman"/>
        </w:rPr>
        <w:t>.”</w:t>
      </w:r>
      <w:r>
        <w:rPr>
          <w:rFonts w:ascii="Times New Roman" w:hAnsi="Times New Roman" w:cs="Times New Roman"/>
        </w:rPr>
        <w:t xml:space="preserve"> </w:t>
      </w:r>
      <w:r w:rsidRPr="00F12660">
        <w:rPr>
          <w:rFonts w:ascii="Times New Roman" w:hAnsi="Times New Roman" w:cs="Times New Roman"/>
        </w:rPr>
        <w:t xml:space="preserve">[vide Id </w:t>
      </w:r>
      <w:r>
        <w:rPr>
          <w:rFonts w:ascii="Times New Roman" w:hAnsi="Times New Roman" w:cs="Times New Roman"/>
        </w:rPr>
        <w:t>...</w:t>
      </w:r>
      <w:r w:rsidRPr="00F12660">
        <w:rPr>
          <w:rFonts w:ascii="Times New Roman" w:hAnsi="Times New Roman" w:cs="Times New Roman"/>
        </w:rPr>
        <w:t>]</w:t>
      </w:r>
    </w:p>
    <w:p w14:paraId="202F3205" w14:textId="7BAFAA32"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Referida decisão transitou em julgado formalmente no âmbito do processo [preclusão </w:t>
      </w:r>
      <w:r w:rsidRPr="00F12660">
        <w:rPr>
          <w:rFonts w:ascii="Times New Roman" w:hAnsi="Times New Roman" w:cs="Times New Roman"/>
          <w:i/>
          <w:iCs/>
        </w:rPr>
        <w:t xml:space="preserve">pro </w:t>
      </w:r>
      <w:proofErr w:type="spellStart"/>
      <w:r w:rsidRPr="00F12660">
        <w:rPr>
          <w:rFonts w:ascii="Times New Roman" w:hAnsi="Times New Roman" w:cs="Times New Roman"/>
          <w:i/>
          <w:iCs/>
        </w:rPr>
        <w:t>judicato</w:t>
      </w:r>
      <w:proofErr w:type="spellEnd"/>
      <w:r w:rsidRPr="00F12660">
        <w:rPr>
          <w:rFonts w:ascii="Times New Roman" w:hAnsi="Times New Roman" w:cs="Times New Roman"/>
        </w:rPr>
        <w:t xml:space="preserve">], na medida em que nenhuma das partes presentes ---inclusive o procurador da genitora e representante legal dos </w:t>
      </w:r>
      <w:proofErr w:type="gramStart"/>
      <w:r w:rsidRPr="00F12660">
        <w:rPr>
          <w:rFonts w:ascii="Times New Roman" w:hAnsi="Times New Roman" w:cs="Times New Roman"/>
        </w:rPr>
        <w:t>ora Habilitandos</w:t>
      </w:r>
      <w:proofErr w:type="gramEnd"/>
      <w:r w:rsidRPr="00F12660">
        <w:rPr>
          <w:rFonts w:ascii="Times New Roman" w:hAnsi="Times New Roman" w:cs="Times New Roman"/>
        </w:rPr>
        <w:t xml:space="preserve">--- interpôs agravo de instrumento ou qualquer outra insurgência, operando-se a estabilização da matéria nos exatos termos do art. 507 do CPC: </w:t>
      </w:r>
    </w:p>
    <w:p w14:paraId="5DB6A1DC" w14:textId="1D212E9C"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w:t>
      </w:r>
      <w:r w:rsidRPr="00F12660">
        <w:rPr>
          <w:rFonts w:ascii="Times New Roman" w:hAnsi="Times New Roman" w:cs="Times New Roman"/>
          <w:i/>
          <w:iCs/>
        </w:rPr>
        <w:t xml:space="preserve">É vedado à parte discutir no curso do processo as questões já decididas </w:t>
      </w:r>
      <w:r w:rsidRPr="00F12660">
        <w:rPr>
          <w:rFonts w:ascii="Times New Roman" w:hAnsi="Times New Roman" w:cs="Times New Roman"/>
          <w:i/>
          <w:iCs/>
        </w:rPr>
        <w:tab/>
        <w:t>a cujo respeito se operou a preclusão</w:t>
      </w:r>
      <w:r w:rsidRPr="00F12660">
        <w:rPr>
          <w:rFonts w:ascii="Times New Roman" w:hAnsi="Times New Roman" w:cs="Times New Roman"/>
        </w:rPr>
        <w:t>.”</w:t>
      </w:r>
    </w:p>
    <w:p w14:paraId="799B8E2A" w14:textId="3C8DE332"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controvérsia ora reintroduzida pela petição de Id </w:t>
      </w:r>
      <w:r>
        <w:rPr>
          <w:rFonts w:ascii="Times New Roman" w:hAnsi="Times New Roman" w:cs="Times New Roman"/>
        </w:rPr>
        <w:t>...</w:t>
      </w:r>
      <w:r w:rsidRPr="00F12660">
        <w:rPr>
          <w:rFonts w:ascii="Times New Roman" w:hAnsi="Times New Roman" w:cs="Times New Roman"/>
        </w:rPr>
        <w:t xml:space="preserve">, e acolhida na decisão impugnada, gravita em torno do mesmíssimo núcleo fático já submetido a este Juízo em </w:t>
      </w:r>
      <w:r>
        <w:rPr>
          <w:rFonts w:ascii="Times New Roman" w:hAnsi="Times New Roman" w:cs="Times New Roman"/>
        </w:rPr>
        <w:t>...</w:t>
      </w:r>
      <w:r w:rsidRPr="00F12660">
        <w:rPr>
          <w:rFonts w:ascii="Times New Roman" w:hAnsi="Times New Roman" w:cs="Times New Roman"/>
        </w:rPr>
        <w:t xml:space="preserve">: a extensão e a natureza jurídica da participação do autor da herança na sociedade </w:t>
      </w:r>
      <w:r>
        <w:rPr>
          <w:rFonts w:ascii="Times New Roman" w:hAnsi="Times New Roman" w:cs="Times New Roman"/>
        </w:rPr>
        <w:t>..</w:t>
      </w:r>
      <w:r w:rsidRPr="00F12660">
        <w:rPr>
          <w:rFonts w:ascii="Times New Roman" w:hAnsi="Times New Roman" w:cs="Times New Roman"/>
        </w:rPr>
        <w:t xml:space="preserve">., incluindo as premissas necessárias à qualificação da transferência de </w:t>
      </w:r>
      <w:r>
        <w:rPr>
          <w:rFonts w:ascii="Times New Roman" w:hAnsi="Times New Roman" w:cs="Times New Roman"/>
        </w:rPr>
        <w:t>...</w:t>
      </w:r>
      <w:r w:rsidRPr="00F12660">
        <w:rPr>
          <w:rFonts w:ascii="Times New Roman" w:hAnsi="Times New Roman" w:cs="Times New Roman"/>
        </w:rPr>
        <w:t xml:space="preserve"> como doação ou como venda regular. </w:t>
      </w:r>
    </w:p>
    <w:p w14:paraId="13F61523" w14:textId="2A51C61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Reabrir, oito anos depois, no bojo do próprio inventário, discussão que o mesmo d. Juízo já classificou como demandante de ação própria constitui, com a devida vênia, contradição ao quanto restou </w:t>
      </w:r>
      <w:proofErr w:type="spellStart"/>
      <w:r w:rsidRPr="00F12660">
        <w:rPr>
          <w:rFonts w:ascii="Times New Roman" w:hAnsi="Times New Roman" w:cs="Times New Roman"/>
        </w:rPr>
        <w:t>preclusivamente</w:t>
      </w:r>
      <w:proofErr w:type="spellEnd"/>
      <w:r w:rsidRPr="00F12660">
        <w:rPr>
          <w:rFonts w:ascii="Times New Roman" w:hAnsi="Times New Roman" w:cs="Times New Roman"/>
        </w:rPr>
        <w:t xml:space="preserve"> decidido, em prejuízo da segurança jurídica e da boa-fé processual que orientaram a conduta dos ora Impugnantes desde então.</w:t>
      </w:r>
    </w:p>
    <w:p w14:paraId="6295936A" w14:textId="439A43DF"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Ainda que se entenda, por hipótese, e apenas por amor ao debate, que a matéria posta em </w:t>
      </w:r>
      <w:r>
        <w:rPr>
          <w:rFonts w:ascii="Times New Roman" w:hAnsi="Times New Roman" w:cs="Times New Roman"/>
        </w:rPr>
        <w:t>...</w:t>
      </w:r>
      <w:r w:rsidRPr="00F12660">
        <w:rPr>
          <w:rFonts w:ascii="Times New Roman" w:hAnsi="Times New Roman" w:cs="Times New Roman"/>
        </w:rPr>
        <w:t xml:space="preserve"> [apuração de haveres da participação do autor da herança] não seja rigorosamente idêntica à colação ora determinada [conferência de doações aos herdeiros], o que se roga apenas eventualmente, remanesce hígido o critério de fundo que motivou aquela remessa: trata-se de controvérsia societária complexa, que este mesmo Juízo já reconheceu, em </w:t>
      </w:r>
      <w:r>
        <w:rPr>
          <w:rFonts w:ascii="Times New Roman" w:hAnsi="Times New Roman" w:cs="Times New Roman"/>
        </w:rPr>
        <w:t>...</w:t>
      </w:r>
      <w:r w:rsidRPr="00F12660">
        <w:rPr>
          <w:rFonts w:ascii="Times New Roman" w:hAnsi="Times New Roman" w:cs="Times New Roman"/>
        </w:rPr>
        <w:t xml:space="preserve">, não comportar solução incidental no bojo do inventário. </w:t>
      </w:r>
    </w:p>
    <w:p w14:paraId="3C528905" w14:textId="102AADB0"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identidade de razão impõe, no mínimo, a aplicação analógica do mesmo entendimento, sob pena de o próprio Juízo adotar, para fatos substancialmente correlatos, critérios diametralmente opostos em anos distintos do mesmo processo.</w:t>
      </w:r>
    </w:p>
    <w:p w14:paraId="3047014F" w14:textId="1DC9985E"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IV-</w:t>
      </w:r>
      <w:r w:rsidRPr="00F12660">
        <w:rPr>
          <w:rFonts w:ascii="Times New Roman" w:hAnsi="Times New Roman" w:cs="Times New Roman"/>
          <w:b/>
          <w:bCs/>
        </w:rPr>
        <w:t xml:space="preserve"> </w:t>
      </w:r>
      <w:r w:rsidRPr="00F12660">
        <w:rPr>
          <w:rFonts w:ascii="Times New Roman" w:hAnsi="Times New Roman" w:cs="Times New Roman"/>
          <w:b/>
          <w:bCs/>
        </w:rPr>
        <w:t>DO MÉRITO:</w:t>
      </w:r>
      <w:r w:rsidRPr="00F12660">
        <w:rPr>
          <w:rFonts w:ascii="Times New Roman" w:hAnsi="Times New Roman" w:cs="Times New Roman"/>
          <w:b/>
          <w:bCs/>
        </w:rPr>
        <w:t xml:space="preserve"> </w:t>
      </w:r>
      <w:r w:rsidRPr="00F12660">
        <w:rPr>
          <w:rFonts w:ascii="Times New Roman" w:hAnsi="Times New Roman" w:cs="Times New Roman"/>
          <w:b/>
          <w:bCs/>
        </w:rPr>
        <w:t>DA NATUREZA ONEROSA DA TRANSMISSÃO DAS QUOTAS SOCIAIS -</w:t>
      </w:r>
      <w:r w:rsidRPr="00F12660">
        <w:rPr>
          <w:rFonts w:ascii="Times New Roman" w:hAnsi="Times New Roman" w:cs="Times New Roman"/>
          <w:b/>
          <w:bCs/>
        </w:rPr>
        <w:t xml:space="preserve"> </w:t>
      </w:r>
      <w:r w:rsidRPr="00F12660">
        <w:rPr>
          <w:rFonts w:ascii="Times New Roman" w:hAnsi="Times New Roman" w:cs="Times New Roman"/>
          <w:b/>
          <w:bCs/>
        </w:rPr>
        <w:t>INEXISTÊNCIA DE DOAÇÃO</w:t>
      </w:r>
    </w:p>
    <w:p w14:paraId="2B2CED0E" w14:textId="73C4BDC4"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Sem prejuízo da preliminar suso articulada, os Impugnantes negam, desde logo e para todos os efeitos do art. 641, </w:t>
      </w:r>
      <w:r w:rsidRPr="00F12660">
        <w:rPr>
          <w:rFonts w:ascii="Times New Roman" w:hAnsi="Times New Roman" w:cs="Times New Roman"/>
          <w:i/>
          <w:iCs/>
        </w:rPr>
        <w:t>caput</w:t>
      </w:r>
      <w:r w:rsidRPr="00F12660">
        <w:rPr>
          <w:rFonts w:ascii="Times New Roman" w:hAnsi="Times New Roman" w:cs="Times New Roman"/>
        </w:rPr>
        <w:t xml:space="preserve">, do CPC, a existência de doação apta a ensejar a obrigação de colacionar, no que tange às quotas sociais da </w:t>
      </w:r>
      <w:r>
        <w:rPr>
          <w:rFonts w:ascii="Times New Roman" w:hAnsi="Times New Roman" w:cs="Times New Roman"/>
        </w:rPr>
        <w:t>...</w:t>
      </w:r>
    </w:p>
    <w:p w14:paraId="0842BD62" w14:textId="1048571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w:t>
      </w:r>
      <w:r>
        <w:rPr>
          <w:rFonts w:ascii="Times New Roman" w:hAnsi="Times New Roman" w:cs="Times New Roman"/>
        </w:rPr>
        <w:t>...</w:t>
      </w:r>
      <w:r w:rsidRPr="00F12660">
        <w:rPr>
          <w:rFonts w:ascii="Times New Roman" w:hAnsi="Times New Roman" w:cs="Times New Roman"/>
        </w:rPr>
        <w:t xml:space="preserve">ª Alteração Contratual, firmada em </w:t>
      </w:r>
      <w:r>
        <w:rPr>
          <w:rFonts w:ascii="Times New Roman" w:hAnsi="Times New Roman" w:cs="Times New Roman"/>
        </w:rPr>
        <w:t>...</w:t>
      </w:r>
      <w:r w:rsidRPr="00F12660">
        <w:rPr>
          <w:rFonts w:ascii="Times New Roman" w:hAnsi="Times New Roman" w:cs="Times New Roman"/>
        </w:rPr>
        <w:t xml:space="preserve"> e regularmente registrada na JUCE</w:t>
      </w:r>
      <w:r>
        <w:rPr>
          <w:rFonts w:ascii="Times New Roman" w:hAnsi="Times New Roman" w:cs="Times New Roman"/>
        </w:rPr>
        <w:t>...</w:t>
      </w:r>
      <w:r w:rsidRPr="00F12660">
        <w:rPr>
          <w:rFonts w:ascii="Times New Roman" w:hAnsi="Times New Roman" w:cs="Times New Roman"/>
        </w:rPr>
        <w:t xml:space="preserve">, é expressa ao consignar, em sua Cláusula 1ª, que o então sócio </w:t>
      </w:r>
      <w:r>
        <w:rPr>
          <w:rFonts w:ascii="Times New Roman" w:hAnsi="Times New Roman" w:cs="Times New Roman"/>
        </w:rPr>
        <w:t>...</w:t>
      </w:r>
      <w:r w:rsidRPr="00F12660">
        <w:rPr>
          <w:rFonts w:ascii="Times New Roman" w:hAnsi="Times New Roman" w:cs="Times New Roman"/>
        </w:rPr>
        <w:t xml:space="preserve"> “</w:t>
      </w:r>
      <w:r w:rsidRPr="00F12660">
        <w:rPr>
          <w:rFonts w:ascii="Times New Roman" w:hAnsi="Times New Roman" w:cs="Times New Roman"/>
          <w:i/>
          <w:iCs/>
        </w:rPr>
        <w:t>aliena</w:t>
      </w:r>
      <w:r w:rsidRPr="00F12660">
        <w:rPr>
          <w:rFonts w:ascii="Times New Roman" w:hAnsi="Times New Roman" w:cs="Times New Roman"/>
        </w:rPr>
        <w:t>” as quotas aos ora Impugnantes, termo tecnicamente associado à transmissão onerosa, e, na Cláusula 4ª, alínea “a”, declara textualmente que “</w:t>
      </w:r>
      <w:r w:rsidRPr="00F12660">
        <w:rPr>
          <w:rFonts w:ascii="Times New Roman" w:hAnsi="Times New Roman" w:cs="Times New Roman"/>
          <w:i/>
          <w:iCs/>
        </w:rPr>
        <w:t>as alienações aqui ocorridas foram integralmente quitadas, dando plena e geral quitação perante aos demais sócios e perante a sociedade, para nada mais reclamar</w:t>
      </w:r>
      <w:r w:rsidRPr="00F12660">
        <w:rPr>
          <w:rFonts w:ascii="Times New Roman" w:hAnsi="Times New Roman" w:cs="Times New Roman"/>
        </w:rPr>
        <w:t xml:space="preserve">”. </w:t>
      </w:r>
    </w:p>
    <w:p w14:paraId="48063F8F" w14:textId="42419479"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Essa declaração de quitação, lavrada em instrumento público registrado perante a Junta Comercial, goza de presunção de veracidade que somente pode ser afastada por prova inequívoca em sentido contrário, ônus que compete a quem alega a anulação, nos termos do art. 373, I, do CPC, e não aos ora Impugnantes.</w:t>
      </w:r>
    </w:p>
    <w:p w14:paraId="32C13C53"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Não se ignora que o instrumento também previu, em favor do alienante, usufruto vitalício sobre as quotas transferidas, bem como cláusulas de incomunicabilidade, impenhorabilidade e inalienabilidade. Estas estipulações, todavia, não são exclusivas de doação: o usufruto pode ser constituído por qualquer título, oneroso ou gratuito [art. 1.390, CC], e cláusulas de proteção patrimonial são comumente pactuadas entre membros de uma mesma família em qualquer modalidade de transmissão de bens, por cautela legítima e independente da causa jurídica subjacente. </w:t>
      </w:r>
    </w:p>
    <w:p w14:paraId="0584601C" w14:textId="68E9C99C"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presença isolada desses elementos não permite, por si só, presumir gratuidade, sob pena de se inverter, sem base legal, o ônus da prova em desfavor de quem apresenta título formal de alienação onerosa devidamente registrado.</w:t>
      </w:r>
    </w:p>
    <w:p w14:paraId="4267D1F0"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Diante da controvérsia genuína quanto à natureza jurídica do negócio oneroso, segundo o título formal registrado; ou gratuita, segundo a interpretação dos Habilitandos, requerem os Impugnantes, desde logo, a produção de todos os meios de prova admitidos em direito, notadamente: </w:t>
      </w:r>
    </w:p>
    <w:p w14:paraId="23EDADC5" w14:textId="37232D9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prova documental consistente na movimentação financeira e nas declarações de Imposto de Renda das partes contratantes referentes ao exercício de </w:t>
      </w:r>
      <w:r>
        <w:rPr>
          <w:rFonts w:ascii="Times New Roman" w:hAnsi="Times New Roman" w:cs="Times New Roman"/>
        </w:rPr>
        <w:t>...</w:t>
      </w:r>
      <w:r w:rsidRPr="00F12660">
        <w:rPr>
          <w:rFonts w:ascii="Times New Roman" w:hAnsi="Times New Roman" w:cs="Times New Roman"/>
        </w:rPr>
        <w:t xml:space="preserve">; </w:t>
      </w:r>
    </w:p>
    <w:p w14:paraId="70302047"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(b) prova testemunhal de quantos participaram ou tiveram conhecimento direto da negociação; e </w:t>
      </w:r>
    </w:p>
    <w:p w14:paraId="53371192" w14:textId="5B98919B"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(c) prova pericial contábil sobre o fluxo patrimonial da sociedade e das partes à época do ato.</w:t>
      </w:r>
    </w:p>
    <w:p w14:paraId="02A9EBB4" w14:textId="2871B056"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rPr>
        <w:t xml:space="preserve"> </w:t>
      </w:r>
      <w:r w:rsidRPr="00F12660">
        <w:rPr>
          <w:rFonts w:ascii="Times New Roman" w:hAnsi="Times New Roman" w:cs="Times New Roman"/>
          <w:b/>
          <w:bCs/>
        </w:rPr>
        <w:t>V-</w:t>
      </w:r>
      <w:r w:rsidRPr="00F12660">
        <w:rPr>
          <w:rFonts w:ascii="Times New Roman" w:hAnsi="Times New Roman" w:cs="Times New Roman"/>
          <w:b/>
          <w:bCs/>
        </w:rPr>
        <w:t xml:space="preserve"> </w:t>
      </w:r>
      <w:r w:rsidRPr="00F12660">
        <w:rPr>
          <w:rFonts w:ascii="Times New Roman" w:hAnsi="Times New Roman" w:cs="Times New Roman"/>
          <w:b/>
          <w:bCs/>
        </w:rPr>
        <w:t xml:space="preserve">O IMÓVEL DE SÃO JOÃO EVANGELISTA [MATRÍCULA Nº </w:t>
      </w:r>
      <w:r w:rsidRPr="00F12660">
        <w:rPr>
          <w:rFonts w:ascii="Times New Roman" w:hAnsi="Times New Roman" w:cs="Times New Roman"/>
          <w:b/>
          <w:bCs/>
        </w:rPr>
        <w:t>...</w:t>
      </w:r>
      <w:r w:rsidRPr="00F12660">
        <w:rPr>
          <w:rFonts w:ascii="Times New Roman" w:hAnsi="Times New Roman" w:cs="Times New Roman"/>
          <w:b/>
          <w:bCs/>
        </w:rPr>
        <w:t xml:space="preserve"> DO CRI-</w:t>
      </w:r>
      <w:proofErr w:type="gramStart"/>
      <w:r w:rsidRPr="00F12660">
        <w:rPr>
          <w:rFonts w:ascii="Times New Roman" w:hAnsi="Times New Roman" w:cs="Times New Roman"/>
          <w:b/>
          <w:bCs/>
        </w:rPr>
        <w:t>...</w:t>
      </w:r>
      <w:r w:rsidRPr="00F12660">
        <w:rPr>
          <w:rFonts w:ascii="Times New Roman" w:hAnsi="Times New Roman" w:cs="Times New Roman"/>
          <w:b/>
          <w:bCs/>
        </w:rPr>
        <w:t>]-</w:t>
      </w:r>
      <w:proofErr w:type="gramEnd"/>
      <w:r w:rsidRPr="00F12660">
        <w:rPr>
          <w:rFonts w:ascii="Times New Roman" w:hAnsi="Times New Roman" w:cs="Times New Roman"/>
          <w:b/>
          <w:bCs/>
        </w:rPr>
        <w:t xml:space="preserve">  </w:t>
      </w:r>
    </w:p>
    <w:p w14:paraId="4BC40DD0" w14:textId="77777777"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AUSÊNCIA DE PROVA DA GRATUIDADE E NECESSIDADE DE PRÉVIA OITIVA DE TERCEIRA INTERESSADA</w:t>
      </w:r>
    </w:p>
    <w:p w14:paraId="734D9C56" w14:textId="5C0A59DD"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Também quanto aos lotes </w:t>
      </w:r>
      <w:r>
        <w:rPr>
          <w:rFonts w:ascii="Times New Roman" w:hAnsi="Times New Roman" w:cs="Times New Roman"/>
        </w:rPr>
        <w:t>...</w:t>
      </w:r>
      <w:r w:rsidRPr="00F12660">
        <w:rPr>
          <w:rFonts w:ascii="Times New Roman" w:hAnsi="Times New Roman" w:cs="Times New Roman"/>
        </w:rPr>
        <w:t xml:space="preserve">,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xml:space="preserve">, objeto da matrícula nº </w:t>
      </w:r>
      <w:r>
        <w:rPr>
          <w:rFonts w:ascii="Times New Roman" w:hAnsi="Times New Roman" w:cs="Times New Roman"/>
        </w:rPr>
        <w:t>...</w:t>
      </w:r>
      <w:r w:rsidRPr="00F12660">
        <w:rPr>
          <w:rFonts w:ascii="Times New Roman" w:hAnsi="Times New Roman" w:cs="Times New Roman"/>
        </w:rPr>
        <w:t xml:space="preserve"> do CRI de </w:t>
      </w:r>
      <w:r>
        <w:rPr>
          <w:rFonts w:ascii="Times New Roman" w:hAnsi="Times New Roman" w:cs="Times New Roman"/>
        </w:rPr>
        <w:t>...</w:t>
      </w:r>
      <w:r w:rsidRPr="00F12660">
        <w:rPr>
          <w:rFonts w:ascii="Times New Roman" w:hAnsi="Times New Roman" w:cs="Times New Roman"/>
        </w:rPr>
        <w:t xml:space="preserve">, adquiridos por escritura pública de compra e venda em </w:t>
      </w:r>
      <w:r>
        <w:rPr>
          <w:rFonts w:ascii="Times New Roman" w:hAnsi="Times New Roman" w:cs="Times New Roman"/>
        </w:rPr>
        <w:t>...</w:t>
      </w:r>
      <w:r w:rsidRPr="00F12660">
        <w:rPr>
          <w:rFonts w:ascii="Times New Roman" w:hAnsi="Times New Roman" w:cs="Times New Roman"/>
        </w:rPr>
        <w:t xml:space="preserve"> com lançamento em nome dos então menores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negam os Impugnantes a existência de doação apta a ensejar colação, por duas ordens de razão.</w:t>
      </w:r>
    </w:p>
    <w:p w14:paraId="01AF2D0C" w14:textId="142663D5"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Em primeiro lugar, pela ausência de prova da efetiva gratuidade. </w:t>
      </w:r>
    </w:p>
    <w:p w14:paraId="1DECA0DF" w14:textId="7148424A"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própria petição dos Habilitandos [Id </w:t>
      </w:r>
      <w:r>
        <w:rPr>
          <w:rFonts w:ascii="Times New Roman" w:hAnsi="Times New Roman" w:cs="Times New Roman"/>
        </w:rPr>
        <w:t>...</w:t>
      </w:r>
      <w:r w:rsidRPr="00F12660">
        <w:rPr>
          <w:rFonts w:ascii="Times New Roman" w:hAnsi="Times New Roman" w:cs="Times New Roman"/>
        </w:rPr>
        <w:t>] reconhece que a aquisição se deu por escritura pública de compra e venda regularmente lavrada e registrada, qual seja, título que, por sua natureza, goza</w:t>
      </w:r>
      <w:r>
        <w:rPr>
          <w:rFonts w:ascii="Times New Roman" w:hAnsi="Times New Roman" w:cs="Times New Roman"/>
        </w:rPr>
        <w:t xml:space="preserve"> </w:t>
      </w:r>
      <w:r w:rsidRPr="00F12660">
        <w:rPr>
          <w:rFonts w:ascii="Times New Roman" w:hAnsi="Times New Roman" w:cs="Times New Roman"/>
        </w:rPr>
        <w:t xml:space="preserve">de presunção de regularidade e de onerosidade, limitando-se a inferir a gratuidade do fato de o preço haver sido, segundo alegam, custeado pelo genitor, somado à reserva de usufruto vitalício em seu favor. </w:t>
      </w:r>
    </w:p>
    <w:p w14:paraId="67578664" w14:textId="7C240CD0"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 xml:space="preserve">Não há, contudo, nos autos, um único documento contemporâneo ao ato, </w:t>
      </w:r>
      <w:r w:rsidRPr="00F12660">
        <w:rPr>
          <w:rFonts w:ascii="Times New Roman" w:hAnsi="Times New Roman" w:cs="Times New Roman"/>
          <w:i/>
          <w:iCs/>
        </w:rPr>
        <w:t>verbi gratia</w:t>
      </w:r>
      <w:r w:rsidRPr="00F12660">
        <w:rPr>
          <w:rFonts w:ascii="Times New Roman" w:hAnsi="Times New Roman" w:cs="Times New Roman"/>
        </w:rPr>
        <w:t xml:space="preserve">, extrato bancário, recibo, declaração de bens do de cujus ou dos vendedores, que comprove, de forma concreta e não presuntiva, a efetiva origem dos recursos empregados na aquisição. </w:t>
      </w:r>
    </w:p>
    <w:p w14:paraId="52329070" w14:textId="0E0C7230"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Cuida-se, quando muito, de ilação lastreada exclusivamente na idade dos adquirentes à época, o que, por mais verossímil que pareça, não dispensa prova e não pode, isoladamente, fundamentar determinação de colação sem que se assegure aos Impugnantes a oportunidade de produzir prova em sentido contrário, pelas mesmas razões expostas anteriormente no Capítulo IV quanto às quotas sociais, e com igual ônus probatório a recair sobre quem alega a liberalidade [art. 373, I, CPC].</w:t>
      </w:r>
    </w:p>
    <w:p w14:paraId="78DBFDD6" w14:textId="167117BB"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Requerem, pois, os Impugnantes, também quanto a este bem a aplicação do mesmo regime requerido, com remessa às vias ordinárias, ante a necessidade de prova pericial e documental sobre a origem dos recursos empregados na aquisição de </w:t>
      </w:r>
      <w:r>
        <w:rPr>
          <w:rFonts w:ascii="Times New Roman" w:hAnsi="Times New Roman" w:cs="Times New Roman"/>
        </w:rPr>
        <w:t>...</w:t>
      </w:r>
      <w:r w:rsidRPr="00F12660">
        <w:rPr>
          <w:rFonts w:ascii="Times New Roman" w:hAnsi="Times New Roman" w:cs="Times New Roman"/>
        </w:rPr>
        <w:t xml:space="preserve"> e sobre a data e o custeio das benfeitorias e construções posteriormente erguidas e das benfeitorias e construções comprovadamente custeadas durante a constância da união estável ou pelos próprios Impugnantes após a aquisição, exclusão que, aliás, os próprios Habilitandos reconheceram ser devida [Id </w:t>
      </w:r>
      <w:r>
        <w:rPr>
          <w:rFonts w:ascii="Times New Roman" w:hAnsi="Times New Roman" w:cs="Times New Roman"/>
        </w:rPr>
        <w:t>...</w:t>
      </w:r>
      <w:r w:rsidRPr="00F12660">
        <w:rPr>
          <w:rFonts w:ascii="Times New Roman" w:hAnsi="Times New Roman" w:cs="Times New Roman"/>
        </w:rPr>
        <w:t>].</w:t>
      </w:r>
    </w:p>
    <w:p w14:paraId="625C961F" w14:textId="0BA82C77"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VI-</w:t>
      </w:r>
      <w:r w:rsidRPr="00F12660">
        <w:rPr>
          <w:rFonts w:ascii="Times New Roman" w:hAnsi="Times New Roman" w:cs="Times New Roman"/>
          <w:b/>
          <w:bCs/>
        </w:rPr>
        <w:tab/>
        <w:t>DA IMPOSSIBILIDADE DE COGNIÇÃO SUMÁRIA NO INVENTÁRIO - NECESSIDADE DA REMESSA ÀS VIAS ORDINÁRIAS [CPC, ART. 641, § 2</w:t>
      </w:r>
      <w:proofErr w:type="gramStart"/>
      <w:r w:rsidRPr="00F12660">
        <w:rPr>
          <w:rFonts w:ascii="Times New Roman" w:hAnsi="Times New Roman" w:cs="Times New Roman"/>
          <w:b/>
          <w:bCs/>
        </w:rPr>
        <w:t>º]-</w:t>
      </w:r>
      <w:proofErr w:type="gramEnd"/>
    </w:p>
    <w:p w14:paraId="14F7FDC7"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controvérsia trazida pelos Habilitandos não se resume à simples verificação documental do quanto à constante dos instrumentos societários e registrais acostados aos autos. </w:t>
      </w:r>
    </w:p>
    <w:p w14:paraId="6EDE4EEE" w14:textId="298CC03C"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Envolve, ao revés, a investigação da vontade real das partes contratantes há mais de duas décadas; a apuração do fluxo patrimonial e financeiro do doador/vendedor e dos adquirentes à época dos atos de </w:t>
      </w:r>
      <w:r>
        <w:rPr>
          <w:rFonts w:ascii="Times New Roman" w:hAnsi="Times New Roman" w:cs="Times New Roman"/>
        </w:rPr>
        <w:t>...</w:t>
      </w:r>
      <w:r w:rsidRPr="00F12660">
        <w:rPr>
          <w:rFonts w:ascii="Times New Roman" w:hAnsi="Times New Roman" w:cs="Times New Roman"/>
        </w:rPr>
        <w:t xml:space="preserve"> e </w:t>
      </w:r>
      <w:r>
        <w:rPr>
          <w:rFonts w:ascii="Times New Roman" w:hAnsi="Times New Roman" w:cs="Times New Roman"/>
        </w:rPr>
        <w:t>...</w:t>
      </w:r>
      <w:r w:rsidRPr="00F12660">
        <w:rPr>
          <w:rFonts w:ascii="Times New Roman" w:hAnsi="Times New Roman" w:cs="Times New Roman"/>
        </w:rPr>
        <w:t xml:space="preserve">; a determinação do valor patrimonial efetivo, e não meramente nominal, das quotas sociais, mediante perícia contábil sobre o acervo imobiliário da sociedade; e, ainda, a identificação da origem e do momento da edificação de benfeitorias sobre o imóvel de </w:t>
      </w:r>
      <w:r>
        <w:rPr>
          <w:rFonts w:ascii="Times New Roman" w:hAnsi="Times New Roman" w:cs="Times New Roman"/>
        </w:rPr>
        <w:t>..</w:t>
      </w:r>
      <w:r w:rsidRPr="00F12660">
        <w:rPr>
          <w:rFonts w:ascii="Times New Roman" w:hAnsi="Times New Roman" w:cs="Times New Roman"/>
        </w:rPr>
        <w:t>. Tudo isso demanda prova testemunhal, prova documental extrajudicial de natureza bancária e fiscal, e prova pericial contábil, todas modalidades probatórias manifestamente estranhas ao rito documental e sumário próprio do inventário.</w:t>
      </w:r>
    </w:p>
    <w:p w14:paraId="1214B83C" w14:textId="17B78ECC"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O ordenamento processual reserva ao juízo do inventário, quanto às questões de direito material nele discutidas incidentalmente, cognição sumária e estritamente documental. </w:t>
      </w:r>
    </w:p>
    <w:p w14:paraId="3FECA12D"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É o que dispõe, em termos gerais, o art. 612 do CPC: </w:t>
      </w:r>
    </w:p>
    <w:p w14:paraId="5ADCF5F4" w14:textId="77EDE925"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w:t>
      </w:r>
      <w:r w:rsidRPr="00F12660">
        <w:rPr>
          <w:rFonts w:ascii="Times New Roman" w:hAnsi="Times New Roman" w:cs="Times New Roman"/>
          <w:i/>
          <w:iCs/>
        </w:rPr>
        <w:t>O juiz decidirá todas as questões de direito desde que os fatos relevantes estejam provados por documento, só remetendo para as vias ordinárias as que demandarem outras provas</w:t>
      </w:r>
      <w:r w:rsidRPr="00F12660">
        <w:rPr>
          <w:rFonts w:ascii="Times New Roman" w:hAnsi="Times New Roman" w:cs="Times New Roman"/>
        </w:rPr>
        <w:t xml:space="preserve">.” </w:t>
      </w:r>
    </w:p>
    <w:p w14:paraId="19D7E98F" w14:textId="7D1623C1"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norma consagra, no âmbito sucessório, o clássico critério da questão de alta indagação: apenas as matérias cuja resolução prescinda de instrução probatória além da documental podem ser decididas incidentalmente pelo juízo universal da herança.</w:t>
      </w:r>
    </w:p>
    <w:p w14:paraId="11AEC15B" w14:textId="556691EE"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As demais, por envolverem contraditório mais amplo, produção de prova oral e pericial, e risco de tumulto processual incompatível com a celeridade que se espera do inventário, devem </w:t>
      </w:r>
      <w:r w:rsidRPr="00F12660">
        <w:rPr>
          <w:rFonts w:ascii="Times New Roman" w:hAnsi="Times New Roman" w:cs="Times New Roman"/>
        </w:rPr>
        <w:lastRenderedPageBreak/>
        <w:t>necessariamente ser deslocadas para as vias ordinárias, onde as garantias da ampla defesa e do contraditório podem ser plenamente exercitadas.</w:t>
      </w:r>
    </w:p>
    <w:p w14:paraId="44B882F5" w14:textId="5AF94A2D"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 doutrina processual é uníssona nesse sentido. </w:t>
      </w:r>
    </w:p>
    <w:p w14:paraId="7F86B33F" w14:textId="289F7DB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Consoante a lição corrente sobre a matéria, o inventário, conquanto comporte incidentes de natureza contenciosa ---como o ora suscitado, relativo à obrigação de colacionar---, não perde sua vocação de procedimento essencialmente documental e voltado à celeridade da partilha; a admissão de dilação probatória ampla nesse rito desnaturaria sua própria razão de ser, convertendo-o em processo de conhecimento pleno sem as garantias procedimentais que lhe são correlatas. </w:t>
      </w:r>
    </w:p>
    <w:p w14:paraId="63FB7DBA" w14:textId="09A66F09"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repartição de competência cognitiva entre o juízo do inventário e o juízo das vias ordinárias, vênia permissa, não constitui, portanto, faculdade do julgador, mas verdadeiro imperativo decorrente da natureza da prova necessária à solução da controvérsia, sob pena de o incidente processado sumariamente incorrer em cerceamento de defesa das partes envolvidas.</w:t>
      </w:r>
    </w:p>
    <w:p w14:paraId="4213264E" w14:textId="77777777" w:rsidR="00F12660" w:rsidRPr="00F12660" w:rsidRDefault="00F12660" w:rsidP="00F12660">
      <w:pPr>
        <w:ind w:right="-568"/>
        <w:jc w:val="both"/>
        <w:rPr>
          <w:rFonts w:ascii="Times New Roman" w:hAnsi="Times New Roman" w:cs="Times New Roman"/>
          <w:b/>
          <w:bCs/>
        </w:rPr>
      </w:pPr>
      <w:r w:rsidRPr="00F12660">
        <w:rPr>
          <w:rFonts w:ascii="Times New Roman" w:hAnsi="Times New Roman" w:cs="Times New Roman"/>
          <w:b/>
          <w:bCs/>
        </w:rPr>
        <w:t>VI.1 – DA JURISPRUDÊNCIA DO TRIBUNAL DE JUSTIÇA DE MINAS GERAIS</w:t>
      </w:r>
    </w:p>
    <w:p w14:paraId="76E698A0" w14:textId="4952D811"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tese ora sustentada encontra amparo direto e recentíssimo na jurisprudência do colendo TRIBUNAL DE JUSTIÇA DE MINAS GERAIS.</w:t>
      </w:r>
    </w:p>
    <w:p w14:paraId="077A3A46"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Em julgado de 27/05/2025, o 3º Núcleo de Justiça 4.0 – Cível Especializado do TJMG, sob relatoria do Des. Alexandre Magno Mendes do Valle, enfrentou situação estruturalmente idêntica à dos presentes autos:</w:t>
      </w:r>
    </w:p>
    <w:p w14:paraId="7BBCAE97" w14:textId="1FCCBAD0"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 </w:t>
      </w:r>
      <w:proofErr w:type="gramStart"/>
      <w:r w:rsidRPr="00F12660">
        <w:rPr>
          <w:rFonts w:ascii="Times New Roman" w:hAnsi="Times New Roman" w:cs="Times New Roman"/>
        </w:rPr>
        <w:t>discussão</w:t>
      </w:r>
      <w:proofErr w:type="gramEnd"/>
      <w:r w:rsidRPr="00F12660">
        <w:rPr>
          <w:rFonts w:ascii="Times New Roman" w:hAnsi="Times New Roman" w:cs="Times New Roman"/>
        </w:rPr>
        <w:t xml:space="preserve"> sobre a colação de bem imóvel ao inventário, envolvendo controvérsia acerca da propriedade do bem e da natureza das benfeitorias nele realizadas. O v. acórdão, por unanimidade, manteve a suspensão do inventário e a remessa da controvérsia às vias ordinárias, fixando a seguinte tese de julgamento:</w:t>
      </w:r>
    </w:p>
    <w:p w14:paraId="044805CE" w14:textId="0C27887F" w:rsidR="00F12660" w:rsidRPr="00F12660" w:rsidRDefault="00F12660" w:rsidP="00F12660">
      <w:pPr>
        <w:ind w:right="-568"/>
        <w:jc w:val="both"/>
        <w:rPr>
          <w:rFonts w:ascii="Times New Roman" w:hAnsi="Times New Roman" w:cs="Times New Roman"/>
          <w:i/>
          <w:iCs/>
        </w:rPr>
      </w:pPr>
      <w:r w:rsidRPr="00F12660">
        <w:rPr>
          <w:rFonts w:ascii="Times New Roman" w:hAnsi="Times New Roman" w:cs="Times New Roman"/>
        </w:rPr>
        <w:t>“</w:t>
      </w:r>
      <w:r w:rsidRPr="00F12660">
        <w:rPr>
          <w:rFonts w:ascii="Times New Roman" w:hAnsi="Times New Roman" w:cs="Times New Roman"/>
          <w:i/>
          <w:iCs/>
        </w:rPr>
        <w:t xml:space="preserve">1. O inventário não é a via adequada para a resolução de controvérsias complexas sobre propriedade de bens e natureza de benfeitorias, quando demandam dilação probatória, devendo tais questões ser dirimidas em ação própria. </w:t>
      </w:r>
    </w:p>
    <w:p w14:paraId="3F2729C9" w14:textId="0ECE5044"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i/>
          <w:iCs/>
        </w:rPr>
        <w:t>2. A suspensão do inventário é medida legítima para evitar decisões conflitantes e assegurar a adequada prestação jurisdicional</w:t>
      </w:r>
      <w:r w:rsidRPr="00F12660">
        <w:rPr>
          <w:rFonts w:ascii="Times New Roman" w:hAnsi="Times New Roman" w:cs="Times New Roman"/>
        </w:rPr>
        <w:t xml:space="preserve">.” [TJMG, Agravo de Instrumento-Cv nº 1.0000.24.474130-2/001, Rel. Des. Alexandre Magno Mendes do Valle, </w:t>
      </w:r>
      <w:proofErr w:type="spellStart"/>
      <w:r w:rsidRPr="00F12660">
        <w:rPr>
          <w:rFonts w:ascii="Times New Roman" w:hAnsi="Times New Roman" w:cs="Times New Roman"/>
        </w:rPr>
        <w:t>DJe</w:t>
      </w:r>
      <w:proofErr w:type="spellEnd"/>
      <w:r w:rsidRPr="00F12660">
        <w:rPr>
          <w:rFonts w:ascii="Times New Roman" w:hAnsi="Times New Roman" w:cs="Times New Roman"/>
        </w:rPr>
        <w:t xml:space="preserve"> 27/05/2025].</w:t>
      </w:r>
    </w:p>
    <w:p w14:paraId="708153E2" w14:textId="264E022D"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O precedente amolda-se com notável precisão ao caso concreto. Tal qual ocorre com o imóvel de </w:t>
      </w:r>
      <w:r>
        <w:rPr>
          <w:rFonts w:ascii="Times New Roman" w:hAnsi="Times New Roman" w:cs="Times New Roman"/>
        </w:rPr>
        <w:t>...</w:t>
      </w:r>
      <w:r w:rsidRPr="00F12660">
        <w:rPr>
          <w:rFonts w:ascii="Times New Roman" w:hAnsi="Times New Roman" w:cs="Times New Roman"/>
        </w:rPr>
        <w:t>, cuja colação foi determinada sem qualquer instrução sobre a origem dos recursos empregados na aquisição e sobre a data e o custeio das benfeitorias nele erguidas.</w:t>
      </w:r>
    </w:p>
    <w:p w14:paraId="2C7C07B4"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Também no referido aresto a controvérsia envolvia exatamente esses dois elementos ---propriedade do bem e natureza das benfeitorias--- —, tendo o TJMG reconhecido, de forma expressa, no voto condutor, que essa discussão “</w:t>
      </w:r>
      <w:r w:rsidRPr="00F12660">
        <w:rPr>
          <w:rFonts w:ascii="Times New Roman" w:hAnsi="Times New Roman" w:cs="Times New Roman"/>
          <w:i/>
          <w:iCs/>
        </w:rPr>
        <w:t>extrapola os limites da via estreita do inventário</w:t>
      </w:r>
      <w:r w:rsidRPr="00F12660">
        <w:rPr>
          <w:rFonts w:ascii="Times New Roman" w:hAnsi="Times New Roman" w:cs="Times New Roman"/>
        </w:rPr>
        <w:t>”, exigindo “</w:t>
      </w:r>
      <w:r w:rsidRPr="00F12660">
        <w:rPr>
          <w:rFonts w:ascii="Times New Roman" w:hAnsi="Times New Roman" w:cs="Times New Roman"/>
          <w:i/>
          <w:iCs/>
        </w:rPr>
        <w:t>a formação do contraditório e ampla dilação probatória, de acordo com a sistemática processual adotada pelo Código de Ritos (§2º do art. 628 e §2º do art. 641, ambos do CPC)</w:t>
      </w:r>
      <w:r w:rsidRPr="00F12660">
        <w:rPr>
          <w:rFonts w:ascii="Times New Roman" w:hAnsi="Times New Roman" w:cs="Times New Roman"/>
        </w:rPr>
        <w:t>”.</w:t>
      </w:r>
    </w:p>
    <w:p w14:paraId="1C7F5A98" w14:textId="0E7CE37B"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 xml:space="preserve">O mesmo acórdão, por sua vez, reproduziu entendimento já consolidado por aquela Corte em precedente anterior, igualmente aplicável, </w:t>
      </w:r>
      <w:r w:rsidRPr="00F12660">
        <w:rPr>
          <w:rFonts w:ascii="Times New Roman" w:hAnsi="Times New Roman" w:cs="Times New Roman"/>
          <w:i/>
          <w:iCs/>
        </w:rPr>
        <w:t>mutatis mutandis</w:t>
      </w:r>
      <w:r w:rsidRPr="00F12660">
        <w:rPr>
          <w:rFonts w:ascii="Times New Roman" w:hAnsi="Times New Roman" w:cs="Times New Roman"/>
        </w:rPr>
        <w:t xml:space="preserve">, à discussão travada nestes autos sobre a real extensão patrimonial da sociedade </w:t>
      </w:r>
      <w:r>
        <w:rPr>
          <w:rFonts w:ascii="Times New Roman" w:hAnsi="Times New Roman" w:cs="Times New Roman"/>
        </w:rPr>
        <w:t>..</w:t>
      </w:r>
      <w:r w:rsidRPr="00F12660">
        <w:rPr>
          <w:rFonts w:ascii="Times New Roman" w:hAnsi="Times New Roman" w:cs="Times New Roman"/>
        </w:rPr>
        <w:t>.:</w:t>
      </w:r>
    </w:p>
    <w:p w14:paraId="47CA0C7F" w14:textId="1DA259B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w:t>
      </w:r>
      <w:r w:rsidRPr="00F22492">
        <w:rPr>
          <w:rFonts w:ascii="Times New Roman" w:hAnsi="Times New Roman" w:cs="Times New Roman"/>
          <w:i/>
          <w:iCs/>
        </w:rPr>
        <w:t>AGRAVO DE INSTRUMENTO - INVENTÁRIO - DISCUSSÃO SOBRE BENS DA EMPRESA DO ‘DE CUJUS’ - PLANO FUNERÁRIO - GASTOS COM SEPULTAMENTO - QUESTÕES QUE DEMANDAM DILAÇÃO PROBATÓRIA - SUSPENSÃO - REMESSA ÀS VIAS ORDINÁRIAS. - A discussão sobre bens da empresa do ‘de cujus’, gastos com empregados, bem como plano funerário e outras despesas merecem ser dirimidos nas vias ordinárias</w:t>
      </w:r>
      <w:r w:rsidRPr="00F12660">
        <w:rPr>
          <w:rFonts w:ascii="Times New Roman" w:hAnsi="Times New Roman" w:cs="Times New Roman"/>
        </w:rPr>
        <w:t xml:space="preserve">.” [TJMG, Agravo de Instrumento-Cv nº 1.0000.23.255309-9/001, Rel. Des. Alice </w:t>
      </w:r>
      <w:proofErr w:type="spellStart"/>
      <w:r w:rsidRPr="00F12660">
        <w:rPr>
          <w:rFonts w:ascii="Times New Roman" w:hAnsi="Times New Roman" w:cs="Times New Roman"/>
        </w:rPr>
        <w:t>Birchal</w:t>
      </w:r>
      <w:proofErr w:type="spellEnd"/>
      <w:r w:rsidRPr="00F12660">
        <w:rPr>
          <w:rFonts w:ascii="Times New Roman" w:hAnsi="Times New Roman" w:cs="Times New Roman"/>
        </w:rPr>
        <w:t xml:space="preserve">, 4ª Câmara Cível Especializada, j. 25/04/2024, </w:t>
      </w:r>
      <w:proofErr w:type="spellStart"/>
      <w:r w:rsidRPr="00F12660">
        <w:rPr>
          <w:rFonts w:ascii="Times New Roman" w:hAnsi="Times New Roman" w:cs="Times New Roman"/>
        </w:rPr>
        <w:t>DJe</w:t>
      </w:r>
      <w:proofErr w:type="spellEnd"/>
      <w:r w:rsidRPr="00F12660">
        <w:rPr>
          <w:rFonts w:ascii="Times New Roman" w:hAnsi="Times New Roman" w:cs="Times New Roman"/>
        </w:rPr>
        <w:t xml:space="preserve"> 30/04/2024]</w:t>
      </w:r>
    </w:p>
    <w:p w14:paraId="2D4E50EF" w14:textId="275A3ECD"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Precedente que reforça, de modo direto, a tese ora sustentada quanto à necessidade de remessa às vias ordinárias da controvérsia sobre a real participação e o valor patrimonial das quotas sociais que compunham o patrimônio do autor da herança, exatamente o que aqui se requer quanto à</w:t>
      </w:r>
      <w:proofErr w:type="gramStart"/>
      <w:r w:rsidRPr="00F12660">
        <w:rPr>
          <w:rFonts w:ascii="Times New Roman" w:hAnsi="Times New Roman" w:cs="Times New Roman"/>
        </w:rPr>
        <w:t xml:space="preserve"> </w:t>
      </w:r>
      <w:r w:rsidR="00F22492">
        <w:rPr>
          <w:rFonts w:ascii="Times New Roman" w:hAnsi="Times New Roman" w:cs="Times New Roman"/>
        </w:rPr>
        <w:t>..</w:t>
      </w:r>
      <w:proofErr w:type="gramEnd"/>
    </w:p>
    <w:p w14:paraId="689904C8" w14:textId="77777777" w:rsidR="00F12660" w:rsidRPr="00F22492" w:rsidRDefault="00F12660" w:rsidP="00F12660">
      <w:pPr>
        <w:ind w:right="-568"/>
        <w:jc w:val="both"/>
        <w:rPr>
          <w:rFonts w:ascii="Times New Roman" w:hAnsi="Times New Roman" w:cs="Times New Roman"/>
          <w:b/>
          <w:bCs/>
        </w:rPr>
      </w:pPr>
      <w:r w:rsidRPr="00F22492">
        <w:rPr>
          <w:rFonts w:ascii="Times New Roman" w:hAnsi="Times New Roman" w:cs="Times New Roman"/>
          <w:b/>
          <w:bCs/>
        </w:rPr>
        <w:t>VI.2 – DA JURISPRUDÊNCIA DO TRIBUNAL DE JUSTIÇA DE SÃO PAULO</w:t>
      </w:r>
    </w:p>
    <w:p w14:paraId="6B4B0CC7" w14:textId="4C280DF9"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No mesmo diapasão vem decidindo o v. TRIBUNAL DE JUSTIÇA DE SÃO PAULO, que já enfrentou, em mais de uma oportunidade, situação de transferência de bens de pessoa jurídica a herdeiros necessários sob alegação de simulação, quadro fático substancialmente análogo ao dos presentes autos. </w:t>
      </w:r>
    </w:p>
    <w:p w14:paraId="39361CBD"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Ao apreciar caso em que a inventariante sustentava terem sido imóveis de propriedade de pessoa jurídica transferidos a herdeiros necessários mediante ato simulado, a 2ª Câmara de Direito Privado daquela Corte assentou:</w:t>
      </w:r>
    </w:p>
    <w:p w14:paraId="5B1ED645" w14:textId="7CFD9EC5" w:rsidR="00F12660" w:rsidRPr="00F22492" w:rsidRDefault="00F12660" w:rsidP="00F12660">
      <w:pPr>
        <w:ind w:right="-568"/>
        <w:jc w:val="both"/>
        <w:rPr>
          <w:rFonts w:ascii="Times New Roman" w:hAnsi="Times New Roman" w:cs="Times New Roman"/>
          <w:i/>
          <w:iCs/>
        </w:rPr>
      </w:pPr>
      <w:r w:rsidRPr="00F12660">
        <w:rPr>
          <w:rFonts w:ascii="Times New Roman" w:hAnsi="Times New Roman" w:cs="Times New Roman"/>
        </w:rPr>
        <w:t>“</w:t>
      </w:r>
      <w:r w:rsidRPr="00F22492">
        <w:rPr>
          <w:rFonts w:ascii="Times New Roman" w:hAnsi="Times New Roman" w:cs="Times New Roman"/>
          <w:i/>
          <w:iCs/>
        </w:rPr>
        <w:t>INVENTÁRIO. Decisão que excluiu três imóveis da partilha. AGRAVO DE INSTRUMENTO. Alegação da inventariante no sentido de que dois deles foram transferidos ou alienados para três herdeiros necessários e filhas da companheira do falecido, em ato simulado. Bens imóveis de propriedade de pessoa jurídica. Questão de alta indagação, que deve ser dirimida nas vias próprias. Precedentes. Terceiro imóvel doado em vida à companheira, mediante escritura pública. Testamento público posterior com resguardo da legítima aos herdeiros necessários, instituindo-a, herdeira testamentária. Necessidade de colação do bem imóvel doado. Decisão reformada. RECURSO PARCIALMENTE PROVIDO</w:t>
      </w:r>
      <w:r w:rsidRPr="00F12660">
        <w:rPr>
          <w:rFonts w:ascii="Times New Roman" w:hAnsi="Times New Roman" w:cs="Times New Roman"/>
        </w:rPr>
        <w:t xml:space="preserve">.” [TJSP, Agravo de Instrumento nº 2023237-29.2023.8.26.0000, Rel. Des. Maria Salete Corrêa Dias, 2ª Câmara de Direito Privado, </w:t>
      </w:r>
      <w:proofErr w:type="spellStart"/>
      <w:r w:rsidRPr="00F12660">
        <w:rPr>
          <w:rFonts w:ascii="Times New Roman" w:hAnsi="Times New Roman" w:cs="Times New Roman"/>
        </w:rPr>
        <w:t>DJe</w:t>
      </w:r>
      <w:proofErr w:type="spellEnd"/>
      <w:r w:rsidRPr="00F12660">
        <w:rPr>
          <w:rFonts w:ascii="Times New Roman" w:hAnsi="Times New Roman" w:cs="Times New Roman"/>
        </w:rPr>
        <w:t xml:space="preserve"> 18/09/2023].</w:t>
      </w:r>
    </w:p>
    <w:p w14:paraId="7FE1FFF1" w14:textId="77777777" w:rsidR="00F22492" w:rsidRDefault="00F12660" w:rsidP="00F12660">
      <w:pPr>
        <w:ind w:right="-568"/>
        <w:jc w:val="both"/>
        <w:rPr>
          <w:rFonts w:ascii="Times New Roman" w:hAnsi="Times New Roman" w:cs="Times New Roman"/>
        </w:rPr>
      </w:pPr>
      <w:r w:rsidRPr="00F12660">
        <w:rPr>
          <w:rFonts w:ascii="Times New Roman" w:hAnsi="Times New Roman" w:cs="Times New Roman"/>
        </w:rPr>
        <w:t xml:space="preserve">A hipótese guarda identidade de razão com a controvérsia societária ora discutida: também aqui se questiona a real natureza da transferência de bens integrantes do patrimônio de pessoa jurídica das quotas da </w:t>
      </w:r>
      <w:r w:rsidR="00F22492">
        <w:rPr>
          <w:rFonts w:ascii="Times New Roman" w:hAnsi="Times New Roman" w:cs="Times New Roman"/>
        </w:rPr>
        <w:t>..</w:t>
      </w:r>
      <w:r w:rsidRPr="00F12660">
        <w:rPr>
          <w:rFonts w:ascii="Times New Roman" w:hAnsi="Times New Roman" w:cs="Times New Roman"/>
        </w:rPr>
        <w:t xml:space="preserve">. a apenas dois dos quatro herdeiros necessários, sob alegação de simulação de venda para encobrir doação, circunstância que a jurisprudência paulista, na linha do precedente transcrito, reconhece expressamente como matéria de alta indagação insuscetível de resolução sumária no inventário. </w:t>
      </w:r>
    </w:p>
    <w:p w14:paraId="40554DA3" w14:textId="1C24C494"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 xml:space="preserve">Note-se, aliás, que o próprio precedente confirma, a </w:t>
      </w:r>
      <w:proofErr w:type="spellStart"/>
      <w:r w:rsidRPr="00F22492">
        <w:rPr>
          <w:rFonts w:ascii="Times New Roman" w:hAnsi="Times New Roman" w:cs="Times New Roman"/>
          <w:i/>
          <w:iCs/>
        </w:rPr>
        <w:t>contrario</w:t>
      </w:r>
      <w:proofErr w:type="spellEnd"/>
      <w:r w:rsidRPr="00F22492">
        <w:rPr>
          <w:rFonts w:ascii="Times New Roman" w:hAnsi="Times New Roman" w:cs="Times New Roman"/>
          <w:i/>
          <w:iCs/>
        </w:rPr>
        <w:t xml:space="preserve"> sensu</w:t>
      </w:r>
      <w:r w:rsidRPr="00F12660">
        <w:rPr>
          <w:rFonts w:ascii="Times New Roman" w:hAnsi="Times New Roman" w:cs="Times New Roman"/>
        </w:rPr>
        <w:t>, a diferença de tratamento processual adequado a cada situação: enquanto a colação do imóvel doado por escritura pública inequívoca foi mantida por não depender de prova adicional, a controvérsia sobre os bens de titularidade de pessoa jurídica, por depender de exame mais aprofundado quanto à sua real natureza, foi expressamente excluída da cognição sumária do inventário, exatamente a situação das quotas sociais discutidas nestes autos.</w:t>
      </w:r>
    </w:p>
    <w:p w14:paraId="701B8913" w14:textId="4996175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Também a 2ª Câmara de Direito Privado do TRIBUNAL DE JUSTIÇA DE SÃO PAULO, em outro julgado, reafirmou que a discussão sobre suposta fraude à legítima dos herdeiros necessários constitui matéria de alta indagação, incompatível com a cognição sumária do inventário:</w:t>
      </w:r>
    </w:p>
    <w:p w14:paraId="61CEEBBD" w14:textId="094F957F"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w:t>
      </w:r>
      <w:r w:rsidRPr="00F22492">
        <w:rPr>
          <w:rFonts w:ascii="Times New Roman" w:hAnsi="Times New Roman" w:cs="Times New Roman"/>
          <w:i/>
          <w:iCs/>
        </w:rPr>
        <w:t>AGRAVO DE INSTRUMENTO FAMÍLIA E SUCESSÕES. Inventário. Inconformismo trazido contra decisão interlocutória que julgou Impugnação às Primeiras Declarações. Sonegação de bens e direitos. Não ocorrência. Dispensa de colação acertada. Discussão sobre suposta fraude à legítima necessária dos herdeiros que é de alta indagação. [...] Decisão escorreita que dispensa reparos. Recurso não provido</w:t>
      </w:r>
      <w:r w:rsidRPr="00F12660">
        <w:rPr>
          <w:rFonts w:ascii="Times New Roman" w:hAnsi="Times New Roman" w:cs="Times New Roman"/>
        </w:rPr>
        <w:t xml:space="preserve">.” [TJSP, Agravo de Instrumento nº 2214418-27.2020.8.26.0000, Rel. Des. José Carlos Ferreira Alves, 2ª Câmara de Direito Privado, </w:t>
      </w:r>
      <w:proofErr w:type="spellStart"/>
      <w:r w:rsidRPr="00F12660">
        <w:rPr>
          <w:rFonts w:ascii="Times New Roman" w:hAnsi="Times New Roman" w:cs="Times New Roman"/>
        </w:rPr>
        <w:t>DJe</w:t>
      </w:r>
      <w:proofErr w:type="spellEnd"/>
      <w:r w:rsidRPr="00F12660">
        <w:rPr>
          <w:rFonts w:ascii="Times New Roman" w:hAnsi="Times New Roman" w:cs="Times New Roman"/>
        </w:rPr>
        <w:t xml:space="preserve"> 26/01/2021].</w:t>
      </w:r>
    </w:p>
    <w:p w14:paraId="5A36A366"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Anote-se, por relevante, que a remessa às vias ordinárias ora requerida não importa prejuízo definitivo aos Habilitandos quanto ao eventual reconhecimento de seu direito, tampouco os priva de qualquer garantia patrimonial: caso a ação própria venha a reconhecer a existência de doação sujeita a colação, o bem ou o respectivo valor poderá ser objeto de sobrepartilha, nos termos do art. 669 do CPC, preservando-se integralmente a pretensão dos interessados sem que, para tanto, seja necessário açodar a cognição do inventário além dos limites que lhe são próprios.</w:t>
      </w:r>
    </w:p>
    <w:p w14:paraId="4CD1E5C8" w14:textId="66BF26A5" w:rsidR="00F12660" w:rsidRPr="00F22492" w:rsidRDefault="00F12660" w:rsidP="00F12660">
      <w:pPr>
        <w:ind w:right="-568"/>
        <w:jc w:val="both"/>
        <w:rPr>
          <w:rFonts w:ascii="Times New Roman" w:hAnsi="Times New Roman" w:cs="Times New Roman"/>
          <w:b/>
          <w:bCs/>
        </w:rPr>
      </w:pPr>
      <w:r w:rsidRPr="00F22492">
        <w:rPr>
          <w:rFonts w:ascii="Times New Roman" w:hAnsi="Times New Roman" w:cs="Times New Roman"/>
          <w:b/>
          <w:bCs/>
        </w:rPr>
        <w:t>VI.3-</w:t>
      </w:r>
      <w:r w:rsidR="00F22492" w:rsidRPr="00F22492">
        <w:rPr>
          <w:rFonts w:ascii="Times New Roman" w:hAnsi="Times New Roman" w:cs="Times New Roman"/>
          <w:b/>
          <w:bCs/>
        </w:rPr>
        <w:t xml:space="preserve"> </w:t>
      </w:r>
      <w:r w:rsidRPr="00F22492">
        <w:rPr>
          <w:rFonts w:ascii="Times New Roman" w:hAnsi="Times New Roman" w:cs="Times New Roman"/>
          <w:b/>
          <w:bCs/>
        </w:rPr>
        <w:t>A APLICAÇÃO AO CASO CONCRETO</w:t>
      </w:r>
    </w:p>
    <w:p w14:paraId="2B6910FC"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Não por outra razão, o legislador processual, ao disciplinar especificamente o incidente de colação, reproduziu, em norma especial, o mesmo critério geral do art. 612: dispõe o art. 641, §2º, do CPC que:</w:t>
      </w:r>
    </w:p>
    <w:p w14:paraId="21A4EAA2" w14:textId="4B37E15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w:t>
      </w:r>
      <w:r w:rsidRPr="00F22492">
        <w:rPr>
          <w:rFonts w:ascii="Times New Roman" w:hAnsi="Times New Roman" w:cs="Times New Roman"/>
          <w:i/>
          <w:iCs/>
        </w:rPr>
        <w:t xml:space="preserve">se a matéria exigir dilação probatória diversa da documental, o juiz remeterá as partes às vias ordinárias, não podendo o herdeiro receber o </w:t>
      </w:r>
      <w:r w:rsidRPr="00F22492">
        <w:rPr>
          <w:rFonts w:ascii="Times New Roman" w:hAnsi="Times New Roman" w:cs="Times New Roman"/>
          <w:i/>
          <w:iCs/>
        </w:rPr>
        <w:tab/>
        <w:t>seu quinhão hereditário, enquanto pender a demanda, sem prestar caução correspondente ao valor dos bens sobre os quais versar a conferência</w:t>
      </w:r>
      <w:r w:rsidRPr="00F12660">
        <w:rPr>
          <w:rFonts w:ascii="Times New Roman" w:hAnsi="Times New Roman" w:cs="Times New Roman"/>
        </w:rPr>
        <w:t xml:space="preserve">”. </w:t>
      </w:r>
    </w:p>
    <w:p w14:paraId="35C8155A" w14:textId="39CC774F"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Não se trata, pois, de regra isolada ou de fundamento criado ad hoc pelos Impugnantes, mas de aplicação, ao específico instituto da colação, do mesmo princípio matriz que rege toda e qualquer questão de direito material discutida incidentalmente no inventário, e cuja aplicação a casos rigorosamente análogos ao presente já foi confirmada pelos precedentes ora transcritos. </w:t>
      </w:r>
    </w:p>
    <w:p w14:paraId="57E7F5CF" w14:textId="77777777"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subsunção do caso concreto a essa hipótese normativa é, na espécie, particularmente evidente, à vista dos elementos de prova especificados no parágrafo inicial deste Capítulo, todos estranhos à prova documental já constante dos autos.</w:t>
      </w:r>
    </w:p>
    <w:p w14:paraId="6D27E4C2" w14:textId="7DEAEEFA"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 xml:space="preserve">Nesse mesmo sentido, aliás, foi a própria manifestação dos Habilitandos </w:t>
      </w:r>
      <w:r w:rsidR="00F22492">
        <w:rPr>
          <w:rFonts w:ascii="Times New Roman" w:hAnsi="Times New Roman" w:cs="Times New Roman"/>
        </w:rPr>
        <w:t>...</w:t>
      </w:r>
      <w:r w:rsidRPr="00F12660">
        <w:rPr>
          <w:rFonts w:ascii="Times New Roman" w:hAnsi="Times New Roman" w:cs="Times New Roman"/>
        </w:rPr>
        <w:t xml:space="preserve"> e </w:t>
      </w:r>
      <w:r w:rsidR="00F22492">
        <w:rPr>
          <w:rFonts w:ascii="Times New Roman" w:hAnsi="Times New Roman" w:cs="Times New Roman"/>
        </w:rPr>
        <w:t>...</w:t>
      </w:r>
      <w:r w:rsidRPr="00F12660">
        <w:rPr>
          <w:rFonts w:ascii="Times New Roman" w:hAnsi="Times New Roman" w:cs="Times New Roman"/>
        </w:rPr>
        <w:t xml:space="preserve"> [Id </w:t>
      </w:r>
      <w:r w:rsidR="00F22492">
        <w:rPr>
          <w:rFonts w:ascii="Times New Roman" w:hAnsi="Times New Roman" w:cs="Times New Roman"/>
        </w:rPr>
        <w:t>...</w:t>
      </w:r>
      <w:r w:rsidRPr="00F12660">
        <w:rPr>
          <w:rFonts w:ascii="Times New Roman" w:hAnsi="Times New Roman" w:cs="Times New Roman"/>
        </w:rPr>
        <w:t xml:space="preserve">], ao reconhecerem que a arguição de nulidade por </w:t>
      </w:r>
      <w:proofErr w:type="spellStart"/>
      <w:r w:rsidRPr="00F12660">
        <w:rPr>
          <w:rFonts w:ascii="Times New Roman" w:hAnsi="Times New Roman" w:cs="Times New Roman"/>
        </w:rPr>
        <w:t>inoficiosidade</w:t>
      </w:r>
      <w:proofErr w:type="spellEnd"/>
      <w:r w:rsidRPr="00F12660">
        <w:rPr>
          <w:rFonts w:ascii="Times New Roman" w:hAnsi="Times New Roman" w:cs="Times New Roman"/>
        </w:rPr>
        <w:t xml:space="preserve"> “</w:t>
      </w:r>
      <w:r w:rsidRPr="00F22492">
        <w:rPr>
          <w:rFonts w:ascii="Times New Roman" w:hAnsi="Times New Roman" w:cs="Times New Roman"/>
          <w:i/>
          <w:iCs/>
        </w:rPr>
        <w:t>pode configurar questão de alta indagação (art. 612 do CPC)</w:t>
      </w:r>
      <w:r w:rsidRPr="00F12660">
        <w:rPr>
          <w:rFonts w:ascii="Times New Roman" w:hAnsi="Times New Roman" w:cs="Times New Roman"/>
        </w:rPr>
        <w:t xml:space="preserve">”, ressalvando o ajuizamento de ação própria para esse desiderato. </w:t>
      </w:r>
    </w:p>
    <w:p w14:paraId="7C5F8BEB" w14:textId="38DED8F1"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Ora, se a nulidade por </w:t>
      </w:r>
      <w:proofErr w:type="spellStart"/>
      <w:r w:rsidRPr="00F12660">
        <w:rPr>
          <w:rFonts w:ascii="Times New Roman" w:hAnsi="Times New Roman" w:cs="Times New Roman"/>
        </w:rPr>
        <w:t>inoficiosidade</w:t>
      </w:r>
      <w:proofErr w:type="spellEnd"/>
      <w:r w:rsidRPr="00F12660">
        <w:rPr>
          <w:rFonts w:ascii="Times New Roman" w:hAnsi="Times New Roman" w:cs="Times New Roman"/>
        </w:rPr>
        <w:t xml:space="preserve">, que pressupõe, como premissa lógica, a prévia qualificação do negócio como doação, depende de instrução incompatível com o inventário, a fortiori a própria qualificação jurídica do negócio [doação </w:t>
      </w:r>
      <w:r w:rsidRPr="00F22492">
        <w:rPr>
          <w:rFonts w:ascii="Times New Roman" w:hAnsi="Times New Roman" w:cs="Times New Roman"/>
          <w:i/>
          <w:iCs/>
        </w:rPr>
        <w:t xml:space="preserve">versus </w:t>
      </w:r>
      <w:r w:rsidRPr="00F12660">
        <w:rPr>
          <w:rFonts w:ascii="Times New Roman" w:hAnsi="Times New Roman" w:cs="Times New Roman"/>
        </w:rPr>
        <w:t>compra e venda], da qual aquela nulidade é mera consequência, também depende da mesma dilação probatória e deve seguir o mesmo caminho processual, em coerência com a própria tese sustentada pelos Habilitandos e com os precedentes acima colacionados, redobrada vênia.</w:t>
      </w:r>
    </w:p>
    <w:p w14:paraId="0640BC16" w14:textId="58357396"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Acresce, por fim, que a imposição de colação por decisão sumária, sem a devida instrução, expõe o processo a risco de nulidade por cerceamento de prova, além de comportar consequências práticas potencialmente irreversíveis: o sequestro de bens previsto no art. 641, §1º, do CPC, incidindo sobre participação societária integrante de patrimônio empresarial ativo, sociedade titular de diversos imóveis urbanos alugados, com fluxo de renda corrente, é medida drástica cuja reversão, em caso de posterior reconhecimento, em ação própria, da natureza onerosa da transmissão, dificilmente restabeleceria o status quo ante sem prejuízo à normalidade da administração societária e aos interesses de terceiros. </w:t>
      </w:r>
    </w:p>
    <w:p w14:paraId="473A0E56" w14:textId="15A019C3"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A prudência processual recomenda, portanto, que medida de tamanha gravidade somente seja adotada após instrução completa e em contraditório pleno, na forma preconizada pelo próprio legislador e confirmada pela jurisprudência ora invocada.</w:t>
      </w:r>
    </w:p>
    <w:p w14:paraId="21AA918C" w14:textId="75E55F31"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 xml:space="preserve">Diante da evidente necessidade de prova testemunhal, documental extrajudicial e pericial amplamente demonstrada [e não há como se pensar doutra maneira], e à luz dos precedentes jurisprudenciais transcritos, requer-se a aplicação do art. 641, §2º, do CPC, com a remessa da controvérsia relativa à natureza jurídica da transmissão de </w:t>
      </w:r>
      <w:r w:rsidR="00F22492">
        <w:rPr>
          <w:rFonts w:ascii="Times New Roman" w:hAnsi="Times New Roman" w:cs="Times New Roman"/>
        </w:rPr>
        <w:t>...</w:t>
      </w:r>
      <w:r w:rsidRPr="00F12660">
        <w:rPr>
          <w:rFonts w:ascii="Times New Roman" w:hAnsi="Times New Roman" w:cs="Times New Roman"/>
        </w:rPr>
        <w:t xml:space="preserve"> e da aquisição de </w:t>
      </w:r>
      <w:r w:rsidR="00F22492">
        <w:rPr>
          <w:rFonts w:ascii="Times New Roman" w:hAnsi="Times New Roman" w:cs="Times New Roman"/>
        </w:rPr>
        <w:t>...</w:t>
      </w:r>
      <w:r w:rsidRPr="00F12660">
        <w:rPr>
          <w:rFonts w:ascii="Times New Roman" w:hAnsi="Times New Roman" w:cs="Times New Roman"/>
        </w:rPr>
        <w:t xml:space="preserve"> às vias ordinárias.</w:t>
      </w:r>
    </w:p>
    <w:p w14:paraId="7B9733B6" w14:textId="1A0004B2" w:rsidR="00F12660" w:rsidRPr="00F22492" w:rsidRDefault="00F12660" w:rsidP="00F12660">
      <w:pPr>
        <w:ind w:right="-568"/>
        <w:jc w:val="both"/>
        <w:rPr>
          <w:rFonts w:ascii="Times New Roman" w:hAnsi="Times New Roman" w:cs="Times New Roman"/>
          <w:b/>
          <w:bCs/>
        </w:rPr>
      </w:pPr>
      <w:r w:rsidRPr="00F22492">
        <w:rPr>
          <w:rFonts w:ascii="Times New Roman" w:hAnsi="Times New Roman" w:cs="Times New Roman"/>
          <w:b/>
          <w:bCs/>
        </w:rPr>
        <w:t>VII-</w:t>
      </w:r>
      <w:r w:rsidR="00F22492" w:rsidRPr="00F22492">
        <w:rPr>
          <w:rFonts w:ascii="Times New Roman" w:hAnsi="Times New Roman" w:cs="Times New Roman"/>
          <w:b/>
          <w:bCs/>
        </w:rPr>
        <w:t xml:space="preserve"> </w:t>
      </w:r>
      <w:r w:rsidRPr="00F22492">
        <w:rPr>
          <w:rFonts w:ascii="Times New Roman" w:hAnsi="Times New Roman" w:cs="Times New Roman"/>
          <w:b/>
          <w:bCs/>
        </w:rPr>
        <w:t>PEDIDOS</w:t>
      </w:r>
    </w:p>
    <w:p w14:paraId="12984F2B" w14:textId="0DC0CEF9" w:rsidR="00F12660" w:rsidRPr="00F12660" w:rsidRDefault="00F12660" w:rsidP="00F12660">
      <w:pPr>
        <w:ind w:right="-568"/>
        <w:jc w:val="both"/>
        <w:rPr>
          <w:rFonts w:ascii="Times New Roman" w:hAnsi="Times New Roman" w:cs="Times New Roman"/>
        </w:rPr>
      </w:pPr>
      <w:proofErr w:type="spellStart"/>
      <w:r w:rsidRPr="00F22492">
        <w:rPr>
          <w:rFonts w:ascii="Times New Roman" w:hAnsi="Times New Roman" w:cs="Times New Roman"/>
          <w:b/>
          <w:bCs/>
          <w:i/>
          <w:iCs/>
        </w:rPr>
        <w:t>Ex</w:t>
      </w:r>
      <w:proofErr w:type="spellEnd"/>
      <w:r w:rsidRPr="00F22492">
        <w:rPr>
          <w:rFonts w:ascii="Times New Roman" w:hAnsi="Times New Roman" w:cs="Times New Roman"/>
          <w:b/>
          <w:bCs/>
          <w:i/>
          <w:iCs/>
        </w:rPr>
        <w:t xml:space="preserve"> positis</w:t>
      </w:r>
      <w:r w:rsidRPr="00F12660">
        <w:rPr>
          <w:rFonts w:ascii="Times New Roman" w:hAnsi="Times New Roman" w:cs="Times New Roman"/>
        </w:rPr>
        <w:t>, os impugnantes requerem:</w:t>
      </w:r>
    </w:p>
    <w:p w14:paraId="43D0FB3F" w14:textId="38A10FCD" w:rsidR="00F12660" w:rsidRPr="00F12660" w:rsidRDefault="00F22492" w:rsidP="00F12660">
      <w:pPr>
        <w:ind w:right="-568"/>
        <w:jc w:val="both"/>
        <w:rPr>
          <w:rFonts w:ascii="Times New Roman" w:hAnsi="Times New Roman" w:cs="Times New Roman"/>
        </w:rPr>
      </w:pPr>
      <w:r w:rsidRPr="00F22492">
        <w:rPr>
          <w:rFonts w:ascii="Times New Roman" w:hAnsi="Times New Roman" w:cs="Times New Roman"/>
        </w:rPr>
        <w:t>a)</w:t>
      </w:r>
      <w:r>
        <w:rPr>
          <w:rFonts w:ascii="Times New Roman" w:hAnsi="Times New Roman" w:cs="Times New Roman"/>
        </w:rPr>
        <w:t xml:space="preserve"> </w:t>
      </w:r>
      <w:r w:rsidR="00F12660" w:rsidRPr="00F22492">
        <w:rPr>
          <w:rFonts w:ascii="Times New Roman" w:hAnsi="Times New Roman" w:cs="Times New Roman"/>
        </w:rPr>
        <w:t xml:space="preserve">seja RECONHECIDA a preliminar de preclusão, à vista da decisão proferida em audiência de </w:t>
      </w:r>
      <w:r>
        <w:rPr>
          <w:rFonts w:ascii="Times New Roman" w:hAnsi="Times New Roman" w:cs="Times New Roman"/>
        </w:rPr>
        <w:t>...</w:t>
      </w:r>
      <w:r w:rsidR="00F12660" w:rsidRPr="00F22492">
        <w:rPr>
          <w:rFonts w:ascii="Times New Roman" w:hAnsi="Times New Roman" w:cs="Times New Roman"/>
        </w:rPr>
        <w:t xml:space="preserve">, não impugnada pelas partes, que remeteu a controvérsia sobre a participação do autor da herança na sociedade </w:t>
      </w:r>
      <w:r>
        <w:rPr>
          <w:rFonts w:ascii="Times New Roman" w:hAnsi="Times New Roman" w:cs="Times New Roman"/>
        </w:rPr>
        <w:t>..</w:t>
      </w:r>
      <w:r w:rsidR="00F12660" w:rsidRPr="00F22492">
        <w:rPr>
          <w:rFonts w:ascii="Times New Roman" w:hAnsi="Times New Roman" w:cs="Times New Roman"/>
        </w:rPr>
        <w:t xml:space="preserve">. para ação própria, com a consequente insubsistência da determinação de colação incidental constante do item 2 da decisão de Id </w:t>
      </w:r>
      <w:r>
        <w:rPr>
          <w:rFonts w:ascii="Times New Roman" w:hAnsi="Times New Roman" w:cs="Times New Roman"/>
        </w:rPr>
        <w:t>...</w:t>
      </w:r>
      <w:r w:rsidR="00F12660" w:rsidRPr="00F22492">
        <w:rPr>
          <w:rFonts w:ascii="Times New Roman" w:hAnsi="Times New Roman" w:cs="Times New Roman"/>
        </w:rPr>
        <w:t>;</w:t>
      </w:r>
    </w:p>
    <w:p w14:paraId="10A70EF7" w14:textId="1C590C7E"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b)</w:t>
      </w:r>
      <w:r w:rsidR="00F22492">
        <w:rPr>
          <w:rFonts w:ascii="Times New Roman" w:hAnsi="Times New Roman" w:cs="Times New Roman"/>
        </w:rPr>
        <w:t xml:space="preserve"> </w:t>
      </w:r>
      <w:r w:rsidRPr="00F12660">
        <w:rPr>
          <w:rFonts w:ascii="Times New Roman" w:hAnsi="Times New Roman" w:cs="Times New Roman"/>
        </w:rPr>
        <w:t xml:space="preserve">subsidiariamente, caso superada a preliminar, seja RECONHECIDA a necessidade de dilação probatória diversa da documental para a qualificação jurídica da transmissão das quotas sociais em </w:t>
      </w:r>
      <w:r w:rsidR="00F22492">
        <w:rPr>
          <w:rFonts w:ascii="Times New Roman" w:hAnsi="Times New Roman" w:cs="Times New Roman"/>
        </w:rPr>
        <w:t>...</w:t>
      </w:r>
      <w:r w:rsidRPr="00F12660">
        <w:rPr>
          <w:rFonts w:ascii="Times New Roman" w:hAnsi="Times New Roman" w:cs="Times New Roman"/>
        </w:rPr>
        <w:t xml:space="preserve"> e da aquisição dos lotes </w:t>
      </w:r>
      <w:r w:rsidR="00F22492">
        <w:rPr>
          <w:rFonts w:ascii="Times New Roman" w:hAnsi="Times New Roman" w:cs="Times New Roman"/>
        </w:rPr>
        <w:t>...</w:t>
      </w:r>
      <w:r w:rsidRPr="00F12660">
        <w:rPr>
          <w:rFonts w:ascii="Times New Roman" w:hAnsi="Times New Roman" w:cs="Times New Roman"/>
        </w:rPr>
        <w:t xml:space="preserve">, </w:t>
      </w:r>
      <w:r w:rsidR="00F22492">
        <w:rPr>
          <w:rFonts w:ascii="Times New Roman" w:hAnsi="Times New Roman" w:cs="Times New Roman"/>
        </w:rPr>
        <w:t>...</w:t>
      </w:r>
      <w:r w:rsidRPr="00F12660">
        <w:rPr>
          <w:rFonts w:ascii="Times New Roman" w:hAnsi="Times New Roman" w:cs="Times New Roman"/>
        </w:rPr>
        <w:t xml:space="preserve"> e </w:t>
      </w:r>
      <w:r w:rsidR="00F22492">
        <w:rPr>
          <w:rFonts w:ascii="Times New Roman" w:hAnsi="Times New Roman" w:cs="Times New Roman"/>
        </w:rPr>
        <w:t>...</w:t>
      </w:r>
      <w:r w:rsidRPr="00F12660">
        <w:rPr>
          <w:rFonts w:ascii="Times New Roman" w:hAnsi="Times New Roman" w:cs="Times New Roman"/>
        </w:rPr>
        <w:t xml:space="preserve"> da matrícula nº </w:t>
      </w:r>
      <w:r w:rsidR="00F22492">
        <w:rPr>
          <w:rFonts w:ascii="Times New Roman" w:hAnsi="Times New Roman" w:cs="Times New Roman"/>
        </w:rPr>
        <w:t>...</w:t>
      </w:r>
      <w:r w:rsidRPr="00F12660">
        <w:rPr>
          <w:rFonts w:ascii="Times New Roman" w:hAnsi="Times New Roman" w:cs="Times New Roman"/>
        </w:rPr>
        <w:t>/CRI-</w:t>
      </w:r>
      <w:r w:rsidR="00F22492">
        <w:rPr>
          <w:rFonts w:ascii="Times New Roman" w:hAnsi="Times New Roman" w:cs="Times New Roman"/>
        </w:rPr>
        <w:t>...</w:t>
      </w:r>
      <w:r w:rsidRPr="00F12660">
        <w:rPr>
          <w:rFonts w:ascii="Times New Roman" w:hAnsi="Times New Roman" w:cs="Times New Roman"/>
        </w:rPr>
        <w:t xml:space="preserve"> em </w:t>
      </w:r>
      <w:r w:rsidR="00F22492">
        <w:rPr>
          <w:rFonts w:ascii="Times New Roman" w:hAnsi="Times New Roman" w:cs="Times New Roman"/>
        </w:rPr>
        <w:t>...</w:t>
      </w:r>
      <w:r w:rsidRPr="00F12660">
        <w:rPr>
          <w:rFonts w:ascii="Times New Roman" w:hAnsi="Times New Roman" w:cs="Times New Roman"/>
        </w:rPr>
        <w:t>, com a consequente REMESSA das partes às vias ordinárias, nos termos do art. 641, §2º, do CPC;</w:t>
      </w:r>
    </w:p>
    <w:p w14:paraId="73F5E63B" w14:textId="2B8CEB3C"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c)</w:t>
      </w:r>
      <w:r w:rsidR="00F22492">
        <w:rPr>
          <w:rFonts w:ascii="Times New Roman" w:hAnsi="Times New Roman" w:cs="Times New Roman"/>
        </w:rPr>
        <w:t xml:space="preserve"> </w:t>
      </w:r>
      <w:r w:rsidRPr="00F12660">
        <w:rPr>
          <w:rFonts w:ascii="Times New Roman" w:hAnsi="Times New Roman" w:cs="Times New Roman"/>
        </w:rPr>
        <w:t xml:space="preserve">seja, em qualquer caso, SUSPENSA a exigibilidade da conferência determinada no item 2 da decisão impugnada até o julgamento definitivo desta impugnação, evitando-se a aplicação das penas dos </w:t>
      </w:r>
      <w:proofErr w:type="spellStart"/>
      <w:r w:rsidRPr="00F12660">
        <w:rPr>
          <w:rFonts w:ascii="Times New Roman" w:hAnsi="Times New Roman" w:cs="Times New Roman"/>
        </w:rPr>
        <w:t>arts</w:t>
      </w:r>
      <w:proofErr w:type="spellEnd"/>
      <w:r w:rsidRPr="00F12660">
        <w:rPr>
          <w:rFonts w:ascii="Times New Roman" w:hAnsi="Times New Roman" w:cs="Times New Roman"/>
        </w:rPr>
        <w:t>. 641, §1º, do CPC, e 1.992 do CC antes da resolução da controvérsia;</w:t>
      </w:r>
    </w:p>
    <w:p w14:paraId="5DBBF3F8" w14:textId="5F3544C5"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lastRenderedPageBreak/>
        <w:t>d)</w:t>
      </w:r>
      <w:r w:rsidR="00F22492">
        <w:rPr>
          <w:rFonts w:ascii="Times New Roman" w:hAnsi="Times New Roman" w:cs="Times New Roman"/>
        </w:rPr>
        <w:t xml:space="preserve"> </w:t>
      </w:r>
      <w:r w:rsidRPr="00F12660">
        <w:rPr>
          <w:rFonts w:ascii="Times New Roman" w:hAnsi="Times New Roman" w:cs="Times New Roman"/>
        </w:rPr>
        <w:t xml:space="preserve">sejam DEFERIDAS as provas requeridas nos Capítulos IV e V supra, notadamente documental, testemunhal e pericial contábil, para o caso de a matéria vir a ser instruída neste ou em outro feito, com exclusão, em qualquer hipótese, do valor de benfeitorias e construções comprovadamente custeadas durante a constância da união estável ou pelos próprios Impugnantes após a aquisição do imóvel de </w:t>
      </w:r>
      <w:r w:rsidR="00F22492">
        <w:rPr>
          <w:rFonts w:ascii="Times New Roman" w:hAnsi="Times New Roman" w:cs="Times New Roman"/>
        </w:rPr>
        <w:t>...</w:t>
      </w:r>
      <w:r w:rsidRPr="00F12660">
        <w:rPr>
          <w:rFonts w:ascii="Times New Roman" w:hAnsi="Times New Roman" w:cs="Times New Roman"/>
        </w:rPr>
        <w:t>;</w:t>
      </w:r>
    </w:p>
    <w:p w14:paraId="3D60FA12" w14:textId="54AB1391" w:rsidR="00F12660" w:rsidRPr="00F12660" w:rsidRDefault="00F12660" w:rsidP="00F12660">
      <w:pPr>
        <w:ind w:right="-568"/>
        <w:jc w:val="both"/>
        <w:rPr>
          <w:rFonts w:ascii="Times New Roman" w:hAnsi="Times New Roman" w:cs="Times New Roman"/>
        </w:rPr>
      </w:pPr>
      <w:r w:rsidRPr="00F12660">
        <w:rPr>
          <w:rFonts w:ascii="Times New Roman" w:hAnsi="Times New Roman" w:cs="Times New Roman"/>
        </w:rPr>
        <w:t>e)</w:t>
      </w:r>
      <w:r w:rsidR="00F22492">
        <w:rPr>
          <w:rFonts w:ascii="Times New Roman" w:hAnsi="Times New Roman" w:cs="Times New Roman"/>
        </w:rPr>
        <w:t xml:space="preserve"> </w:t>
      </w:r>
      <w:r w:rsidRPr="00F12660">
        <w:rPr>
          <w:rFonts w:ascii="Times New Roman" w:hAnsi="Times New Roman" w:cs="Times New Roman"/>
        </w:rPr>
        <w:t xml:space="preserve">seja determinada a intimação dos Habilitandos </w:t>
      </w:r>
      <w:r w:rsidR="00F22492">
        <w:rPr>
          <w:rFonts w:ascii="Times New Roman" w:hAnsi="Times New Roman" w:cs="Times New Roman"/>
        </w:rPr>
        <w:t>...</w:t>
      </w:r>
      <w:r w:rsidRPr="00F12660">
        <w:rPr>
          <w:rFonts w:ascii="Times New Roman" w:hAnsi="Times New Roman" w:cs="Times New Roman"/>
        </w:rPr>
        <w:t xml:space="preserve"> e </w:t>
      </w:r>
      <w:r w:rsidR="00F22492">
        <w:rPr>
          <w:rFonts w:ascii="Times New Roman" w:hAnsi="Times New Roman" w:cs="Times New Roman"/>
        </w:rPr>
        <w:t>...</w:t>
      </w:r>
      <w:r w:rsidRPr="00F12660">
        <w:rPr>
          <w:rFonts w:ascii="Times New Roman" w:hAnsi="Times New Roman" w:cs="Times New Roman"/>
        </w:rPr>
        <w:t xml:space="preserve">, e das demais partes para manifestação, nos termos do art. 641, </w:t>
      </w:r>
      <w:r w:rsidRPr="00F22492">
        <w:rPr>
          <w:rFonts w:ascii="Times New Roman" w:hAnsi="Times New Roman" w:cs="Times New Roman"/>
          <w:i/>
          <w:iCs/>
        </w:rPr>
        <w:t>caput</w:t>
      </w:r>
      <w:r w:rsidRPr="00F12660">
        <w:rPr>
          <w:rFonts w:ascii="Times New Roman" w:hAnsi="Times New Roman" w:cs="Times New Roman"/>
        </w:rPr>
        <w:t>, do CPC.</w:t>
      </w:r>
    </w:p>
    <w:p w14:paraId="4C665B3B" w14:textId="7599DE60" w:rsidR="00F12660" w:rsidRPr="00F12660" w:rsidRDefault="00F12660" w:rsidP="00F22492">
      <w:pPr>
        <w:spacing w:after="0" w:line="240" w:lineRule="auto"/>
        <w:ind w:right="-567"/>
        <w:jc w:val="center"/>
        <w:rPr>
          <w:rFonts w:ascii="Times New Roman" w:hAnsi="Times New Roman" w:cs="Times New Roman"/>
        </w:rPr>
      </w:pPr>
      <w:r w:rsidRPr="00F12660">
        <w:rPr>
          <w:rFonts w:ascii="Times New Roman" w:hAnsi="Times New Roman" w:cs="Times New Roman"/>
        </w:rPr>
        <w:t>P</w:t>
      </w:r>
      <w:r w:rsidR="00F22492">
        <w:rPr>
          <w:rFonts w:ascii="Times New Roman" w:hAnsi="Times New Roman" w:cs="Times New Roman"/>
        </w:rPr>
        <w:t>ede</w:t>
      </w:r>
      <w:r w:rsidRPr="00F12660">
        <w:rPr>
          <w:rFonts w:ascii="Times New Roman" w:hAnsi="Times New Roman" w:cs="Times New Roman"/>
        </w:rPr>
        <w:t xml:space="preserve"> Deferimento.</w:t>
      </w:r>
    </w:p>
    <w:p w14:paraId="727EB85B" w14:textId="6357D3CA" w:rsidR="00F12660" w:rsidRDefault="00F22492" w:rsidP="00F22492">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286AD876" w14:textId="0EABBD36" w:rsidR="00F22492" w:rsidRPr="00F12660" w:rsidRDefault="00F22492" w:rsidP="00F22492">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F22492" w:rsidRPr="00F126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64509"/>
    <w:multiLevelType w:val="hybridMultilevel"/>
    <w:tmpl w:val="E76C9F46"/>
    <w:lvl w:ilvl="0" w:tplc="B10C944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6FE52C7"/>
    <w:multiLevelType w:val="hybridMultilevel"/>
    <w:tmpl w:val="65DC08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523516733">
    <w:abstractNumId w:val="0"/>
  </w:num>
  <w:num w:numId="2" w16cid:durableId="270865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60"/>
    <w:rsid w:val="009C1BD1"/>
    <w:rsid w:val="00F12660"/>
    <w:rsid w:val="00F224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8E17"/>
  <w15:chartTrackingRefBased/>
  <w15:docId w15:val="{FF0E0C43-A916-48A4-BFFA-FBDC045B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126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126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1266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1266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1266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126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126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126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1266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1266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1266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1266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1266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1266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1266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1266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1266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12660"/>
    <w:rPr>
      <w:rFonts w:eastAsiaTheme="majorEastAsia" w:cstheme="majorBidi"/>
      <w:color w:val="272727" w:themeColor="text1" w:themeTint="D8"/>
    </w:rPr>
  </w:style>
  <w:style w:type="paragraph" w:styleId="Ttulo">
    <w:name w:val="Title"/>
    <w:basedOn w:val="Normal"/>
    <w:next w:val="Normal"/>
    <w:link w:val="TtuloChar"/>
    <w:uiPriority w:val="10"/>
    <w:qFormat/>
    <w:rsid w:val="00F12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126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1266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1266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12660"/>
    <w:pPr>
      <w:spacing w:before="160"/>
      <w:jc w:val="center"/>
    </w:pPr>
    <w:rPr>
      <w:i/>
      <w:iCs/>
      <w:color w:val="404040" w:themeColor="text1" w:themeTint="BF"/>
    </w:rPr>
  </w:style>
  <w:style w:type="character" w:customStyle="1" w:styleId="CitaoChar">
    <w:name w:val="Citação Char"/>
    <w:basedOn w:val="Fontepargpadro"/>
    <w:link w:val="Citao"/>
    <w:uiPriority w:val="29"/>
    <w:rsid w:val="00F12660"/>
    <w:rPr>
      <w:i/>
      <w:iCs/>
      <w:color w:val="404040" w:themeColor="text1" w:themeTint="BF"/>
    </w:rPr>
  </w:style>
  <w:style w:type="paragraph" w:styleId="PargrafodaLista">
    <w:name w:val="List Paragraph"/>
    <w:basedOn w:val="Normal"/>
    <w:uiPriority w:val="34"/>
    <w:qFormat/>
    <w:rsid w:val="00F12660"/>
    <w:pPr>
      <w:ind w:left="720"/>
      <w:contextualSpacing/>
    </w:pPr>
  </w:style>
  <w:style w:type="character" w:styleId="nfaseIntensa">
    <w:name w:val="Intense Emphasis"/>
    <w:basedOn w:val="Fontepargpadro"/>
    <w:uiPriority w:val="21"/>
    <w:qFormat/>
    <w:rsid w:val="00F12660"/>
    <w:rPr>
      <w:i/>
      <w:iCs/>
      <w:color w:val="2F5496" w:themeColor="accent1" w:themeShade="BF"/>
    </w:rPr>
  </w:style>
  <w:style w:type="paragraph" w:styleId="CitaoIntensa">
    <w:name w:val="Intense Quote"/>
    <w:basedOn w:val="Normal"/>
    <w:next w:val="Normal"/>
    <w:link w:val="CitaoIntensaChar"/>
    <w:uiPriority w:val="30"/>
    <w:qFormat/>
    <w:rsid w:val="00F126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12660"/>
    <w:rPr>
      <w:i/>
      <w:iCs/>
      <w:color w:val="2F5496" w:themeColor="accent1" w:themeShade="BF"/>
    </w:rPr>
  </w:style>
  <w:style w:type="character" w:styleId="RefernciaIntensa">
    <w:name w:val="Intense Reference"/>
    <w:basedOn w:val="Fontepargpadro"/>
    <w:uiPriority w:val="32"/>
    <w:qFormat/>
    <w:rsid w:val="00F126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3741</Words>
  <Characters>20202</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2026-10-07T14:43:00Z</dcterms:created>
  <dcterms:modified xsi:type="dcterms:W3CDTF">2026-10-07T15:00:00Z</dcterms:modified>
</cp:coreProperties>
</file>