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237CE" w14:textId="77777777" w:rsidR="00EC618A" w:rsidRPr="00EC618A" w:rsidRDefault="00EC618A" w:rsidP="00EC618A">
      <w:pPr>
        <w:spacing w:after="0" w:line="240" w:lineRule="auto"/>
        <w:ind w:right="-567"/>
        <w:jc w:val="center"/>
        <w:rPr>
          <w:rFonts w:ascii="Arial Black" w:hAnsi="Arial Black" w:cs="Times New Roman"/>
          <w:b/>
          <w:bCs/>
        </w:rPr>
      </w:pPr>
      <w:r w:rsidRPr="00EC618A">
        <w:rPr>
          <w:rFonts w:ascii="Arial Black" w:hAnsi="Arial Black" w:cs="Times New Roman"/>
          <w:b/>
          <w:bCs/>
        </w:rPr>
        <w:t>MODELO DE PETIÇÃO</w:t>
      </w:r>
    </w:p>
    <w:p w14:paraId="6F13AD27" w14:textId="51E2103C" w:rsidR="00EC618A" w:rsidRPr="00EC618A" w:rsidRDefault="00EC618A" w:rsidP="00EC618A">
      <w:pPr>
        <w:spacing w:after="0" w:line="240" w:lineRule="auto"/>
        <w:ind w:right="-567"/>
        <w:jc w:val="center"/>
        <w:rPr>
          <w:rFonts w:ascii="Arial Black" w:hAnsi="Arial Black" w:cs="Times New Roman"/>
          <w:b/>
          <w:bCs/>
        </w:rPr>
      </w:pPr>
      <w:r w:rsidRPr="00EC618A">
        <w:rPr>
          <w:rFonts w:ascii="Arial Black" w:hAnsi="Arial Black" w:cs="Times New Roman"/>
          <w:b/>
          <w:bCs/>
        </w:rPr>
        <w:t>INDENIZAÇÃO POR ACESSÃO. LIQUIDAÇÃO DE SENTENÇA.</w:t>
      </w:r>
    </w:p>
    <w:p w14:paraId="60E6B0C5" w14:textId="77777777" w:rsidR="00EC618A" w:rsidRPr="00EC618A" w:rsidRDefault="00EC618A" w:rsidP="00EC618A">
      <w:pPr>
        <w:spacing w:after="0" w:line="240" w:lineRule="auto"/>
        <w:ind w:right="-567"/>
        <w:jc w:val="center"/>
        <w:rPr>
          <w:rFonts w:ascii="Arial Black" w:hAnsi="Arial Black" w:cs="Times New Roman"/>
          <w:b/>
          <w:bCs/>
        </w:rPr>
      </w:pPr>
      <w:r w:rsidRPr="00EC618A">
        <w:rPr>
          <w:rFonts w:ascii="Arial Black" w:hAnsi="Arial Black" w:cs="Times New Roman"/>
          <w:b/>
          <w:bCs/>
        </w:rPr>
        <w:t>ARBITRAMENTO. OMISSÃO.CRITÉRIOS DE AVALIAÇÃO.</w:t>
      </w:r>
    </w:p>
    <w:p w14:paraId="0D185C4C" w14:textId="77777777" w:rsidR="00EC618A" w:rsidRPr="00EC618A" w:rsidRDefault="00EC618A" w:rsidP="00EC618A">
      <w:pPr>
        <w:spacing w:after="0" w:line="240" w:lineRule="auto"/>
        <w:ind w:right="-567"/>
        <w:jc w:val="center"/>
        <w:rPr>
          <w:rFonts w:ascii="Arial Black" w:hAnsi="Arial Black" w:cs="Times New Roman"/>
          <w:b/>
          <w:bCs/>
        </w:rPr>
      </w:pPr>
      <w:r w:rsidRPr="00EC618A">
        <w:rPr>
          <w:rFonts w:ascii="Arial Black" w:hAnsi="Arial Black" w:cs="Times New Roman"/>
          <w:b/>
          <w:bCs/>
        </w:rPr>
        <w:t>EMBARGOS DE DECLARAÇÃO</w:t>
      </w:r>
    </w:p>
    <w:p w14:paraId="7A998435" w14:textId="77777777" w:rsidR="00EC618A" w:rsidRPr="00EC618A" w:rsidRDefault="00EC618A" w:rsidP="00EC618A">
      <w:pPr>
        <w:spacing w:after="0" w:line="240" w:lineRule="auto"/>
        <w:ind w:right="-567"/>
        <w:jc w:val="right"/>
        <w:rPr>
          <w:rFonts w:ascii="Arial Black" w:hAnsi="Arial Black" w:cs="Times New Roman"/>
          <w:b/>
          <w:bCs/>
        </w:rPr>
      </w:pPr>
      <w:proofErr w:type="spellStart"/>
      <w:r w:rsidRPr="00EC618A">
        <w:rPr>
          <w:rFonts w:ascii="Arial Black" w:hAnsi="Arial Black" w:cs="Times New Roman"/>
          <w:b/>
          <w:bCs/>
        </w:rPr>
        <w:t>Rénan</w:t>
      </w:r>
      <w:proofErr w:type="spellEnd"/>
      <w:r w:rsidRPr="00EC618A">
        <w:rPr>
          <w:rFonts w:ascii="Arial Black" w:hAnsi="Arial Black" w:cs="Times New Roman"/>
          <w:b/>
          <w:bCs/>
        </w:rPr>
        <w:t xml:space="preserve"> </w:t>
      </w:r>
      <w:proofErr w:type="spellStart"/>
      <w:r w:rsidRPr="00EC618A">
        <w:rPr>
          <w:rFonts w:ascii="Arial Black" w:hAnsi="Arial Black" w:cs="Times New Roman"/>
          <w:b/>
          <w:bCs/>
        </w:rPr>
        <w:t>Kfuri</w:t>
      </w:r>
      <w:proofErr w:type="spellEnd"/>
      <w:r w:rsidRPr="00EC618A">
        <w:rPr>
          <w:rFonts w:ascii="Arial Black" w:hAnsi="Arial Black" w:cs="Times New Roman"/>
          <w:b/>
          <w:bCs/>
        </w:rPr>
        <w:t xml:space="preserve"> Lopes</w:t>
      </w:r>
    </w:p>
    <w:p w14:paraId="6E71D2B9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</w:p>
    <w:p w14:paraId="55A3D2A8" w14:textId="77777777" w:rsid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xma. Sra. Juíza de Direito da ... Vara Cível da Comarca de ...</w:t>
      </w:r>
    </w:p>
    <w:p w14:paraId="7A19968E" w14:textId="75C8FFC1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Processo n. </w:t>
      </w:r>
      <w:r>
        <w:rPr>
          <w:rFonts w:ascii="Times New Roman" w:hAnsi="Times New Roman" w:cs="Times New Roman"/>
        </w:rPr>
        <w:t>...</w:t>
      </w:r>
    </w:p>
    <w:p w14:paraId="3D0E32C9" w14:textId="2AFCE496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EC618A">
        <w:rPr>
          <w:rFonts w:ascii="Times New Roman" w:hAnsi="Times New Roman" w:cs="Times New Roman"/>
        </w:rPr>
        <w:t xml:space="preserve">, por seu advogado </w:t>
      </w:r>
      <w:r w:rsidRPr="00EC618A">
        <w:rPr>
          <w:rFonts w:ascii="Times New Roman" w:hAnsi="Times New Roman" w:cs="Times New Roman"/>
          <w:i/>
          <w:iCs/>
        </w:rPr>
        <w:t>in fine</w:t>
      </w:r>
      <w:r w:rsidRPr="00EC618A">
        <w:rPr>
          <w:rFonts w:ascii="Times New Roman" w:hAnsi="Times New Roman" w:cs="Times New Roman"/>
        </w:rPr>
        <w:t xml:space="preserve"> assinado, nos autos da ação de despejo epigrafada que contende com </w:t>
      </w:r>
      <w:r>
        <w:rPr>
          <w:rFonts w:ascii="Times New Roman" w:hAnsi="Times New Roman" w:cs="Times New Roman"/>
        </w:rPr>
        <w:t>...</w:t>
      </w:r>
      <w:r w:rsidRPr="00EC618A">
        <w:rPr>
          <w:rFonts w:ascii="Times New Roman" w:hAnsi="Times New Roman" w:cs="Times New Roman"/>
        </w:rPr>
        <w:t xml:space="preserve">, vem, respeitosamente, aviar os presentes embargos de declaração [CPC, art. 1.022, </w:t>
      </w:r>
      <w:r w:rsidRPr="00EC618A">
        <w:rPr>
          <w:rFonts w:ascii="Times New Roman" w:hAnsi="Times New Roman" w:cs="Times New Roman"/>
          <w:i/>
          <w:iCs/>
        </w:rPr>
        <w:t>caput</w:t>
      </w:r>
      <w:r w:rsidRPr="00EC618A">
        <w:rPr>
          <w:rFonts w:ascii="Times New Roman" w:hAnsi="Times New Roman" w:cs="Times New Roman"/>
        </w:rPr>
        <w:t>, II, pelas razões de direito adiante articuladas:</w:t>
      </w:r>
    </w:p>
    <w:p w14:paraId="534A9124" w14:textId="053BB0FA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EC618A">
        <w:rPr>
          <w:rFonts w:ascii="Times New Roman" w:hAnsi="Times New Roman" w:cs="Times New Roman"/>
          <w:b/>
          <w:bCs/>
        </w:rPr>
        <w:t xml:space="preserve">I- </w:t>
      </w:r>
      <w:r w:rsidRPr="00EC618A">
        <w:rPr>
          <w:rFonts w:ascii="Times New Roman" w:hAnsi="Times New Roman" w:cs="Times New Roman"/>
          <w:b/>
          <w:bCs/>
        </w:rPr>
        <w:t>O CABIMENTO DOS EMBARGOS DE DECLARAÇÃO – OMISSÃO QUANTO AOS CRITÉRIOS DE APURAÇÃO DAS ACESSÕES</w:t>
      </w:r>
    </w:p>
    <w:p w14:paraId="46D880F0" w14:textId="251E5392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A r. sentença embargada do Id </w:t>
      </w:r>
      <w:r>
        <w:rPr>
          <w:rFonts w:ascii="Times New Roman" w:hAnsi="Times New Roman" w:cs="Times New Roman"/>
        </w:rPr>
        <w:t>...</w:t>
      </w:r>
      <w:r w:rsidRPr="00EC618A">
        <w:rPr>
          <w:rFonts w:ascii="Times New Roman" w:hAnsi="Times New Roman" w:cs="Times New Roman"/>
        </w:rPr>
        <w:t xml:space="preserve">, embora tenha corretamente reconhecido o direito do embargante à indenização pelas acessões realizadas no imóvel objeto da lide — notadamente as alterações físicas substanciais consubstanciadas na edificação de prédio de dois andares, conforme expressamente apontado na reconvenção, </w:t>
      </w:r>
      <w:r w:rsidRPr="00EC618A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EC618A">
        <w:rPr>
          <w:rFonts w:ascii="Times New Roman" w:hAnsi="Times New Roman" w:cs="Times New Roman"/>
          <w:i/>
          <w:iCs/>
        </w:rPr>
        <w:t>venia</w:t>
      </w:r>
      <w:proofErr w:type="spellEnd"/>
      <w:r w:rsidRPr="00EC618A">
        <w:rPr>
          <w:rFonts w:ascii="Times New Roman" w:hAnsi="Times New Roman" w:cs="Times New Roman"/>
        </w:rPr>
        <w:t>, incorreu em omissão relevante, a ensejar a oposição dos presentes embargos de declaração, nos termos do art. 1.022, inciso II, do CPC.</w:t>
      </w:r>
    </w:p>
    <w:p w14:paraId="33D02E3F" w14:textId="1778BF90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Com efeito, o v. </w:t>
      </w:r>
      <w:r w:rsidRPr="00EC618A">
        <w:rPr>
          <w:rFonts w:ascii="Times New Roman" w:hAnsi="Times New Roman" w:cs="Times New Roman"/>
          <w:i/>
          <w:iCs/>
        </w:rPr>
        <w:t>decisum</w:t>
      </w:r>
      <w:r w:rsidRPr="00EC618A">
        <w:rPr>
          <w:rFonts w:ascii="Times New Roman" w:hAnsi="Times New Roman" w:cs="Times New Roman"/>
        </w:rPr>
        <w:t xml:space="preserve"> limitou-se a determinar que o quantum indenizatório seja apurado por arbitramento ou pelo procedimento comum, sem, contudo, esclarecer os critérios técnicos e jurídicos que deverão nortear a perícia, especialmente no que concerne à forma de avaliação das acessões edificadas desde a celebração do contrato até os dias atuais.</w:t>
      </w:r>
    </w:p>
    <w:p w14:paraId="734035E5" w14:textId="0E59C1A5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Referida omissão não é meramente formal. Ao revés, trata-se de ponto essencial ao exato cumprimento da sentença, pois a ausência de parâmetros objetivos e previamente definidos abre espaço para controvérsias futuras, impugnações desnecessárias e delongas incompatíveis com a efetividade da tutela jurisdicional, o que se busca precisamente evitar nesta sede </w:t>
      </w:r>
      <w:proofErr w:type="spellStart"/>
      <w:r w:rsidRPr="00EC618A">
        <w:rPr>
          <w:rFonts w:ascii="Times New Roman" w:hAnsi="Times New Roman" w:cs="Times New Roman"/>
        </w:rPr>
        <w:t>aclaratória</w:t>
      </w:r>
      <w:proofErr w:type="spellEnd"/>
      <w:r w:rsidRPr="00EC618A">
        <w:rPr>
          <w:rFonts w:ascii="Times New Roman" w:hAnsi="Times New Roman" w:cs="Times New Roman"/>
        </w:rPr>
        <w:t>.</w:t>
      </w:r>
    </w:p>
    <w:p w14:paraId="70084801" w14:textId="2466919D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Ressalte-se que, no caso concreto, como assinalado na v. sentença embargada, restaram incontroversos:</w:t>
      </w:r>
    </w:p>
    <w:p w14:paraId="08BF5324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(i) a boa-fé do embargante,</w:t>
      </w:r>
    </w:p>
    <w:p w14:paraId="2EE54600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(</w:t>
      </w:r>
      <w:proofErr w:type="spellStart"/>
      <w:r w:rsidRPr="00EC618A">
        <w:rPr>
          <w:rFonts w:ascii="Times New Roman" w:hAnsi="Times New Roman" w:cs="Times New Roman"/>
        </w:rPr>
        <w:t>ii</w:t>
      </w:r>
      <w:proofErr w:type="spellEnd"/>
      <w:r w:rsidRPr="00EC618A">
        <w:rPr>
          <w:rFonts w:ascii="Times New Roman" w:hAnsi="Times New Roman" w:cs="Times New Roman"/>
        </w:rPr>
        <w:t>) a existência e prova robusta das acessões realizadas, e</w:t>
      </w:r>
    </w:p>
    <w:p w14:paraId="2CBB3123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(</w:t>
      </w:r>
      <w:proofErr w:type="spellStart"/>
      <w:r w:rsidRPr="00EC618A">
        <w:rPr>
          <w:rFonts w:ascii="Times New Roman" w:hAnsi="Times New Roman" w:cs="Times New Roman"/>
        </w:rPr>
        <w:t>iii</w:t>
      </w:r>
      <w:proofErr w:type="spellEnd"/>
      <w:r w:rsidRPr="00EC618A">
        <w:rPr>
          <w:rFonts w:ascii="Times New Roman" w:hAnsi="Times New Roman" w:cs="Times New Roman"/>
        </w:rPr>
        <w:t>) a adequação da via eleita, qual seja, a reconvenção, corretamente manejada e acolhida.</w:t>
      </w:r>
    </w:p>
    <w:p w14:paraId="4403C528" w14:textId="77777777" w:rsid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Diante desse contexto, é indispensável que através desta quadra recursal, se integre à r. sentença, esclarecendo, de forma expressa, quais critérios deverão ser adotados para a apuração das acessões, de modo a conferir segurança jurídica, previsibilidade e celeridade à fase de cumprimento de sentença, </w:t>
      </w:r>
      <w:r w:rsidRPr="00EC618A">
        <w:rPr>
          <w:rFonts w:ascii="Times New Roman" w:hAnsi="Times New Roman" w:cs="Times New Roman"/>
          <w:i/>
          <w:iCs/>
        </w:rPr>
        <w:t xml:space="preserve">redobrada </w:t>
      </w:r>
      <w:proofErr w:type="spellStart"/>
      <w:r w:rsidRPr="00EC618A">
        <w:rPr>
          <w:rFonts w:ascii="Times New Roman" w:hAnsi="Times New Roman" w:cs="Times New Roman"/>
          <w:i/>
          <w:iCs/>
        </w:rPr>
        <w:t>venia</w:t>
      </w:r>
      <w:r w:rsidRPr="00EC618A">
        <w:rPr>
          <w:rFonts w:ascii="Times New Roman" w:hAnsi="Times New Roman" w:cs="Times New Roman"/>
        </w:rPr>
        <w:t>.</w:t>
      </w:r>
      <w:proofErr w:type="spellEnd"/>
    </w:p>
    <w:p w14:paraId="1BE5B756" w14:textId="67B7CFB1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EC618A">
        <w:rPr>
          <w:rFonts w:ascii="Times New Roman" w:hAnsi="Times New Roman" w:cs="Times New Roman"/>
          <w:b/>
          <w:bCs/>
        </w:rPr>
        <w:lastRenderedPageBreak/>
        <w:t>II-</w:t>
      </w:r>
      <w:r w:rsidRPr="00EC618A">
        <w:rPr>
          <w:rFonts w:ascii="Times New Roman" w:hAnsi="Times New Roman" w:cs="Times New Roman"/>
          <w:b/>
          <w:bCs/>
        </w:rPr>
        <w:t xml:space="preserve"> </w:t>
      </w:r>
      <w:r w:rsidRPr="00EC618A">
        <w:rPr>
          <w:rFonts w:ascii="Times New Roman" w:hAnsi="Times New Roman" w:cs="Times New Roman"/>
          <w:b/>
          <w:bCs/>
        </w:rPr>
        <w:t>O CRITÉRIO DE AVALIAÇÃO DAS ACESSÕES – NECESSIDADE DE APURAÇÃO PELO VALOR ATUAL DE MERCADO DA CONSTRUÇÃO</w:t>
      </w:r>
    </w:p>
    <w:p w14:paraId="47DC3544" w14:textId="11A79684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Destarte, pede-se seja expressamente integrado ao r. </w:t>
      </w:r>
      <w:r w:rsidRPr="00EC618A">
        <w:rPr>
          <w:rFonts w:ascii="Times New Roman" w:hAnsi="Times New Roman" w:cs="Times New Roman"/>
          <w:i/>
          <w:iCs/>
        </w:rPr>
        <w:t>decisum</w:t>
      </w:r>
      <w:r w:rsidRPr="00EC618A">
        <w:rPr>
          <w:rFonts w:ascii="Times New Roman" w:hAnsi="Times New Roman" w:cs="Times New Roman"/>
        </w:rPr>
        <w:t xml:space="preserve"> embargado que a apuração das acessões — consubstanciadas no prédio de dois andares — não se limite ao mero custo histórico de materiais e mão de obra, sob pena de flagrante descompasso com a realidade econômica e com a finalidade indenizatória da condenação.</w:t>
      </w:r>
    </w:p>
    <w:p w14:paraId="689B3E50" w14:textId="6545F7EE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A indenização deve refletir o valor real e atual da edificação, considerando o incremento patrimonial efetivamente incorporado ao imóvel, que agregará à sua avaliação ---do imóvel objeto do despejo--- razão pela qual a perícia a ser realizada deverá contemplar, de forma detalhada e fundamentada, ao menos os seguintes critérios técnicos:</w:t>
      </w:r>
    </w:p>
    <w:p w14:paraId="2554E810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a) Valor de Mercado [Método Comparativo Direto]:</w:t>
      </w:r>
    </w:p>
    <w:p w14:paraId="45577EBC" w14:textId="48454538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Avaliação do valor atual de mercado do prédio de dois andares, isolando-se o valor da construção do valor do terreno, com base em imóveis similares, localização, padrão construtivo e condições de mercado e;</w:t>
      </w:r>
    </w:p>
    <w:p w14:paraId="4FFA2220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b) Valor de Reposição ou Custo de Construção Depreciado:</w:t>
      </w:r>
    </w:p>
    <w:p w14:paraId="49FC14BE" w14:textId="247D546E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Cálculo de quanto custaria, nos dias atuais, construir edificação equivalente, abatendo-se a depreciação física e funcional, conforme a idade e o estado de conservação do imóvel.</w:t>
      </w:r>
    </w:p>
    <w:p w14:paraId="3B317542" w14:textId="45CD51BD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A perícia de engenharia, em observância às normas técnicas aplicáveis, deverá também considerar, necessariamente:</w:t>
      </w:r>
    </w:p>
    <w:p w14:paraId="736C2A82" w14:textId="663465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Pr="00EC618A">
        <w:rPr>
          <w:rFonts w:ascii="Times New Roman" w:hAnsi="Times New Roman" w:cs="Times New Roman"/>
        </w:rPr>
        <w:t>Área construída, com a metragem total dos dois pavimentos;</w:t>
      </w:r>
    </w:p>
    <w:p w14:paraId="17A7ACA6" w14:textId="4EE5C18D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 xml:space="preserve"> </w:t>
      </w:r>
      <w:r w:rsidRPr="00EC618A">
        <w:rPr>
          <w:rFonts w:ascii="Times New Roman" w:hAnsi="Times New Roman" w:cs="Times New Roman"/>
        </w:rPr>
        <w:t>Padrão de acabamento, classificando-o [baixo, normal, alto ou luxo];</w:t>
      </w:r>
    </w:p>
    <w:p w14:paraId="169713AE" w14:textId="13B0394D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 xml:space="preserve"> </w:t>
      </w:r>
      <w:r w:rsidRPr="00EC618A">
        <w:rPr>
          <w:rFonts w:ascii="Times New Roman" w:hAnsi="Times New Roman" w:cs="Times New Roman"/>
        </w:rPr>
        <w:t>Idade da construção e estado de conservação, aplicando-se corretamente os índices de depreciação, pois é evidente que uma edificação antiga não possui o mesmo valor de uma construção nova.</w:t>
      </w:r>
    </w:p>
    <w:p w14:paraId="2D9C1B39" w14:textId="6A92EA94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Este, inclusive, é o parâmetro usualmente adotado pela jurisprudência, qual seja, a apuração do valor que a construção efetivamente agregou ao imóvel, sempre com o objetivo de indenizar o valor real da obra no momento da desocupação, e não um valor meramente contábil ou histórico, destituído de aderência à realidade.</w:t>
      </w:r>
    </w:p>
    <w:p w14:paraId="4EAD682B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EC618A">
        <w:rPr>
          <w:rFonts w:ascii="Times New Roman" w:hAnsi="Times New Roman" w:cs="Times New Roman"/>
        </w:rPr>
        <w:t xml:space="preserve"> </w:t>
      </w:r>
      <w:r w:rsidRPr="00EC618A">
        <w:rPr>
          <w:rFonts w:ascii="Times New Roman" w:hAnsi="Times New Roman" w:cs="Times New Roman"/>
          <w:b/>
          <w:bCs/>
        </w:rPr>
        <w:t>III- PEDIDOS</w:t>
      </w:r>
    </w:p>
    <w:p w14:paraId="30851ACF" w14:textId="213E2508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EC618A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EC618A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EC618A">
        <w:rPr>
          <w:rFonts w:ascii="Times New Roman" w:hAnsi="Times New Roman" w:cs="Times New Roman"/>
        </w:rPr>
        <w:t xml:space="preserve">, requer sejam ACOLHIDOS OS PRESENTES EMBARGOS DE DECLARAÇÃO, sanando omissões, integrando-se o r. </w:t>
      </w:r>
      <w:r w:rsidRPr="00EC618A">
        <w:rPr>
          <w:rFonts w:ascii="Times New Roman" w:hAnsi="Times New Roman" w:cs="Times New Roman"/>
          <w:i/>
          <w:iCs/>
        </w:rPr>
        <w:t>decisum</w:t>
      </w:r>
      <w:r w:rsidRPr="00EC618A">
        <w:rPr>
          <w:rFonts w:ascii="Times New Roman" w:hAnsi="Times New Roman" w:cs="Times New Roman"/>
        </w:rPr>
        <w:t xml:space="preserve"> a fim de que:</w:t>
      </w:r>
    </w:p>
    <w:p w14:paraId="29C3BBF2" w14:textId="17665543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Symbol" w:hAnsi="Segoe UI Symbol" w:cs="Segoe UI Symbol"/>
        </w:rPr>
        <w:t xml:space="preserve">- </w:t>
      </w:r>
      <w:proofErr w:type="gramStart"/>
      <w:r w:rsidRPr="00EC618A">
        <w:rPr>
          <w:rFonts w:ascii="Times New Roman" w:hAnsi="Times New Roman" w:cs="Times New Roman"/>
        </w:rPr>
        <w:t>sejam</w:t>
      </w:r>
      <w:proofErr w:type="gramEnd"/>
      <w:r w:rsidRPr="00EC618A">
        <w:rPr>
          <w:rFonts w:ascii="Times New Roman" w:hAnsi="Times New Roman" w:cs="Times New Roman"/>
        </w:rPr>
        <w:t xml:space="preserve"> expressamente definidos os critérios técnicos e jurídicos para a apuração das acessões realizadas pelo embargante, e</w:t>
      </w:r>
    </w:p>
    <w:p w14:paraId="550E0064" w14:textId="25C98A6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Symbol" w:hAnsi="Segoe UI Symbol" w:cs="Segoe UI Symbol"/>
        </w:rPr>
        <w:t xml:space="preserve">- </w:t>
      </w:r>
      <w:proofErr w:type="gramStart"/>
      <w:r w:rsidRPr="00EC618A">
        <w:rPr>
          <w:rFonts w:ascii="Times New Roman" w:hAnsi="Times New Roman" w:cs="Times New Roman"/>
        </w:rPr>
        <w:t>reste</w:t>
      </w:r>
      <w:proofErr w:type="gramEnd"/>
      <w:r w:rsidRPr="00EC618A">
        <w:rPr>
          <w:rFonts w:ascii="Times New Roman" w:hAnsi="Times New Roman" w:cs="Times New Roman"/>
        </w:rPr>
        <w:t xml:space="preserve"> consignado que a indenização deverá refletir o valor atual de mercado da construção, ou, subsidiariamente, o custo de reposição depreciado, nos termos acima delineados,</w:t>
      </w:r>
    </w:p>
    <w:p w14:paraId="1531CF20" w14:textId="77777777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</w:p>
    <w:p w14:paraId="684D91E9" w14:textId="4313AB23" w:rsidR="00EC618A" w:rsidRPr="00EC618A" w:rsidRDefault="00EC618A" w:rsidP="00EC618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Pr="00EC618A">
        <w:rPr>
          <w:rFonts w:ascii="Times New Roman" w:hAnsi="Times New Roman" w:cs="Times New Roman"/>
        </w:rPr>
        <w:t>tudo</w:t>
      </w:r>
      <w:proofErr w:type="gramEnd"/>
      <w:r w:rsidRPr="00EC618A">
        <w:rPr>
          <w:rFonts w:ascii="Times New Roman" w:hAnsi="Times New Roman" w:cs="Times New Roman"/>
        </w:rPr>
        <w:t xml:space="preserve"> com o escopo de viabilizar o célere e efetivo cumprimento da sentença, afastando-se futuras controvérsias acerca do critério indenizatório das vultosas acessões erigidas pelo ora embargante.</w:t>
      </w:r>
    </w:p>
    <w:p w14:paraId="02E38F62" w14:textId="76DF596A" w:rsidR="00EC618A" w:rsidRPr="00EC618A" w:rsidRDefault="00EC618A" w:rsidP="004F0BE5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EC618A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ede </w:t>
      </w:r>
      <w:r w:rsidRPr="00EC618A">
        <w:rPr>
          <w:rFonts w:ascii="Times New Roman" w:hAnsi="Times New Roman" w:cs="Times New Roman"/>
        </w:rPr>
        <w:t>Deferimento.</w:t>
      </w:r>
    </w:p>
    <w:p w14:paraId="2B0E9FE7" w14:textId="1429AD8B" w:rsidR="00EC618A" w:rsidRDefault="004F0BE5" w:rsidP="004F0BE5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1B85F185" w14:textId="2FE031AA" w:rsidR="004F0BE5" w:rsidRPr="00EC618A" w:rsidRDefault="004F0BE5" w:rsidP="004F0BE5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4F0BE5" w:rsidRPr="00EC61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8E32F9"/>
    <w:multiLevelType w:val="hybridMultilevel"/>
    <w:tmpl w:val="830CDE0A"/>
    <w:lvl w:ilvl="0" w:tplc="5ECE9FF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4861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18A"/>
    <w:rsid w:val="004F0BE5"/>
    <w:rsid w:val="00954F44"/>
    <w:rsid w:val="00EC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D51FB"/>
  <w15:chartTrackingRefBased/>
  <w15:docId w15:val="{2647AA3F-9770-416B-878D-17B32FED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61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61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61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61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61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61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61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61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61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61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61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61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618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618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61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618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61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61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61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61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61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C61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61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C618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618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C618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61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618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61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795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2026-01-27T17:38:00Z</dcterms:created>
  <dcterms:modified xsi:type="dcterms:W3CDTF">2026-01-27T17:52:00Z</dcterms:modified>
</cp:coreProperties>
</file>