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739A5" w14:textId="6905B27E" w:rsidR="00065E36" w:rsidRPr="00C324C8" w:rsidRDefault="00C324C8" w:rsidP="00C324C8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C324C8">
        <w:rPr>
          <w:rFonts w:ascii="Arial Black" w:hAnsi="Arial Black" w:cs="Times New Roman"/>
        </w:rPr>
        <w:t>MODELO DE PETIÇÃO</w:t>
      </w:r>
    </w:p>
    <w:p w14:paraId="269763F2" w14:textId="4B8BC712" w:rsidR="00C324C8" w:rsidRPr="00C324C8" w:rsidRDefault="00C324C8" w:rsidP="00C324C8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C324C8">
        <w:rPr>
          <w:rFonts w:ascii="Arial Black" w:hAnsi="Arial Black" w:cs="Times New Roman"/>
        </w:rPr>
        <w:t xml:space="preserve">IMPUGNAÇÃO AVALIAÇÃO. </w:t>
      </w:r>
      <w:r w:rsidRPr="00C324C8">
        <w:rPr>
          <w:rFonts w:ascii="Arial Black" w:hAnsi="Arial Black" w:cs="Times New Roman"/>
        </w:rPr>
        <w:t>ÁREA INFERIOR AO ANOTADO NA MATRÍCULA DO IMÓVEL PENHORADO</w:t>
      </w:r>
    </w:p>
    <w:p w14:paraId="39C35AF4" w14:textId="10F9805E" w:rsidR="00C324C8" w:rsidRPr="00C324C8" w:rsidRDefault="00C324C8" w:rsidP="00C324C8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r w:rsidRPr="00C324C8">
        <w:rPr>
          <w:rFonts w:ascii="Arial Black" w:hAnsi="Arial Black" w:cs="Times New Roman"/>
        </w:rPr>
        <w:t>Rénan Kfuri Lopes</w:t>
      </w:r>
    </w:p>
    <w:p w14:paraId="47DB3CCB" w14:textId="77777777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</w:p>
    <w:p w14:paraId="5109BEFC" w14:textId="77777777" w:rsid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da Vara Federal do Juizado Especial Federal Adjunto de ...</w:t>
      </w:r>
    </w:p>
    <w:p w14:paraId="6C96CA30" w14:textId="7FC4999B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065E36">
        <w:rPr>
          <w:rFonts w:ascii="Times New Roman" w:hAnsi="Times New Roman" w:cs="Times New Roman"/>
        </w:rPr>
        <w:t>Eproc</w:t>
      </w:r>
      <w:proofErr w:type="spellEnd"/>
      <w:r w:rsidRPr="00065E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75D55365" w14:textId="6967D330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(nome)</w:t>
      </w:r>
      <w:r w:rsidRPr="00065E36">
        <w:rPr>
          <w:rFonts w:ascii="Times New Roman" w:hAnsi="Times New Roman" w:cs="Times New Roman"/>
        </w:rPr>
        <w:t xml:space="preserve">, executado, por seus advogados </w:t>
      </w:r>
      <w:r w:rsidRPr="00065E36">
        <w:rPr>
          <w:rFonts w:ascii="Times New Roman" w:hAnsi="Times New Roman" w:cs="Times New Roman"/>
          <w:i/>
          <w:iCs/>
        </w:rPr>
        <w:t>in fine</w:t>
      </w:r>
      <w:r w:rsidRPr="00065E36">
        <w:rPr>
          <w:rFonts w:ascii="Times New Roman" w:hAnsi="Times New Roman" w:cs="Times New Roman"/>
        </w:rPr>
        <w:t xml:space="preserve"> assinados, nos autos epigrafados da “</w:t>
      </w:r>
      <w:r w:rsidRPr="00065E36">
        <w:rPr>
          <w:rFonts w:ascii="Times New Roman" w:hAnsi="Times New Roman" w:cs="Times New Roman"/>
          <w:i/>
          <w:iCs/>
        </w:rPr>
        <w:t>Execução Fiscal</w:t>
      </w:r>
      <w:r w:rsidRPr="00065E36">
        <w:rPr>
          <w:rFonts w:ascii="Times New Roman" w:hAnsi="Times New Roman" w:cs="Times New Roman"/>
        </w:rPr>
        <w:t xml:space="preserve">” promovida por FUNDAÇÃO NACIONAL DE SAÚDE – FUNASA, exequente, vem, respeitosamente, apresentar IMPUGNAÇÃO À AVALIÇÃO juntada no evento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>, bem como REFUTAR o pedido de intimação do advogado do executada da penhora, pelo que passa a aduzir:</w:t>
      </w:r>
    </w:p>
    <w:p w14:paraId="13ED4BFF" w14:textId="31B6E4B9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065E36">
        <w:rPr>
          <w:rFonts w:ascii="Times New Roman" w:hAnsi="Times New Roman" w:cs="Times New Roman"/>
          <w:b/>
          <w:bCs/>
        </w:rPr>
        <w:t xml:space="preserve">I- </w:t>
      </w:r>
      <w:r w:rsidRPr="00065E36">
        <w:rPr>
          <w:rFonts w:ascii="Times New Roman" w:hAnsi="Times New Roman" w:cs="Times New Roman"/>
          <w:b/>
          <w:bCs/>
        </w:rPr>
        <w:t xml:space="preserve">DA IMPUGNAÇÃO À AVALIAÇÃO </w:t>
      </w:r>
    </w:p>
    <w:p w14:paraId="5543177C" w14:textId="506FDF51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065E36">
        <w:rPr>
          <w:rFonts w:ascii="Times New Roman" w:hAnsi="Times New Roman" w:cs="Times New Roman"/>
          <w:b/>
          <w:bCs/>
        </w:rPr>
        <w:t>I.1-</w:t>
      </w:r>
      <w:r w:rsidRPr="00065E36">
        <w:rPr>
          <w:rFonts w:ascii="Times New Roman" w:hAnsi="Times New Roman" w:cs="Times New Roman"/>
          <w:b/>
          <w:bCs/>
        </w:rPr>
        <w:t xml:space="preserve"> </w:t>
      </w:r>
      <w:r w:rsidRPr="00065E36">
        <w:rPr>
          <w:rFonts w:ascii="Times New Roman" w:hAnsi="Times New Roman" w:cs="Times New Roman"/>
          <w:b/>
          <w:bCs/>
        </w:rPr>
        <w:t>AVALIAÇÃO INCORRETA DE ÁREA INFERIOR AO ANOTADO NA MATRÍCULA DO IMÓVEL PENHORADO</w:t>
      </w:r>
    </w:p>
    <w:p w14:paraId="09E8C4A5" w14:textId="746311DB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O imóvel objeto da matrícula n.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/CRI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teve sua área original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ha [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] aumentada para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ha [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>] conforme informado no R-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. </w:t>
      </w:r>
    </w:p>
    <w:p w14:paraId="41CCA431" w14:textId="1B68AA0F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A avaliação judicial do evento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só considerou a anterior área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ha e não a atual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ha.</w:t>
      </w:r>
      <w:r w:rsidRPr="00065E36">
        <w:rPr>
          <w:rFonts w:ascii="Times New Roman" w:hAnsi="Times New Roman" w:cs="Times New Roman"/>
        </w:rPr>
        <w:t xml:space="preserve"> </w:t>
      </w:r>
    </w:p>
    <w:p w14:paraId="08AD96D8" w14:textId="28FBF227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O d. juízo no interlocutório do evento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>, alínea “</w:t>
      </w:r>
      <w:r w:rsidRPr="00065E36">
        <w:rPr>
          <w:rFonts w:ascii="Times New Roman" w:hAnsi="Times New Roman" w:cs="Times New Roman"/>
          <w:i/>
          <w:iCs/>
        </w:rPr>
        <w:t>c</w:t>
      </w:r>
      <w:r w:rsidRPr="00065E36">
        <w:rPr>
          <w:rFonts w:ascii="Times New Roman" w:hAnsi="Times New Roman" w:cs="Times New Roman"/>
        </w:rPr>
        <w:t xml:space="preserve">” determinou a avaliação do imóvel matriculado sob o número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, CRI de </w:t>
      </w:r>
      <w:r>
        <w:rPr>
          <w:rFonts w:ascii="Times New Roman" w:hAnsi="Times New Roman" w:cs="Times New Roman"/>
        </w:rPr>
        <w:t>...</w:t>
      </w:r>
    </w:p>
    <w:p w14:paraId="0D7544B6" w14:textId="70D28694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Pela singela leitura da matrícula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do CRI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juntada no evento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, págs.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verifica-se que a área original da matrícula era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ha [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]; todavia, em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no R-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a área do imóvel foi aumentada/retificada, passando a totalizar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ha [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], composta pela área primitiva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ha, mais a área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ha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e a área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ha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e sua mulher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>, confira-se:</w:t>
      </w:r>
    </w:p>
    <w:p w14:paraId="507E3B83" w14:textId="2175BDC3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Entretanto o ilustrado “</w:t>
      </w:r>
      <w:r w:rsidRPr="00065E36">
        <w:rPr>
          <w:rFonts w:ascii="Times New Roman" w:hAnsi="Times New Roman" w:cs="Times New Roman"/>
          <w:i/>
          <w:iCs/>
        </w:rPr>
        <w:t>Oficial de Justiça</w:t>
      </w:r>
      <w:r w:rsidRPr="00065E36">
        <w:rPr>
          <w:rFonts w:ascii="Times New Roman" w:hAnsi="Times New Roman" w:cs="Times New Roman"/>
        </w:rPr>
        <w:t xml:space="preserve">” avaliador da Comarca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apresentou em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seu “</w:t>
      </w:r>
      <w:r w:rsidRPr="00065E36">
        <w:rPr>
          <w:rFonts w:ascii="Times New Roman" w:hAnsi="Times New Roman" w:cs="Times New Roman"/>
          <w:i/>
          <w:iCs/>
        </w:rPr>
        <w:t>Auto de Avaliação</w:t>
      </w:r>
      <w:r w:rsidRPr="00065E36">
        <w:rPr>
          <w:rFonts w:ascii="Times New Roman" w:hAnsi="Times New Roman" w:cs="Times New Roman"/>
        </w:rPr>
        <w:t xml:space="preserve">” do evento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no qual constou apenas a avaliação de parte da área do imóvel rural penhorado correspondente a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] e considerou o valor de R$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>] o preço do hectare.</w:t>
      </w:r>
    </w:p>
    <w:p w14:paraId="325E698E" w14:textId="15291ABD" w:rsid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Destarte, se afigura completamente equivocada essa avaliação parcial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ha quando a área correta do imóvel rural </w:t>
      </w:r>
      <w:proofErr w:type="spellStart"/>
      <w:r w:rsidRPr="00065E36">
        <w:rPr>
          <w:rFonts w:ascii="Times New Roman" w:hAnsi="Times New Roman" w:cs="Times New Roman"/>
        </w:rPr>
        <w:t>constritado</w:t>
      </w:r>
      <w:proofErr w:type="spellEnd"/>
      <w:r w:rsidRPr="00065E36">
        <w:rPr>
          <w:rFonts w:ascii="Times New Roman" w:hAnsi="Times New Roman" w:cs="Times New Roman"/>
        </w:rPr>
        <w:t xml:space="preserve"> é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ha [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>], confira-se:</w:t>
      </w:r>
    </w:p>
    <w:p w14:paraId="5B0C9472" w14:textId="087FEB6B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(...)</w:t>
      </w:r>
    </w:p>
    <w:p w14:paraId="05E3ED51" w14:textId="6C7C960B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Sob a ótica de uma avaliação apenas da extensão geral da área rural do imóvel como critério de avaliação, o Meirinho no evento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não considerou uma área significativa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ha -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-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], revelando, com isso, completamente equivocada a avaliação determinada por esse d. juízo quando ordenou a avaliação do imóvel da matrícula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e não de uma parte dela. </w:t>
      </w:r>
    </w:p>
    <w:p w14:paraId="0892E988" w14:textId="77777777" w:rsid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lastRenderedPageBreak/>
        <w:t xml:space="preserve">E mais. Como se observa nas Averbações números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da matrícula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relativa à Cédula Rural Pignoratícia, credor o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>, a garantia ofertada açambarca a área integral do imóvel penhorado descrita no R-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de </w:t>
      </w:r>
      <w:r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hectares.</w:t>
      </w:r>
    </w:p>
    <w:p w14:paraId="09E65A16" w14:textId="1AC71991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Conforme leciona a emérita civilista MARIA HELENA DINIZ “</w:t>
      </w:r>
      <w:r w:rsidRPr="00065E36">
        <w:rPr>
          <w:rFonts w:ascii="Times New Roman" w:hAnsi="Times New Roman" w:cs="Times New Roman"/>
          <w:i/>
          <w:iCs/>
        </w:rPr>
        <w:t>O registro imobiliário é ato público que confere autenticidade, segurança e eficácia aos direitos reais, devendo prevalecer sobre quaisquer documentos ou avaliações que lhe sejam contraditórios</w:t>
      </w:r>
      <w:r w:rsidRPr="00065E36">
        <w:rPr>
          <w:rFonts w:ascii="Times New Roman" w:hAnsi="Times New Roman" w:cs="Times New Roman"/>
        </w:rPr>
        <w:t>”</w:t>
      </w:r>
      <w:r w:rsidR="00B76CFA">
        <w:rPr>
          <w:rStyle w:val="Refdenotaderodap"/>
          <w:rFonts w:ascii="Times New Roman" w:hAnsi="Times New Roman" w:cs="Times New Roman"/>
        </w:rPr>
        <w:footnoteReference w:id="1"/>
      </w:r>
      <w:r w:rsidRPr="00065E36">
        <w:rPr>
          <w:rFonts w:ascii="Times New Roman" w:hAnsi="Times New Roman" w:cs="Times New Roman"/>
        </w:rPr>
        <w:t xml:space="preserve">.   </w:t>
      </w:r>
    </w:p>
    <w:p w14:paraId="4EBD7BBE" w14:textId="346B61F2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HUMBERTO THEODORO JÚNIOR com a autoridade que lhe reconhece ensina: “</w:t>
      </w:r>
      <w:r w:rsidRPr="00065E36">
        <w:rPr>
          <w:rFonts w:ascii="Times New Roman" w:hAnsi="Times New Roman" w:cs="Times New Roman"/>
          <w:i/>
          <w:iCs/>
        </w:rPr>
        <w:t>A avaliação judicial deve ser exata e fiel à realidade do bem, devendo o perito ou oficial de justiça pautar-se por critérios técnicos e objetivos, considerando todas as circunstâncias que influenciem seu valor, sob pena de nulidade e necessidade de nova perícia</w:t>
      </w:r>
      <w:r w:rsidRPr="00065E36">
        <w:rPr>
          <w:rFonts w:ascii="Times New Roman" w:hAnsi="Times New Roman" w:cs="Times New Roman"/>
        </w:rPr>
        <w:t>”</w:t>
      </w:r>
      <w:r w:rsidR="00C324C8">
        <w:rPr>
          <w:rStyle w:val="Refdenotaderodap"/>
          <w:rFonts w:ascii="Times New Roman" w:hAnsi="Times New Roman" w:cs="Times New Roman"/>
        </w:rPr>
        <w:footnoteReference w:id="2"/>
      </w:r>
      <w:r w:rsidRPr="00065E36">
        <w:rPr>
          <w:rFonts w:ascii="Times New Roman" w:hAnsi="Times New Roman" w:cs="Times New Roman"/>
        </w:rPr>
        <w:t xml:space="preserve">. </w:t>
      </w:r>
    </w:p>
    <w:p w14:paraId="2FCD04C0" w14:textId="77777777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No ponto:</w:t>
      </w:r>
    </w:p>
    <w:p w14:paraId="75A10A80" w14:textId="4A89E6D2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“</w:t>
      </w:r>
      <w:r w:rsidRPr="00065E36">
        <w:rPr>
          <w:rFonts w:ascii="Times New Roman" w:hAnsi="Times New Roman" w:cs="Times New Roman"/>
          <w:i/>
          <w:iCs/>
        </w:rPr>
        <w:t>AGRAVO DE INSTRUMENTO - LAUDO QUE NÃO CONSIDEROU A METRAGEM CORRETA DO IMÓVEL DESCRITA EM SUA MATRÍCULA - NECESSIDADE DE CORREÇÃO DA AVALIAÇÃO JUDICIAL REALIZADA COM EQUÍVOCO MANIFESTO, QUE DEIXOU DE CONSIDERAR METADE DO IMÓVEL NA AVALIAÇÃO, COM INFLUÊNCIA DECISIVA NA ATRIBUIÇÃO DO SEU VALOR - NOVA AVALIAÇÃO QUE PODE SER DETERMINADA DE OFÍCIO PELO MAGISTRADO PARA CORREÇÃO DO ERRO MATERIAL - RECURSO NÃO PROVIDO.</w:t>
      </w:r>
      <w:r>
        <w:rPr>
          <w:rFonts w:ascii="Times New Roman" w:hAnsi="Times New Roman" w:cs="Times New Roman"/>
          <w:i/>
          <w:iCs/>
        </w:rPr>
        <w:t xml:space="preserve"> </w:t>
      </w:r>
      <w:r w:rsidRPr="00065E36">
        <w:rPr>
          <w:rFonts w:ascii="Times New Roman" w:hAnsi="Times New Roman" w:cs="Times New Roman"/>
          <w:i/>
          <w:iCs/>
        </w:rPr>
        <w:t>1. Nos termos do parágrafo único, do art. 1.015, Parágrafo único, do Código de Processo Civil, as decisões proferidas nos autos de ação de inventário são impugnáveis por agravo de instrumento.</w:t>
      </w:r>
      <w:r>
        <w:rPr>
          <w:rFonts w:ascii="Times New Roman" w:hAnsi="Times New Roman" w:cs="Times New Roman"/>
          <w:i/>
          <w:iCs/>
        </w:rPr>
        <w:t xml:space="preserve"> </w:t>
      </w:r>
      <w:r w:rsidRPr="00065E36">
        <w:rPr>
          <w:rFonts w:ascii="Times New Roman" w:hAnsi="Times New Roman" w:cs="Times New Roman"/>
          <w:i/>
          <w:iCs/>
        </w:rPr>
        <w:t>2. Constatado que a decisão recorrida não se trata de mero ato de impulsionamento do processo, mas sim possui cunho decisório, não há que se falar em não conhecimento do recurso à luz do rol consignado no artigo 1.015, do Código de Processo Civil.3. A discrepância no laudo de avaliação do imóvel a respeito da metragem entre o que consta da matrícula do imóvel no RGI e a descrição da metragem lançada no laudo de avaliação, encerrando erro que corresponde à metade do tamanho do imóvel, com implicação direta na atribuição do preço, autoriza a realização de uma nova avaliação com intuito de apontar o valor real do bem, por isso que o imóvel avaliado não é aquele adjudicado pelo agravante, medida que pode ser determinada pelo juízo de origem inclusive de ofício, quando constatada a discrepância para a correção do erro material manifesto, não estando condicionada a provação das partes</w:t>
      </w:r>
      <w:r w:rsidRPr="00065E3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r w:rsidRPr="00065E36">
        <w:rPr>
          <w:rFonts w:ascii="Times New Roman" w:hAnsi="Times New Roman" w:cs="Times New Roman"/>
        </w:rPr>
        <w:t xml:space="preserve">[TJMG -  Agravo de Instrumento-Cv  1.0000.24.244344-8/001, </w:t>
      </w:r>
      <w:proofErr w:type="spellStart"/>
      <w:r w:rsidRPr="00065E36">
        <w:rPr>
          <w:rFonts w:ascii="Times New Roman" w:hAnsi="Times New Roman" w:cs="Times New Roman"/>
        </w:rPr>
        <w:t>Rel</w:t>
      </w:r>
      <w:proofErr w:type="spellEnd"/>
      <w:r w:rsidRPr="00065E36">
        <w:rPr>
          <w:rFonts w:ascii="Times New Roman" w:hAnsi="Times New Roman" w:cs="Times New Roman"/>
        </w:rPr>
        <w:t>: Des. Francisco Costa , Câmara Justiça 4.0 - Especial, Dje13/09/2024]</w:t>
      </w:r>
    </w:p>
    <w:p w14:paraId="55B6BCB8" w14:textId="10F5E589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065E36">
        <w:rPr>
          <w:rFonts w:ascii="Times New Roman" w:hAnsi="Times New Roman" w:cs="Times New Roman"/>
          <w:i/>
          <w:iCs/>
        </w:rPr>
        <w:t xml:space="preserve">AGRAVO DE INSTRUMENTO - EXECUÇÃO - PENHORA - AVALIAÇÃO DE IMÓVEL - DIVERGÊNCIA NA METRAGEM DO BEM - DIFERENÇA SUBSTANCIAL ENTRE OS VALORES APURADOS NOS LAUDOS DE AVALIAÇÃO - NOVA PERÍCIA -NECESSÁRIA. ... 3. Diante da existência de divergência quanto à extensão do bem imóvel, fato que ensejou a discrepância nos valores indicados no laudo de avaliação produzido pelo Perito Oficial e Naquele produzido por profissional contratado pela parte, se faz necessária a realização de </w:t>
      </w:r>
      <w:r w:rsidRPr="00065E36">
        <w:rPr>
          <w:rFonts w:ascii="Times New Roman" w:hAnsi="Times New Roman" w:cs="Times New Roman"/>
          <w:i/>
          <w:iCs/>
        </w:rPr>
        <w:lastRenderedPageBreak/>
        <w:t>nova prova técnica</w:t>
      </w:r>
      <w:r w:rsidRPr="00065E3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”</w:t>
      </w:r>
      <w:r w:rsidRPr="00065E36">
        <w:rPr>
          <w:rFonts w:ascii="Times New Roman" w:hAnsi="Times New Roman" w:cs="Times New Roman"/>
        </w:rPr>
        <w:t xml:space="preserve">  [TJMG </w:t>
      </w:r>
      <w:proofErr w:type="gramStart"/>
      <w:r w:rsidRPr="00065E36">
        <w:rPr>
          <w:rFonts w:ascii="Times New Roman" w:hAnsi="Times New Roman" w:cs="Times New Roman"/>
        </w:rPr>
        <w:t>-  Agravo</w:t>
      </w:r>
      <w:proofErr w:type="gramEnd"/>
      <w:r w:rsidRPr="00065E36">
        <w:rPr>
          <w:rFonts w:ascii="Times New Roman" w:hAnsi="Times New Roman" w:cs="Times New Roman"/>
        </w:rPr>
        <w:t xml:space="preserve"> de Instrumento-</w:t>
      </w:r>
      <w:proofErr w:type="gramStart"/>
      <w:r w:rsidRPr="00065E36">
        <w:rPr>
          <w:rFonts w:ascii="Times New Roman" w:hAnsi="Times New Roman" w:cs="Times New Roman"/>
        </w:rPr>
        <w:t>Cv  1.0000.22.178731</w:t>
      </w:r>
      <w:proofErr w:type="gramEnd"/>
      <w:r w:rsidRPr="00065E36">
        <w:rPr>
          <w:rFonts w:ascii="Times New Roman" w:hAnsi="Times New Roman" w:cs="Times New Roman"/>
        </w:rPr>
        <w:t xml:space="preserve">-0/001, </w:t>
      </w:r>
      <w:proofErr w:type="spellStart"/>
      <w:r w:rsidRPr="00065E36">
        <w:rPr>
          <w:rFonts w:ascii="Times New Roman" w:hAnsi="Times New Roman" w:cs="Times New Roman"/>
        </w:rPr>
        <w:t>Rel</w:t>
      </w:r>
      <w:proofErr w:type="spellEnd"/>
      <w:r w:rsidRPr="00065E36">
        <w:rPr>
          <w:rFonts w:ascii="Times New Roman" w:hAnsi="Times New Roman" w:cs="Times New Roman"/>
        </w:rPr>
        <w:t xml:space="preserve">: Des. José Américo Martins da Costa, 15ª CÂMARA CÍVEL, </w:t>
      </w:r>
      <w:proofErr w:type="spellStart"/>
      <w:r w:rsidRPr="00065E36">
        <w:rPr>
          <w:rFonts w:ascii="Times New Roman" w:hAnsi="Times New Roman" w:cs="Times New Roman"/>
        </w:rPr>
        <w:t>Dje</w:t>
      </w:r>
      <w:proofErr w:type="spellEnd"/>
      <w:r w:rsidRPr="00065E36">
        <w:rPr>
          <w:rFonts w:ascii="Times New Roman" w:hAnsi="Times New Roman" w:cs="Times New Roman"/>
        </w:rPr>
        <w:t xml:space="preserve"> 11/01/2023]</w:t>
      </w:r>
    </w:p>
    <w:p w14:paraId="2261A9A8" w14:textId="77777777" w:rsidR="00B76CFA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Neste cenário, evidenciado o prejuízo ao executado, pois a avaliação realizada se deu em área inferior e discrepante da realidade do imóvel penhorado, conforme documentação oficial exarada pelo Cartório de Registro de Imóveis de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, o que se constitui erro crasso, impõe-se SEJA DETERMINADA NOVA AVALIAÇÃO DO IMÓVEL OBJETO DA MATRÍCULA </w:t>
      </w:r>
      <w:r w:rsidR="00B76CFA">
        <w:rPr>
          <w:rFonts w:ascii="Times New Roman" w:hAnsi="Times New Roman" w:cs="Times New Roman"/>
        </w:rPr>
        <w:t>...</w:t>
      </w:r>
    </w:p>
    <w:p w14:paraId="5F73CAFF" w14:textId="50D2ED9E" w:rsidR="00065E36" w:rsidRPr="00B76CFA" w:rsidRDefault="00065E36" w:rsidP="00065E36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B76CFA">
        <w:rPr>
          <w:rFonts w:ascii="Times New Roman" w:hAnsi="Times New Roman" w:cs="Times New Roman"/>
          <w:b/>
          <w:bCs/>
        </w:rPr>
        <w:t>I.2-</w:t>
      </w:r>
      <w:r w:rsidR="00B76CFA" w:rsidRPr="00B76CFA">
        <w:rPr>
          <w:rFonts w:ascii="Times New Roman" w:hAnsi="Times New Roman" w:cs="Times New Roman"/>
          <w:b/>
          <w:bCs/>
        </w:rPr>
        <w:t xml:space="preserve"> </w:t>
      </w:r>
      <w:r w:rsidRPr="00B76CFA">
        <w:rPr>
          <w:rFonts w:ascii="Times New Roman" w:hAnsi="Times New Roman" w:cs="Times New Roman"/>
          <w:b/>
          <w:bCs/>
        </w:rPr>
        <w:t xml:space="preserve">VALOR DO IMÓVEL SUBAVALIADO, MUITO INFERIOR AO PREÇO DE MERCADO - </w:t>
      </w:r>
    </w:p>
    <w:p w14:paraId="783F7386" w14:textId="77777777" w:rsidR="00065E36" w:rsidRPr="00B76CFA" w:rsidRDefault="00065E36" w:rsidP="00065E36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B76CFA">
        <w:rPr>
          <w:rFonts w:ascii="Times New Roman" w:hAnsi="Times New Roman" w:cs="Times New Roman"/>
          <w:b/>
          <w:bCs/>
        </w:rPr>
        <w:t>INDISPENSABILIDADE DE NOVA AVALIAÇÃO PROFISSIONAL COM CONHECIMENTOS TÉCNICOS DIANTE DA PECULIARIDADE, EXTENSÃO E CARACTERÍSTICAS DA ÁREA RURAL -</w:t>
      </w:r>
    </w:p>
    <w:p w14:paraId="353FC22F" w14:textId="0A3E8481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O imóvel objeto da matrícula n.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/CRI de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de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ha [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], pelo preço de mercado </w:t>
      </w:r>
      <w:proofErr w:type="gramStart"/>
      <w:r w:rsidRPr="00065E36">
        <w:rPr>
          <w:rFonts w:ascii="Times New Roman" w:hAnsi="Times New Roman" w:cs="Times New Roman"/>
        </w:rPr>
        <w:t>o valor do mercado de imóveis rurais giram</w:t>
      </w:r>
      <w:proofErr w:type="gramEnd"/>
      <w:r w:rsidRPr="00065E36">
        <w:rPr>
          <w:rFonts w:ascii="Times New Roman" w:hAnsi="Times New Roman" w:cs="Times New Roman"/>
        </w:rPr>
        <w:t xml:space="preserve"> em torno de R$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a R$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o preço do hectare. Realização de Nova Avaliação Por Profissional Habilitado.</w:t>
      </w:r>
    </w:p>
    <w:p w14:paraId="01942AD3" w14:textId="1B6E0A47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A avaliação do bem penhorado constitui ato essencial no processo executivo, pois é a partir dela que se estabelece o parâmetro para eventual alienação judicial e para a preservação do equilíbrio entre o crédito exequendo e o patrimônio do executado.</w:t>
      </w:r>
    </w:p>
    <w:p w14:paraId="06AE30A5" w14:textId="678D0F38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Dispõe o art. 872, § 1º, do CPC:</w:t>
      </w:r>
    </w:p>
    <w:p w14:paraId="638CE3D2" w14:textId="77777777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“</w:t>
      </w:r>
      <w:r w:rsidRPr="00B76CFA">
        <w:rPr>
          <w:rFonts w:ascii="Times New Roman" w:hAnsi="Times New Roman" w:cs="Times New Roman"/>
          <w:i/>
          <w:iCs/>
        </w:rPr>
        <w:t>A avaliação será feita por perito nomeado pelo juiz, que poderá valer-se de assistente técnico e de outros meios necessários para apurar o valor do bem</w:t>
      </w:r>
      <w:r w:rsidRPr="00065E36">
        <w:rPr>
          <w:rFonts w:ascii="Times New Roman" w:hAnsi="Times New Roman" w:cs="Times New Roman"/>
        </w:rPr>
        <w:t>.”</w:t>
      </w:r>
    </w:p>
    <w:p w14:paraId="1D3FC281" w14:textId="298DD7D9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B76CFA">
        <w:rPr>
          <w:rFonts w:ascii="Times New Roman" w:hAnsi="Times New Roman" w:cs="Times New Roman"/>
          <w:i/>
          <w:iCs/>
        </w:rPr>
        <w:t xml:space="preserve">In </w:t>
      </w:r>
      <w:proofErr w:type="spellStart"/>
      <w:r w:rsidRPr="00B76CFA">
        <w:rPr>
          <w:rFonts w:ascii="Times New Roman" w:hAnsi="Times New Roman" w:cs="Times New Roman"/>
          <w:i/>
          <w:iCs/>
        </w:rPr>
        <w:t>casu</w:t>
      </w:r>
      <w:proofErr w:type="spellEnd"/>
      <w:r w:rsidRPr="00065E36">
        <w:rPr>
          <w:rFonts w:ascii="Times New Roman" w:hAnsi="Times New Roman" w:cs="Times New Roman"/>
        </w:rPr>
        <w:t>, em se tratando de imóvel rural, a avaliação demanda conhecimento técnico específico e habilitação profissional compatível com a natureza do bem, considerando-se aspectos como localização, área, topografia, tipo de solo, produtividade, benfeitorias, acesso e potencial de exploração econômica.</w:t>
      </w:r>
    </w:p>
    <w:p w14:paraId="7DDFD927" w14:textId="419E6704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Assim, </w:t>
      </w:r>
      <w:proofErr w:type="spellStart"/>
      <w:r w:rsidRPr="00B76CFA">
        <w:rPr>
          <w:rFonts w:ascii="Times New Roman" w:hAnsi="Times New Roman" w:cs="Times New Roman"/>
          <w:i/>
          <w:iCs/>
        </w:rPr>
        <w:t>rogata</w:t>
      </w:r>
      <w:proofErr w:type="spellEnd"/>
      <w:r w:rsidRPr="00B76CFA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76CFA">
        <w:rPr>
          <w:rFonts w:ascii="Times New Roman" w:hAnsi="Times New Roman" w:cs="Times New Roman"/>
          <w:i/>
          <w:iCs/>
        </w:rPr>
        <w:t>venia</w:t>
      </w:r>
      <w:proofErr w:type="spellEnd"/>
      <w:r w:rsidRPr="00065E36">
        <w:rPr>
          <w:rFonts w:ascii="Times New Roman" w:hAnsi="Times New Roman" w:cs="Times New Roman"/>
        </w:rPr>
        <w:t xml:space="preserve">, na espécie não se mostra idônea a avaliação do imóvel rural realizada por Oficial de Justiça, profissional cuja atuação, embora relevante para os atos de constrição e intimação, não supre a necessidade de perícia técnica exigida pela lei processual. </w:t>
      </w:r>
    </w:p>
    <w:p w14:paraId="276A163F" w14:textId="58E384EF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Há uma enorme discrepância em relação ao preço do hectare apresentado pelo Oficial de Justiça em R$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[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] com o praticado no mercado entre R$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[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] a R$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[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>].</w:t>
      </w:r>
    </w:p>
    <w:p w14:paraId="6E376238" w14:textId="40D2C555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A EMATER de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apresentou laudo de avaliação, descrevendo minuciosamente as características do imóvel penhorado, com área de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ha e considerou o valor do hectare em R$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[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], totalizando R$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 [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>]:</w:t>
      </w:r>
    </w:p>
    <w:p w14:paraId="5F2A3D60" w14:textId="786A6332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[doc.</w:t>
      </w:r>
      <w:r w:rsidR="00B76CFA">
        <w:rPr>
          <w:rFonts w:ascii="Times New Roman" w:hAnsi="Times New Roman" w:cs="Times New Roman"/>
        </w:rPr>
        <w:t xml:space="preserve"> n. ...</w:t>
      </w:r>
      <w:r w:rsidRPr="00065E36">
        <w:rPr>
          <w:rFonts w:ascii="Times New Roman" w:hAnsi="Times New Roman" w:cs="Times New Roman"/>
        </w:rPr>
        <w:t>]</w:t>
      </w:r>
    </w:p>
    <w:p w14:paraId="77697572" w14:textId="35D4A397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As pesquisas de mercado de áreas próximas apresentam ofertas trazidas pela reconhecida IMOBILIÁRIA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, que apontam o preço médio de R$ 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>[</w:t>
      </w:r>
      <w:r w:rsidR="00B76CFA">
        <w:rPr>
          <w:rFonts w:ascii="Times New Roman" w:hAnsi="Times New Roman" w:cs="Times New Roman"/>
        </w:rPr>
        <w:t>...</w:t>
      </w:r>
      <w:r w:rsidRPr="00065E36">
        <w:rPr>
          <w:rFonts w:ascii="Times New Roman" w:hAnsi="Times New Roman" w:cs="Times New Roman"/>
        </w:rPr>
        <w:t xml:space="preserve">] por hectare, muito superior ao valor estimado na certidão de avaliação judicial. </w:t>
      </w:r>
    </w:p>
    <w:p w14:paraId="6FC83C67" w14:textId="39949E70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lastRenderedPageBreak/>
        <w:t>A doutrina é firme em reconhecer que a avaliação deve ser conduzida por profissional tecnicamente capacitado, sob pena de nulidade.</w:t>
      </w:r>
    </w:p>
    <w:p w14:paraId="57798876" w14:textId="158F0C93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Mais uma vez adotando o escólio de HUMBERTO THEODORO JÚNIOR colhe-se que:</w:t>
      </w:r>
    </w:p>
    <w:p w14:paraId="28D603D7" w14:textId="371BAFBE" w:rsidR="00B76CFA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“</w:t>
      </w:r>
      <w:r w:rsidRPr="00B76CFA">
        <w:rPr>
          <w:rFonts w:ascii="Times New Roman" w:hAnsi="Times New Roman" w:cs="Times New Roman"/>
          <w:i/>
          <w:iCs/>
        </w:rPr>
        <w:t>A avaliação judicial deve ser confiada a perito nomeado pelo juiz, com capacidade técnica para examinar o bem e indicar seu justo valor, sob pena de nulidade do ato e comprometimento da execução</w:t>
      </w:r>
      <w:r w:rsidR="00C324C8">
        <w:rPr>
          <w:rStyle w:val="Refdenotaderodap"/>
          <w:rFonts w:ascii="Times New Roman" w:hAnsi="Times New Roman" w:cs="Times New Roman"/>
          <w:i/>
          <w:iCs/>
        </w:rPr>
        <w:footnoteReference w:id="3"/>
      </w:r>
      <w:r w:rsidRPr="00065E36">
        <w:rPr>
          <w:rFonts w:ascii="Times New Roman" w:hAnsi="Times New Roman" w:cs="Times New Roman"/>
        </w:rPr>
        <w:t xml:space="preserve">.” </w:t>
      </w:r>
    </w:p>
    <w:p w14:paraId="25EAA4EE" w14:textId="355E1AEF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Na mesma linha, NELSON NERY JÚNIOR e ROSA MARIA DE ANDRADE NERY comentam:</w:t>
      </w:r>
    </w:p>
    <w:p w14:paraId="35C61321" w14:textId="2E928077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“</w:t>
      </w:r>
      <w:r w:rsidRPr="00B76CFA">
        <w:rPr>
          <w:rFonts w:ascii="Times New Roman" w:hAnsi="Times New Roman" w:cs="Times New Roman"/>
          <w:i/>
          <w:iCs/>
        </w:rPr>
        <w:t>A nomeação de perito é indispensável quando a natureza do bem exigir conhecimentos técnicos especializados, o que ocorre, notadamente, em se tratando de imóveis rurais, cuja avaliação envolve aspectos agronômicos, produtivos e econômicos que extrapolam a capacidade de aferição do Oficial de Justiça</w:t>
      </w:r>
      <w:r w:rsidRPr="00065E36">
        <w:rPr>
          <w:rFonts w:ascii="Times New Roman" w:hAnsi="Times New Roman" w:cs="Times New Roman"/>
        </w:rPr>
        <w:t>.</w:t>
      </w:r>
      <w:r w:rsidR="00C324C8">
        <w:rPr>
          <w:rStyle w:val="Refdenotaderodap"/>
          <w:rFonts w:ascii="Times New Roman" w:hAnsi="Times New Roman" w:cs="Times New Roman"/>
        </w:rPr>
        <w:footnoteReference w:id="4"/>
      </w:r>
      <w:r w:rsidRPr="00065E36">
        <w:rPr>
          <w:rFonts w:ascii="Times New Roman" w:hAnsi="Times New Roman" w:cs="Times New Roman"/>
        </w:rPr>
        <w:t xml:space="preserve">” </w:t>
      </w:r>
    </w:p>
    <w:p w14:paraId="65ED3F1C" w14:textId="763C15C4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De igual modo, FREDIE DIDIER JR. observa que:</w:t>
      </w:r>
    </w:p>
    <w:p w14:paraId="599B1419" w14:textId="5DFBB81D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“</w:t>
      </w:r>
      <w:r w:rsidRPr="00B76CFA">
        <w:rPr>
          <w:rFonts w:ascii="Times New Roman" w:hAnsi="Times New Roman" w:cs="Times New Roman"/>
          <w:i/>
          <w:iCs/>
        </w:rPr>
        <w:t>A avaliação é ato técnico que deve ser realizado por perito especializado, sob pena de nulidade do ato e violação do contraditório técnico, sobretudo quando se trata de bem cuja valoração depende de conhecimento específico</w:t>
      </w:r>
      <w:r w:rsidRPr="00065E36">
        <w:rPr>
          <w:rFonts w:ascii="Times New Roman" w:hAnsi="Times New Roman" w:cs="Times New Roman"/>
        </w:rPr>
        <w:t>.</w:t>
      </w:r>
      <w:r w:rsidR="00C324C8">
        <w:rPr>
          <w:rStyle w:val="Refdenotaderodap"/>
          <w:rFonts w:ascii="Times New Roman" w:hAnsi="Times New Roman" w:cs="Times New Roman"/>
        </w:rPr>
        <w:footnoteReference w:id="5"/>
      </w:r>
      <w:r w:rsidRPr="00065E36">
        <w:rPr>
          <w:rFonts w:ascii="Times New Roman" w:hAnsi="Times New Roman" w:cs="Times New Roman"/>
        </w:rPr>
        <w:t xml:space="preserve">” </w:t>
      </w:r>
    </w:p>
    <w:p w14:paraId="24F65308" w14:textId="7A1C0353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A jurisprudência é firme no sentido de que, em se tratando de bens rurais, a avaliação deve ser conduzida por perito habilitado:</w:t>
      </w:r>
    </w:p>
    <w:p w14:paraId="311034F8" w14:textId="7AB0BEB9" w:rsidR="00065E36" w:rsidRPr="00B76CFA" w:rsidRDefault="00B76CFA" w:rsidP="00065E36">
      <w:pPr>
        <w:ind w:right="-568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“</w:t>
      </w:r>
      <w:r w:rsidR="00065E36" w:rsidRPr="00B76CFA">
        <w:rPr>
          <w:rFonts w:ascii="Times New Roman" w:hAnsi="Times New Roman" w:cs="Times New Roman"/>
          <w:i/>
          <w:iCs/>
        </w:rPr>
        <w:t>AGRAVO DE INSTRUMENTO. DIREITO PROCESSUAL CIVIL. EXECUÇÃO DE TÍTULO EXTRAJUDICIAL. IMPUGNAÇÃO À AVALIAÇÃO DE IMÓVEIS PENHORADOS. ALEGAÇÃO DE SUBAVALIAÇÃO. OFICIAL DE JUSTIÇA. AUSÊNCIA DE CRITÉRIOS OBJETIVOS NO LAUDO. FUNDADA DÚVIDA SOBRE O VALOR ATRIBUÍDO. ART. 873, I E III, CPC. NECESSIDADE DE NOVA AVALIAÇÃO. RECURSO PROVIDO.</w:t>
      </w:r>
      <w:r w:rsidRPr="00B76CFA">
        <w:rPr>
          <w:rFonts w:ascii="Times New Roman" w:hAnsi="Times New Roman" w:cs="Times New Roman"/>
          <w:i/>
          <w:iCs/>
        </w:rPr>
        <w:t xml:space="preserve"> </w:t>
      </w:r>
      <w:r w:rsidR="00065E36" w:rsidRPr="00B76CFA">
        <w:rPr>
          <w:rFonts w:ascii="Times New Roman" w:hAnsi="Times New Roman" w:cs="Times New Roman"/>
          <w:i/>
          <w:iCs/>
        </w:rPr>
        <w:t>I. Caso em exame</w:t>
      </w:r>
      <w:r w:rsidRPr="00B76CFA">
        <w:rPr>
          <w:rFonts w:ascii="Times New Roman" w:hAnsi="Times New Roman" w:cs="Times New Roman"/>
          <w:i/>
          <w:iCs/>
        </w:rPr>
        <w:t xml:space="preserve">. </w:t>
      </w:r>
      <w:r w:rsidR="00065E36" w:rsidRPr="00B76CFA">
        <w:rPr>
          <w:rFonts w:ascii="Times New Roman" w:hAnsi="Times New Roman" w:cs="Times New Roman"/>
          <w:i/>
          <w:iCs/>
        </w:rPr>
        <w:t>Trata-se de agravo de instrumento interposto contra decisão que, em execução de título extrajudicial, rejeitou impugnação à penhora e pedido de nova avaliação de imóveis, mantendo laudos elaborados por oficial de justiça. Os agravantes alegaram que os valores atribuídos estão substancialmente abaixo dos de mercado, requerendo nova avaliação judicial.</w:t>
      </w:r>
      <w:r w:rsidRPr="00B76CFA">
        <w:rPr>
          <w:rFonts w:ascii="Times New Roman" w:hAnsi="Times New Roman" w:cs="Times New Roman"/>
          <w:i/>
          <w:iCs/>
        </w:rPr>
        <w:t xml:space="preserve"> </w:t>
      </w:r>
      <w:r w:rsidR="00065E36" w:rsidRPr="00B76CFA">
        <w:rPr>
          <w:rFonts w:ascii="Times New Roman" w:hAnsi="Times New Roman" w:cs="Times New Roman"/>
          <w:i/>
          <w:iCs/>
        </w:rPr>
        <w:t>II. Questão em discussão</w:t>
      </w:r>
      <w:r w:rsidRPr="00B76CFA">
        <w:rPr>
          <w:rFonts w:ascii="Times New Roman" w:hAnsi="Times New Roman" w:cs="Times New Roman"/>
          <w:i/>
          <w:iCs/>
        </w:rPr>
        <w:t xml:space="preserve"> </w:t>
      </w:r>
      <w:r w:rsidR="00065E36" w:rsidRPr="00B76CFA">
        <w:rPr>
          <w:rFonts w:ascii="Times New Roman" w:hAnsi="Times New Roman" w:cs="Times New Roman"/>
          <w:i/>
          <w:iCs/>
        </w:rPr>
        <w:t>2. A controvérsia consiste em:</w:t>
      </w:r>
      <w:r>
        <w:rPr>
          <w:rFonts w:ascii="Times New Roman" w:hAnsi="Times New Roman" w:cs="Times New Roman"/>
          <w:i/>
          <w:iCs/>
        </w:rPr>
        <w:t xml:space="preserve"> </w:t>
      </w:r>
      <w:r w:rsidR="00065E36" w:rsidRPr="00B76CFA">
        <w:rPr>
          <w:rFonts w:ascii="Times New Roman" w:hAnsi="Times New Roman" w:cs="Times New Roman"/>
          <w:i/>
          <w:iCs/>
        </w:rPr>
        <w:t>i) verificar se a avaliação realizada por oficial de justiça observou os requisitos legais e refletiu o valor de mercado;</w:t>
      </w:r>
      <w:r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065E36" w:rsidRPr="00B76CFA">
        <w:rPr>
          <w:rFonts w:ascii="Times New Roman" w:hAnsi="Times New Roman" w:cs="Times New Roman"/>
          <w:i/>
          <w:iCs/>
        </w:rPr>
        <w:t>ii</w:t>
      </w:r>
      <w:proofErr w:type="spellEnd"/>
      <w:r w:rsidR="00065E36" w:rsidRPr="00B76CFA">
        <w:rPr>
          <w:rFonts w:ascii="Times New Roman" w:hAnsi="Times New Roman" w:cs="Times New Roman"/>
          <w:i/>
          <w:iCs/>
        </w:rPr>
        <w:t>) examinar se estão presentes as hipóteses do art. 873, I e III, do CPC, que autorizam nova avaliação de bens penhorados.</w:t>
      </w:r>
      <w:r>
        <w:rPr>
          <w:rFonts w:ascii="Times New Roman" w:hAnsi="Times New Roman" w:cs="Times New Roman"/>
          <w:i/>
          <w:iCs/>
        </w:rPr>
        <w:t xml:space="preserve"> </w:t>
      </w:r>
      <w:r w:rsidR="00065E36" w:rsidRPr="00B76CFA">
        <w:rPr>
          <w:rFonts w:ascii="Times New Roman" w:hAnsi="Times New Roman" w:cs="Times New Roman"/>
          <w:i/>
          <w:iCs/>
        </w:rPr>
        <w:t>III. Razões de decidir</w:t>
      </w:r>
      <w:r>
        <w:rPr>
          <w:rFonts w:ascii="Times New Roman" w:hAnsi="Times New Roman" w:cs="Times New Roman"/>
          <w:i/>
          <w:iCs/>
        </w:rPr>
        <w:t xml:space="preserve"> </w:t>
      </w:r>
      <w:r w:rsidR="00065E36" w:rsidRPr="00B76CFA">
        <w:rPr>
          <w:rFonts w:ascii="Times New Roman" w:hAnsi="Times New Roman" w:cs="Times New Roman"/>
          <w:i/>
          <w:iCs/>
        </w:rPr>
        <w:t>... 4. O laudo do oficial de justiça não apresentou critérios técnicos objetivos nem mencionou valores de imóveis semelhantes, em afronta ao art. 872 do CPC.</w:t>
      </w:r>
      <w:r>
        <w:rPr>
          <w:rFonts w:ascii="Times New Roman" w:hAnsi="Times New Roman" w:cs="Times New Roman"/>
          <w:i/>
          <w:iCs/>
        </w:rPr>
        <w:t xml:space="preserve"> </w:t>
      </w:r>
      <w:r w:rsidR="00065E36" w:rsidRPr="00B76CFA">
        <w:rPr>
          <w:rFonts w:ascii="Times New Roman" w:hAnsi="Times New Roman" w:cs="Times New Roman"/>
          <w:i/>
          <w:iCs/>
        </w:rPr>
        <w:t>5. A divergência de valores e a ausência de metodologia adequada configuram fundada dúvida sobre o valor dos bens, autorizando nova avaliação nos termos do art. 873, I e III, do CPC, a fim de resguardar a execução menos gravosa e evitar alienação por preço vil.</w:t>
      </w:r>
      <w:r>
        <w:rPr>
          <w:rFonts w:ascii="Times New Roman" w:hAnsi="Times New Roman" w:cs="Times New Roman"/>
          <w:i/>
          <w:iCs/>
        </w:rPr>
        <w:t xml:space="preserve"> </w:t>
      </w:r>
      <w:r w:rsidR="00065E36" w:rsidRPr="00B76CFA">
        <w:rPr>
          <w:rFonts w:ascii="Times New Roman" w:hAnsi="Times New Roman" w:cs="Times New Roman"/>
          <w:i/>
          <w:iCs/>
        </w:rPr>
        <w:t>IV. Dispositivo e tese</w:t>
      </w:r>
      <w:r>
        <w:rPr>
          <w:rFonts w:ascii="Times New Roman" w:hAnsi="Times New Roman" w:cs="Times New Roman"/>
          <w:i/>
          <w:iCs/>
        </w:rPr>
        <w:t xml:space="preserve">. </w:t>
      </w:r>
      <w:r w:rsidR="00065E36" w:rsidRPr="00B76CFA">
        <w:rPr>
          <w:rFonts w:ascii="Times New Roman" w:hAnsi="Times New Roman" w:cs="Times New Roman"/>
          <w:i/>
          <w:iCs/>
        </w:rPr>
        <w:t xml:space="preserve">6. Deram provimento ao recurso para determinar a realização de nova </w:t>
      </w:r>
      <w:r w:rsidR="00065E36" w:rsidRPr="00B76CFA">
        <w:rPr>
          <w:rFonts w:ascii="Times New Roman" w:hAnsi="Times New Roman" w:cs="Times New Roman"/>
          <w:i/>
          <w:iCs/>
        </w:rPr>
        <w:lastRenderedPageBreak/>
        <w:t>avaliação dos imóveis penhorados.</w:t>
      </w:r>
      <w:r>
        <w:rPr>
          <w:rFonts w:ascii="Times New Roman" w:hAnsi="Times New Roman" w:cs="Times New Roman"/>
          <w:i/>
          <w:iCs/>
        </w:rPr>
        <w:t xml:space="preserve"> </w:t>
      </w:r>
      <w:r w:rsidR="00065E36" w:rsidRPr="00B76CFA">
        <w:rPr>
          <w:rFonts w:ascii="Times New Roman" w:hAnsi="Times New Roman" w:cs="Times New Roman"/>
          <w:i/>
          <w:iCs/>
        </w:rPr>
        <w:t>Tese de julgamento: "1. A ausência de critérios objetivos no laudo do oficial de justiça e a divergência rele vante com valores de mercado configuram fundada dúvida sobre o valor atribuído a bens penhorados, autorizando nova avaliação nos termos do art. 873, I e III, do CPC</w:t>
      </w:r>
      <w:r w:rsidR="00065E36" w:rsidRPr="00065E3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”</w:t>
      </w:r>
      <w:r w:rsidR="00065E36" w:rsidRPr="00065E36">
        <w:rPr>
          <w:rFonts w:ascii="Times New Roman" w:hAnsi="Times New Roman" w:cs="Times New Roman"/>
        </w:rPr>
        <w:t xml:space="preserve">  [TJMG </w:t>
      </w:r>
      <w:proofErr w:type="gramStart"/>
      <w:r w:rsidR="00065E36" w:rsidRPr="00065E36">
        <w:rPr>
          <w:rFonts w:ascii="Times New Roman" w:hAnsi="Times New Roman" w:cs="Times New Roman"/>
        </w:rPr>
        <w:t>-  Agravo</w:t>
      </w:r>
      <w:proofErr w:type="gramEnd"/>
      <w:r w:rsidR="00065E36" w:rsidRPr="00065E36">
        <w:rPr>
          <w:rFonts w:ascii="Times New Roman" w:hAnsi="Times New Roman" w:cs="Times New Roman"/>
        </w:rPr>
        <w:t xml:space="preserve"> de Instrumento-</w:t>
      </w:r>
      <w:proofErr w:type="gramStart"/>
      <w:r w:rsidR="00065E36" w:rsidRPr="00065E36">
        <w:rPr>
          <w:rFonts w:ascii="Times New Roman" w:hAnsi="Times New Roman" w:cs="Times New Roman"/>
        </w:rPr>
        <w:t>Cv  1.0000.25.204645</w:t>
      </w:r>
      <w:proofErr w:type="gramEnd"/>
      <w:r w:rsidR="00065E36" w:rsidRPr="00065E36">
        <w:rPr>
          <w:rFonts w:ascii="Times New Roman" w:hAnsi="Times New Roman" w:cs="Times New Roman"/>
        </w:rPr>
        <w:t xml:space="preserve">-3/001, </w:t>
      </w:r>
      <w:proofErr w:type="spellStart"/>
      <w:r w:rsidR="00065E36" w:rsidRPr="00065E36">
        <w:rPr>
          <w:rFonts w:ascii="Times New Roman" w:hAnsi="Times New Roman" w:cs="Times New Roman"/>
        </w:rPr>
        <w:t>Rel</w:t>
      </w:r>
      <w:proofErr w:type="spellEnd"/>
      <w:r w:rsidR="00065E36" w:rsidRPr="00065E36">
        <w:rPr>
          <w:rFonts w:ascii="Times New Roman" w:hAnsi="Times New Roman" w:cs="Times New Roman"/>
        </w:rPr>
        <w:t xml:space="preserve">: Des.(a) Luís Eduardo Alves </w:t>
      </w:r>
      <w:proofErr w:type="spellStart"/>
      <w:proofErr w:type="gramStart"/>
      <w:r w:rsidR="00065E36" w:rsidRPr="00065E36">
        <w:rPr>
          <w:rFonts w:ascii="Times New Roman" w:hAnsi="Times New Roman" w:cs="Times New Roman"/>
        </w:rPr>
        <w:t>Pifano</w:t>
      </w:r>
      <w:proofErr w:type="spellEnd"/>
      <w:r w:rsidR="00065E36" w:rsidRPr="00065E36">
        <w:rPr>
          <w:rFonts w:ascii="Times New Roman" w:hAnsi="Times New Roman" w:cs="Times New Roman"/>
        </w:rPr>
        <w:t xml:space="preserve"> ,</w:t>
      </w:r>
      <w:proofErr w:type="gramEnd"/>
      <w:r w:rsidR="00065E36" w:rsidRPr="00065E36">
        <w:rPr>
          <w:rFonts w:ascii="Times New Roman" w:hAnsi="Times New Roman" w:cs="Times New Roman"/>
        </w:rPr>
        <w:t xml:space="preserve"> 18ª CÂMARA CÍVEL, </w:t>
      </w:r>
      <w:proofErr w:type="spellStart"/>
      <w:r w:rsidR="00065E36" w:rsidRPr="00065E36">
        <w:rPr>
          <w:rFonts w:ascii="Times New Roman" w:hAnsi="Times New Roman" w:cs="Times New Roman"/>
        </w:rPr>
        <w:t>Dje</w:t>
      </w:r>
      <w:proofErr w:type="spellEnd"/>
      <w:r w:rsidR="00065E36" w:rsidRPr="00065E36">
        <w:rPr>
          <w:rFonts w:ascii="Times New Roman" w:hAnsi="Times New Roman" w:cs="Times New Roman"/>
        </w:rPr>
        <w:t xml:space="preserve"> 27/08/2025]</w:t>
      </w:r>
    </w:p>
    <w:p w14:paraId="316627F0" w14:textId="6991A7BB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Firme nesses fundamentos, há de ser anulada a anterior avaliação realizada por Oficial de Justiça, em razão da ausência de qualificação técnica para a avaliação de imóvel rural, em laudo por demais tímido, e determinada a realização de nova avaliação por perito judicial habilitado em avaliações agrárias, nos termos do art. 872, § 1º do CPC.</w:t>
      </w:r>
    </w:p>
    <w:p w14:paraId="1852FEB0" w14:textId="110385BD" w:rsidR="00065E36" w:rsidRPr="00B76CFA" w:rsidRDefault="00065E36" w:rsidP="00065E36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B76CFA">
        <w:rPr>
          <w:rFonts w:ascii="Times New Roman" w:hAnsi="Times New Roman" w:cs="Times New Roman"/>
          <w:b/>
          <w:bCs/>
        </w:rPr>
        <w:t>II-</w:t>
      </w:r>
      <w:r w:rsidR="00B76CFA" w:rsidRPr="00B76CFA">
        <w:rPr>
          <w:rFonts w:ascii="Times New Roman" w:hAnsi="Times New Roman" w:cs="Times New Roman"/>
          <w:b/>
          <w:bCs/>
        </w:rPr>
        <w:t xml:space="preserve"> </w:t>
      </w:r>
      <w:r w:rsidRPr="00B76CFA">
        <w:rPr>
          <w:rFonts w:ascii="Times New Roman" w:hAnsi="Times New Roman" w:cs="Times New Roman"/>
          <w:b/>
          <w:bCs/>
        </w:rPr>
        <w:t xml:space="preserve">A INTIMAÇÃO DA PENHORA É PESSOAL DO EXECUTADO </w:t>
      </w:r>
    </w:p>
    <w:p w14:paraId="28EF253B" w14:textId="0C9F8626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É entendimento consolidado do SUPERIOR TRIBUNAL DE JUSTIÇA que a intimação da penhora [e, consequentemente, do início do prazo para embargos] na execução fiscal deve ser pessoal para o executado. </w:t>
      </w:r>
    </w:p>
    <w:p w14:paraId="724BE309" w14:textId="42B74A05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A intimação feita apenas na pessoa do advogado constituído nos autos não é considerada válida para este fim na esfera da Lei de Execuções Fiscais para os fins do art. 16, III, da Lei nº 6.830/80/LEF que estabelece o prazo de 30 dias para a oposição de embargos à execução fiscal, impondo-se que seja realizada exclusivamente na pessoa do executado, conforme remansosa jurisprudência do colendo SUPERIOR TRIBUNAL DE JUSTIÇA:</w:t>
      </w:r>
    </w:p>
    <w:p w14:paraId="4D53003C" w14:textId="33AE163C" w:rsidR="00065E36" w:rsidRPr="00065E36" w:rsidRDefault="00B76CFA" w:rsidP="00065E36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065E36" w:rsidRPr="00B76CFA">
        <w:rPr>
          <w:rFonts w:ascii="Times New Roman" w:hAnsi="Times New Roman" w:cs="Times New Roman"/>
          <w:i/>
          <w:iCs/>
        </w:rPr>
        <w:t xml:space="preserve">EMBARGOS À EXECUÇÃO FISCAL. EXTINÇÃO. INTEMPESTIVIDADE. INTIMAÇÃO DA PENHORA MEDIANTE PUBLICAÇÃO. ADVOGADO CONSTITUÍDO NOS AUTOS. INVIABILIDADE. NECESSIDADE DE INTIMAÇÃO PESSOAL. </w:t>
      </w:r>
      <w:r w:rsidRPr="00B76CFA">
        <w:rPr>
          <w:rFonts w:ascii="Times New Roman" w:hAnsi="Times New Roman" w:cs="Times New Roman"/>
          <w:i/>
          <w:iCs/>
        </w:rPr>
        <w:t xml:space="preserve"> </w:t>
      </w:r>
      <w:r w:rsidR="00065E36" w:rsidRPr="00B76CFA">
        <w:rPr>
          <w:rFonts w:ascii="Times New Roman" w:hAnsi="Times New Roman" w:cs="Times New Roman"/>
          <w:i/>
          <w:iCs/>
        </w:rPr>
        <w:t xml:space="preserve">I - Na origem, o Juízo de primeira instância extinguiu os embargos à execução fiscal, em razão da </w:t>
      </w:r>
      <w:proofErr w:type="gramStart"/>
      <w:r w:rsidR="00065E36" w:rsidRPr="00B76CFA">
        <w:rPr>
          <w:rFonts w:ascii="Times New Roman" w:hAnsi="Times New Roman" w:cs="Times New Roman"/>
          <w:i/>
          <w:iCs/>
        </w:rPr>
        <w:t>intempestividade .</w:t>
      </w:r>
      <w:proofErr w:type="gramEnd"/>
      <w:r w:rsidR="00065E36" w:rsidRPr="00B76CFA">
        <w:rPr>
          <w:rFonts w:ascii="Times New Roman" w:hAnsi="Times New Roman" w:cs="Times New Roman"/>
          <w:i/>
          <w:iCs/>
        </w:rPr>
        <w:t xml:space="preserve"> O Tribunal de origem manteve a sentença, sob o fundamento de que a exigência de intimação pessoal do executado - para fins do termo inicial do prazo para a oposição dos embargos à execução fiscal - é dispensada, quando o executado possuir advogado constituído nos autos. </w:t>
      </w:r>
      <w:r w:rsidRPr="00B76CFA">
        <w:rPr>
          <w:rFonts w:ascii="Times New Roman" w:hAnsi="Times New Roman" w:cs="Times New Roman"/>
          <w:i/>
          <w:iCs/>
        </w:rPr>
        <w:t xml:space="preserve"> </w:t>
      </w:r>
      <w:r w:rsidR="00065E36" w:rsidRPr="00B76CFA">
        <w:rPr>
          <w:rFonts w:ascii="Times New Roman" w:hAnsi="Times New Roman" w:cs="Times New Roman"/>
          <w:i/>
          <w:iCs/>
        </w:rPr>
        <w:t xml:space="preserve">II - O Superior Tribunal de Justiça pacificou o entendimento de que, em execução fiscal, para que seja o devedor efetivamente intimado da penhora, é necessária </w:t>
      </w:r>
      <w:proofErr w:type="gramStart"/>
      <w:r w:rsidR="00065E36" w:rsidRPr="00B76CFA">
        <w:rPr>
          <w:rFonts w:ascii="Times New Roman" w:hAnsi="Times New Roman" w:cs="Times New Roman"/>
          <w:i/>
          <w:iCs/>
        </w:rPr>
        <w:t>a</w:t>
      </w:r>
      <w:proofErr w:type="gramEnd"/>
      <w:r w:rsidR="00065E36" w:rsidRPr="00B76CFA">
        <w:rPr>
          <w:rFonts w:ascii="Times New Roman" w:hAnsi="Times New Roman" w:cs="Times New Roman"/>
          <w:i/>
          <w:iCs/>
        </w:rPr>
        <w:t xml:space="preserve"> sua intimação pessoal. A ciência acerca da penhora realizada, mesmo quando constituído advogado nos autos, não se confunde com o ato formal de intimação pessoal dessa constrição patrimonial. O fundamento desse entendimento é não obstaculizar indevidamente o exercício do direito de defesa pelo executado, que, via de regra, já garantiu a execução. Precedentes citados: </w:t>
      </w:r>
      <w:proofErr w:type="spellStart"/>
      <w:r w:rsidR="00065E36" w:rsidRPr="00B76CFA">
        <w:rPr>
          <w:rFonts w:ascii="Times New Roman" w:hAnsi="Times New Roman" w:cs="Times New Roman"/>
          <w:i/>
          <w:iCs/>
        </w:rPr>
        <w:t>AgRg</w:t>
      </w:r>
      <w:proofErr w:type="spellEnd"/>
      <w:r w:rsidR="00065E36" w:rsidRPr="00B76CFA">
        <w:rPr>
          <w:rFonts w:ascii="Times New Roman" w:hAnsi="Times New Roman" w:cs="Times New Roman"/>
          <w:i/>
          <w:iCs/>
        </w:rPr>
        <w:t xml:space="preserve"> no REsp 1085967/RJ, Rel. Ministro Humberto Martins, Segunda Turma, </w:t>
      </w:r>
      <w:proofErr w:type="spellStart"/>
      <w:r w:rsidR="00065E36" w:rsidRPr="00B76CFA">
        <w:rPr>
          <w:rFonts w:ascii="Times New Roman" w:hAnsi="Times New Roman" w:cs="Times New Roman"/>
          <w:i/>
          <w:iCs/>
        </w:rPr>
        <w:t>DJe</w:t>
      </w:r>
      <w:proofErr w:type="spellEnd"/>
      <w:r w:rsidR="00065E36" w:rsidRPr="00B76CFA">
        <w:rPr>
          <w:rFonts w:ascii="Times New Roman" w:hAnsi="Times New Roman" w:cs="Times New Roman"/>
          <w:i/>
          <w:iCs/>
        </w:rPr>
        <w:t xml:space="preserve"> 23/4/2009; RMS 32.925/SP, Rel. </w:t>
      </w:r>
      <w:proofErr w:type="gramStart"/>
      <w:r w:rsidR="00065E36" w:rsidRPr="00B76CFA">
        <w:rPr>
          <w:rFonts w:ascii="Times New Roman" w:hAnsi="Times New Roman" w:cs="Times New Roman"/>
          <w:i/>
          <w:iCs/>
        </w:rPr>
        <w:t>Min .</w:t>
      </w:r>
      <w:proofErr w:type="gramEnd"/>
      <w:r w:rsidR="00065E36" w:rsidRPr="00B76CFA">
        <w:rPr>
          <w:rFonts w:ascii="Times New Roman" w:hAnsi="Times New Roman" w:cs="Times New Roman"/>
          <w:i/>
          <w:iCs/>
        </w:rPr>
        <w:t xml:space="preserve"> Arnaldo Esteves Lima, </w:t>
      </w:r>
      <w:proofErr w:type="spellStart"/>
      <w:r w:rsidR="00065E36" w:rsidRPr="00B76CFA">
        <w:rPr>
          <w:rFonts w:ascii="Times New Roman" w:hAnsi="Times New Roman" w:cs="Times New Roman"/>
          <w:i/>
          <w:iCs/>
        </w:rPr>
        <w:t>DJe</w:t>
      </w:r>
      <w:proofErr w:type="spellEnd"/>
      <w:r w:rsidR="00065E36" w:rsidRPr="00B76CFA">
        <w:rPr>
          <w:rFonts w:ascii="Times New Roman" w:hAnsi="Times New Roman" w:cs="Times New Roman"/>
          <w:i/>
          <w:iCs/>
        </w:rPr>
        <w:t xml:space="preserve"> 19/9/2011; e </w:t>
      </w:r>
      <w:proofErr w:type="spellStart"/>
      <w:r w:rsidR="00065E36" w:rsidRPr="00B76CFA">
        <w:rPr>
          <w:rFonts w:ascii="Times New Roman" w:hAnsi="Times New Roman" w:cs="Times New Roman"/>
          <w:i/>
          <w:iCs/>
        </w:rPr>
        <w:t>AgRg</w:t>
      </w:r>
      <w:proofErr w:type="spellEnd"/>
      <w:r w:rsidR="00065E36" w:rsidRPr="00B76CFA">
        <w:rPr>
          <w:rFonts w:ascii="Times New Roman" w:hAnsi="Times New Roman" w:cs="Times New Roman"/>
          <w:i/>
          <w:iCs/>
        </w:rPr>
        <w:t xml:space="preserve"> no REsp 1201056/RJ, Rel. Ministro Humberto Martins, Rel. p/ Acórdão Ministro Mauro Campbell Marques, Segunda Turma, </w:t>
      </w:r>
      <w:proofErr w:type="spellStart"/>
      <w:r w:rsidR="00065E36" w:rsidRPr="00B76CFA">
        <w:rPr>
          <w:rFonts w:ascii="Times New Roman" w:hAnsi="Times New Roman" w:cs="Times New Roman"/>
          <w:i/>
          <w:iCs/>
        </w:rPr>
        <w:t>DJe</w:t>
      </w:r>
      <w:proofErr w:type="spellEnd"/>
      <w:r w:rsidR="00065E36" w:rsidRPr="00B76CFA">
        <w:rPr>
          <w:rFonts w:ascii="Times New Roman" w:hAnsi="Times New Roman" w:cs="Times New Roman"/>
          <w:i/>
          <w:iCs/>
        </w:rPr>
        <w:t xml:space="preserve"> 23/9/2011. </w:t>
      </w:r>
      <w:r w:rsidRPr="00B76CFA">
        <w:rPr>
          <w:rFonts w:ascii="Times New Roman" w:hAnsi="Times New Roman" w:cs="Times New Roman"/>
          <w:i/>
          <w:iCs/>
        </w:rPr>
        <w:t xml:space="preserve"> </w:t>
      </w:r>
      <w:r w:rsidR="00065E36" w:rsidRPr="00B76CFA">
        <w:rPr>
          <w:rFonts w:ascii="Times New Roman" w:hAnsi="Times New Roman" w:cs="Times New Roman"/>
          <w:i/>
          <w:iCs/>
        </w:rPr>
        <w:t>III - Recurso especial provido, para determinar que a parte recorrente seja intimada pessoalmente da penhora, oportunizando-se a oposição dos embargos à execução fiscal</w:t>
      </w:r>
      <w:r>
        <w:rPr>
          <w:rFonts w:ascii="Times New Roman" w:hAnsi="Times New Roman" w:cs="Times New Roman"/>
        </w:rPr>
        <w:t xml:space="preserve">.” </w:t>
      </w:r>
      <w:r w:rsidR="00065E36" w:rsidRPr="00065E36">
        <w:rPr>
          <w:rFonts w:ascii="Times New Roman" w:hAnsi="Times New Roman" w:cs="Times New Roman"/>
        </w:rPr>
        <w:t xml:space="preserve">[STJ, REsp 1936507/ES 2021/0134075-0, Relator Ministro FRANCISCO FALCÃO, SEGUNDA TURMA, </w:t>
      </w:r>
      <w:proofErr w:type="spellStart"/>
      <w:r w:rsidR="00065E36" w:rsidRPr="00065E36">
        <w:rPr>
          <w:rFonts w:ascii="Times New Roman" w:hAnsi="Times New Roman" w:cs="Times New Roman"/>
        </w:rPr>
        <w:t>DJe</w:t>
      </w:r>
      <w:proofErr w:type="spellEnd"/>
      <w:r w:rsidR="00065E36" w:rsidRPr="00065E36">
        <w:rPr>
          <w:rFonts w:ascii="Times New Roman" w:hAnsi="Times New Roman" w:cs="Times New Roman"/>
        </w:rPr>
        <w:t xml:space="preserve"> 10/02/2022].</w:t>
      </w:r>
    </w:p>
    <w:p w14:paraId="043CE5E0" w14:textId="77777777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Na esteira, </w:t>
      </w:r>
      <w:r w:rsidRPr="00B76CFA">
        <w:rPr>
          <w:rFonts w:ascii="Times New Roman" w:hAnsi="Times New Roman" w:cs="Times New Roman"/>
          <w:i/>
          <w:iCs/>
        </w:rPr>
        <w:t>verbi gratia</w:t>
      </w:r>
      <w:r w:rsidRPr="00065E36">
        <w:rPr>
          <w:rFonts w:ascii="Times New Roman" w:hAnsi="Times New Roman" w:cs="Times New Roman"/>
        </w:rPr>
        <w:t xml:space="preserve">: STJ, </w:t>
      </w:r>
      <w:proofErr w:type="spellStart"/>
      <w:r w:rsidRPr="00065E36">
        <w:rPr>
          <w:rFonts w:ascii="Times New Roman" w:hAnsi="Times New Roman" w:cs="Times New Roman"/>
        </w:rPr>
        <w:t>AgInt</w:t>
      </w:r>
      <w:proofErr w:type="spellEnd"/>
      <w:r w:rsidRPr="00065E36">
        <w:rPr>
          <w:rFonts w:ascii="Times New Roman" w:hAnsi="Times New Roman" w:cs="Times New Roman"/>
        </w:rPr>
        <w:t xml:space="preserve"> no REsp: 2072899 RS 2023/0161831-0, Relator Ministra ASSUSETE MAGALHÃES, SEGUNDA TURMA, </w:t>
      </w:r>
      <w:proofErr w:type="spellStart"/>
      <w:r w:rsidRPr="00065E36">
        <w:rPr>
          <w:rFonts w:ascii="Times New Roman" w:hAnsi="Times New Roman" w:cs="Times New Roman"/>
        </w:rPr>
        <w:t>DJe</w:t>
      </w:r>
      <w:proofErr w:type="spellEnd"/>
      <w:r w:rsidRPr="00065E36">
        <w:rPr>
          <w:rFonts w:ascii="Times New Roman" w:hAnsi="Times New Roman" w:cs="Times New Roman"/>
        </w:rPr>
        <w:t xml:space="preserve"> 06/11/2023; TRF-1, AC: </w:t>
      </w:r>
      <w:r w:rsidRPr="00065E36">
        <w:rPr>
          <w:rFonts w:ascii="Times New Roman" w:hAnsi="Times New Roman" w:cs="Times New Roman"/>
        </w:rPr>
        <w:lastRenderedPageBreak/>
        <w:t xml:space="preserve">00373598120114019199, Relator DESEMBARGADOR FEDERAL MARCOS AUGUSTO DE SOUSA, OITAVA TURMA, </w:t>
      </w:r>
      <w:proofErr w:type="spellStart"/>
      <w:r w:rsidRPr="00065E36">
        <w:rPr>
          <w:rFonts w:ascii="Times New Roman" w:hAnsi="Times New Roman" w:cs="Times New Roman"/>
        </w:rPr>
        <w:t>DJe</w:t>
      </w:r>
      <w:proofErr w:type="spellEnd"/>
      <w:r w:rsidRPr="00065E36">
        <w:rPr>
          <w:rFonts w:ascii="Times New Roman" w:hAnsi="Times New Roman" w:cs="Times New Roman"/>
        </w:rPr>
        <w:t xml:space="preserve"> 06/07/2018, dentre outros.</w:t>
      </w:r>
    </w:p>
    <w:p w14:paraId="7EACCA14" w14:textId="3897C24E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 xml:space="preserve">Portanto, para que o prazo para embargos comece a fluir validamente, é imprescindível a intimação pessoal do executado a respeito da penhora realizada. A intimação apenas via Diário da Justiça, na pessoa do advogado, não supre essa exigência. </w:t>
      </w:r>
    </w:p>
    <w:p w14:paraId="22342293" w14:textId="4E6AE910" w:rsidR="00065E36" w:rsidRPr="00B76CFA" w:rsidRDefault="00065E36" w:rsidP="00065E36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B76CFA">
        <w:rPr>
          <w:rFonts w:ascii="Times New Roman" w:hAnsi="Times New Roman" w:cs="Times New Roman"/>
          <w:b/>
          <w:bCs/>
        </w:rPr>
        <w:t>III-</w:t>
      </w:r>
      <w:r w:rsidR="00B76CFA" w:rsidRPr="00B76CFA">
        <w:rPr>
          <w:rFonts w:ascii="Times New Roman" w:hAnsi="Times New Roman" w:cs="Times New Roman"/>
          <w:b/>
          <w:bCs/>
        </w:rPr>
        <w:t xml:space="preserve"> </w:t>
      </w:r>
      <w:r w:rsidRPr="00B76CFA">
        <w:rPr>
          <w:rFonts w:ascii="Times New Roman" w:hAnsi="Times New Roman" w:cs="Times New Roman"/>
          <w:b/>
          <w:bCs/>
        </w:rPr>
        <w:t>PEDIDOS</w:t>
      </w:r>
    </w:p>
    <w:p w14:paraId="570BAF68" w14:textId="767BEB78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B76CFA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B76CFA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065E36">
        <w:rPr>
          <w:rFonts w:ascii="Times New Roman" w:hAnsi="Times New Roman" w:cs="Times New Roman"/>
        </w:rPr>
        <w:t>, o executado requer:</w:t>
      </w:r>
    </w:p>
    <w:p w14:paraId="36B41B0A" w14:textId="21C4097C" w:rsidR="00065E36" w:rsidRPr="00B76CFA" w:rsidRDefault="00B76CFA" w:rsidP="00B76CFA">
      <w:pPr>
        <w:ind w:right="-568"/>
        <w:jc w:val="both"/>
        <w:rPr>
          <w:rFonts w:ascii="Times New Roman" w:hAnsi="Times New Roman" w:cs="Times New Roman"/>
        </w:rPr>
      </w:pPr>
      <w:r w:rsidRPr="00B76CFA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r w:rsidR="00065E36" w:rsidRPr="00B76CFA">
        <w:rPr>
          <w:rFonts w:ascii="Times New Roman" w:hAnsi="Times New Roman" w:cs="Times New Roman"/>
        </w:rPr>
        <w:t xml:space="preserve">SEJA ACOLHIDA INTEGRALMENTE A PRESENTE IMPUGNAÇÃO À AVALIAÇÃO, DECLARANDO A ANULAÇÃO DA AVALIAÇÃO DO OFICIAL DE JUSTIÇA TRAZIDA NO EVENTO </w:t>
      </w:r>
      <w:r>
        <w:rPr>
          <w:rFonts w:ascii="Times New Roman" w:hAnsi="Times New Roman" w:cs="Times New Roman"/>
        </w:rPr>
        <w:t>...</w:t>
      </w:r>
      <w:r w:rsidR="00065E36" w:rsidRPr="00B76CFA">
        <w:rPr>
          <w:rFonts w:ascii="Times New Roman" w:hAnsi="Times New Roman" w:cs="Times New Roman"/>
        </w:rPr>
        <w:t>;</w:t>
      </w:r>
    </w:p>
    <w:p w14:paraId="5C86060D" w14:textId="5F57BB90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concomitantemente, SEJA DETERMINADA A REALIZAÇÃO DE NOVA AVALIAÇÃO, POR PERITO HABILITADO EM AVALIAÇÕES AGRÁRIAS [CPC, art. 872, § 1º], oportunizando às partes n</w:t>
      </w:r>
      <w:r w:rsidR="00B76CFA">
        <w:rPr>
          <w:rFonts w:ascii="Times New Roman" w:hAnsi="Times New Roman" w:cs="Times New Roman"/>
        </w:rPr>
        <w:t>o</w:t>
      </w:r>
      <w:r w:rsidRPr="00065E36">
        <w:rPr>
          <w:rFonts w:ascii="Times New Roman" w:hAnsi="Times New Roman" w:cs="Times New Roman"/>
        </w:rPr>
        <w:t xml:space="preserve"> prazo legal a apresentação de quesitos e indicação de assistentes técnicos [CPC, art. 465, § 1º], deliberando expressamente que a nova avaliação observe critérios técnicos próprias da perícia agrária, garantindo-se a correta valoração do bem e a efetividade da execução;</w:t>
      </w:r>
    </w:p>
    <w:p w14:paraId="359DFF07" w14:textId="43C37AC0" w:rsidR="00065E36" w:rsidRPr="00065E36" w:rsidRDefault="00065E36" w:rsidP="00065E36">
      <w:pPr>
        <w:ind w:right="-568"/>
        <w:jc w:val="both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b)</w:t>
      </w:r>
      <w:r w:rsidR="00B76CFA">
        <w:rPr>
          <w:rFonts w:ascii="Times New Roman" w:hAnsi="Times New Roman" w:cs="Times New Roman"/>
        </w:rPr>
        <w:t xml:space="preserve"> </w:t>
      </w:r>
      <w:r w:rsidRPr="00065E36">
        <w:rPr>
          <w:rFonts w:ascii="Times New Roman" w:hAnsi="Times New Roman" w:cs="Times New Roman"/>
        </w:rPr>
        <w:t>SEJA INDEFERIDO O PEDIDO DE INTIMAÇÃO DA PENHORA NA PESSOA DO ADVOGADO DO EXECUTADO, ORDENANDO QUE ESSE ATO SEJA REALIZADO PESSOALMENTE.</w:t>
      </w:r>
    </w:p>
    <w:p w14:paraId="094D6CD7" w14:textId="67E40DCE" w:rsidR="00065E36" w:rsidRPr="00065E36" w:rsidRDefault="00065E36" w:rsidP="00B76CFA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065E36">
        <w:rPr>
          <w:rFonts w:ascii="Times New Roman" w:hAnsi="Times New Roman" w:cs="Times New Roman"/>
        </w:rPr>
        <w:t>P</w:t>
      </w:r>
      <w:r w:rsidR="00B76CFA">
        <w:rPr>
          <w:rFonts w:ascii="Times New Roman" w:hAnsi="Times New Roman" w:cs="Times New Roman"/>
        </w:rPr>
        <w:t xml:space="preserve">ede </w:t>
      </w:r>
      <w:r w:rsidRPr="00065E36">
        <w:rPr>
          <w:rFonts w:ascii="Times New Roman" w:hAnsi="Times New Roman" w:cs="Times New Roman"/>
        </w:rPr>
        <w:t>Deferimento.</w:t>
      </w:r>
    </w:p>
    <w:p w14:paraId="17B3F50F" w14:textId="0C4390DF" w:rsidR="00065E36" w:rsidRDefault="00B76CFA" w:rsidP="00B76CFA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4634D420" w14:textId="6C25A62A" w:rsidR="00B76CFA" w:rsidRPr="00065E36" w:rsidRDefault="00B76CFA" w:rsidP="00B76CFA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B76CFA" w:rsidRPr="00065E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1B551" w14:textId="77777777" w:rsidR="00CD7ADB" w:rsidRDefault="00CD7ADB" w:rsidP="00065E36">
      <w:pPr>
        <w:spacing w:after="0" w:line="240" w:lineRule="auto"/>
      </w:pPr>
      <w:r>
        <w:separator/>
      </w:r>
    </w:p>
  </w:endnote>
  <w:endnote w:type="continuationSeparator" w:id="0">
    <w:p w14:paraId="3EC19B76" w14:textId="77777777" w:rsidR="00CD7ADB" w:rsidRDefault="00CD7ADB" w:rsidP="00065E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E5501" w14:textId="77777777" w:rsidR="00CD7ADB" w:rsidRDefault="00CD7ADB" w:rsidP="00065E36">
      <w:pPr>
        <w:spacing w:after="0" w:line="240" w:lineRule="auto"/>
      </w:pPr>
      <w:r>
        <w:separator/>
      </w:r>
    </w:p>
  </w:footnote>
  <w:footnote w:type="continuationSeparator" w:id="0">
    <w:p w14:paraId="1945AA91" w14:textId="77777777" w:rsidR="00CD7ADB" w:rsidRDefault="00CD7ADB" w:rsidP="00065E36">
      <w:pPr>
        <w:spacing w:after="0" w:line="240" w:lineRule="auto"/>
      </w:pPr>
      <w:r>
        <w:continuationSeparator/>
      </w:r>
    </w:p>
  </w:footnote>
  <w:footnote w:id="1">
    <w:p w14:paraId="632CA252" w14:textId="2ECDD259" w:rsidR="00B76CFA" w:rsidRPr="00C324C8" w:rsidRDefault="00B76CFA" w:rsidP="00C324C8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324C8">
        <w:rPr>
          <w:rStyle w:val="Refdenotaderodap"/>
          <w:rFonts w:ascii="Times New Roman" w:hAnsi="Times New Roman" w:cs="Times New Roman"/>
        </w:rPr>
        <w:footnoteRef/>
      </w:r>
      <w:r w:rsidRPr="00C324C8">
        <w:rPr>
          <w:rFonts w:ascii="Times New Roman" w:hAnsi="Times New Roman" w:cs="Times New Roman"/>
        </w:rPr>
        <w:t xml:space="preserve"> </w:t>
      </w:r>
      <w:r w:rsidRPr="00C324C8">
        <w:rPr>
          <w:rFonts w:ascii="Times New Roman" w:hAnsi="Times New Roman" w:cs="Times New Roman"/>
        </w:rPr>
        <w:t>DINIZ, Maria Helena. Sistema de Registro de Imóveis. São Paulo: Saraiva, 2020.</w:t>
      </w:r>
    </w:p>
  </w:footnote>
  <w:footnote w:id="2">
    <w:p w14:paraId="16995057" w14:textId="682E0353" w:rsidR="00C324C8" w:rsidRPr="00C324C8" w:rsidRDefault="00C324C8" w:rsidP="00C324C8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324C8">
        <w:rPr>
          <w:rStyle w:val="Refdenotaderodap"/>
          <w:rFonts w:ascii="Times New Roman" w:hAnsi="Times New Roman" w:cs="Times New Roman"/>
        </w:rPr>
        <w:footnoteRef/>
      </w:r>
      <w:r w:rsidRPr="00C324C8">
        <w:rPr>
          <w:rFonts w:ascii="Times New Roman" w:hAnsi="Times New Roman" w:cs="Times New Roman"/>
        </w:rPr>
        <w:t xml:space="preserve"> </w:t>
      </w:r>
      <w:r w:rsidRPr="00C324C8">
        <w:rPr>
          <w:rFonts w:ascii="Times New Roman" w:hAnsi="Times New Roman" w:cs="Times New Roman"/>
        </w:rPr>
        <w:t>THEODORO JÚNIOR, Humberto. Curso de Direito Processual Civil. 64ª ed. Rio de Janeiro: Forense, 2023, v. II, p. 732.</w:t>
      </w:r>
    </w:p>
  </w:footnote>
  <w:footnote w:id="3">
    <w:p w14:paraId="3C31CBCA" w14:textId="7E3D31DD" w:rsidR="00C324C8" w:rsidRPr="00C324C8" w:rsidRDefault="00C324C8" w:rsidP="00C324C8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324C8">
        <w:rPr>
          <w:rStyle w:val="Refdenotaderodap"/>
          <w:rFonts w:ascii="Times New Roman" w:hAnsi="Times New Roman" w:cs="Times New Roman"/>
        </w:rPr>
        <w:footnoteRef/>
      </w:r>
      <w:r w:rsidRPr="00C324C8">
        <w:rPr>
          <w:rFonts w:ascii="Times New Roman" w:hAnsi="Times New Roman" w:cs="Times New Roman"/>
        </w:rPr>
        <w:t xml:space="preserve"> </w:t>
      </w:r>
      <w:r w:rsidRPr="00C324C8">
        <w:rPr>
          <w:rFonts w:ascii="Times New Roman" w:hAnsi="Times New Roman" w:cs="Times New Roman"/>
        </w:rPr>
        <w:t>Curso de Direito Processual Civil, v. II, 68ª ed., Rio de Janeiro: Forense, 2025, p. 427.</w:t>
      </w:r>
    </w:p>
  </w:footnote>
  <w:footnote w:id="4">
    <w:p w14:paraId="45571ECF" w14:textId="69AA8D1A" w:rsidR="00C324C8" w:rsidRPr="00C324C8" w:rsidRDefault="00C324C8" w:rsidP="00C324C8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324C8">
        <w:rPr>
          <w:rStyle w:val="Refdenotaderodap"/>
          <w:rFonts w:ascii="Times New Roman" w:hAnsi="Times New Roman" w:cs="Times New Roman"/>
        </w:rPr>
        <w:footnoteRef/>
      </w:r>
      <w:r w:rsidRPr="00C324C8">
        <w:rPr>
          <w:rFonts w:ascii="Times New Roman" w:hAnsi="Times New Roman" w:cs="Times New Roman"/>
        </w:rPr>
        <w:t xml:space="preserve"> </w:t>
      </w:r>
      <w:r w:rsidRPr="00C324C8">
        <w:rPr>
          <w:rFonts w:ascii="Times New Roman" w:hAnsi="Times New Roman" w:cs="Times New Roman"/>
        </w:rPr>
        <w:t>Código de Processo Civil Comentado, 18ª ed., São Paulo: RT, 2024, p. 2039.</w:t>
      </w:r>
    </w:p>
  </w:footnote>
  <w:footnote w:id="5">
    <w:p w14:paraId="1CD31DDC" w14:textId="217ADA1F" w:rsidR="00C324C8" w:rsidRPr="00C324C8" w:rsidRDefault="00C324C8" w:rsidP="00C324C8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324C8">
        <w:rPr>
          <w:rStyle w:val="Refdenotaderodap"/>
          <w:rFonts w:ascii="Times New Roman" w:hAnsi="Times New Roman" w:cs="Times New Roman"/>
        </w:rPr>
        <w:footnoteRef/>
      </w:r>
      <w:r w:rsidRPr="00C324C8">
        <w:rPr>
          <w:rFonts w:ascii="Times New Roman" w:hAnsi="Times New Roman" w:cs="Times New Roman"/>
        </w:rPr>
        <w:t xml:space="preserve"> </w:t>
      </w:r>
      <w:r w:rsidRPr="00C324C8">
        <w:rPr>
          <w:rFonts w:ascii="Times New Roman" w:hAnsi="Times New Roman" w:cs="Times New Roman"/>
        </w:rPr>
        <w:t xml:space="preserve">Curso de Direito Processual Civil, v. 5, 19ª ed., Salvador: </w:t>
      </w:r>
      <w:proofErr w:type="spellStart"/>
      <w:r w:rsidRPr="00C324C8">
        <w:rPr>
          <w:rFonts w:ascii="Times New Roman" w:hAnsi="Times New Roman" w:cs="Times New Roman"/>
        </w:rPr>
        <w:t>JusPodivm</w:t>
      </w:r>
      <w:proofErr w:type="spellEnd"/>
      <w:r w:rsidRPr="00C324C8">
        <w:rPr>
          <w:rFonts w:ascii="Times New Roman" w:hAnsi="Times New Roman" w:cs="Times New Roman"/>
        </w:rPr>
        <w:t>, 2023, p. 347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85721"/>
    <w:multiLevelType w:val="hybridMultilevel"/>
    <w:tmpl w:val="82DE025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77BCA"/>
    <w:multiLevelType w:val="hybridMultilevel"/>
    <w:tmpl w:val="23B4FB78"/>
    <w:lvl w:ilvl="0" w:tplc="1F96FE4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4995177">
    <w:abstractNumId w:val="1"/>
  </w:num>
  <w:num w:numId="2" w16cid:durableId="994262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E36"/>
    <w:rsid w:val="00065E36"/>
    <w:rsid w:val="00B76CFA"/>
    <w:rsid w:val="00C324C8"/>
    <w:rsid w:val="00CD7ADB"/>
    <w:rsid w:val="00FB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0B42C"/>
  <w15:chartTrackingRefBased/>
  <w15:docId w15:val="{B60EA977-DA6D-4B2C-A9BE-A70AA858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65E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65E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65E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65E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65E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65E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65E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65E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65E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65E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65E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65E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65E3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65E3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65E3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65E3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65E3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65E3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65E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65E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65E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65E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65E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65E3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65E3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65E3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65E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65E3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65E36"/>
    <w:rPr>
      <w:b/>
      <w:bCs/>
      <w:smallCaps/>
      <w:color w:val="2F5496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B76CF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B76CF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76CF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2D57C5-B96E-47E9-8302-C63FF6F47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2337</Words>
  <Characters>12620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2025-11-10T17:38:00Z</dcterms:created>
  <dcterms:modified xsi:type="dcterms:W3CDTF">2025-11-10T18:05:00Z</dcterms:modified>
</cp:coreProperties>
</file>