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C1EA5" w14:textId="77777777" w:rsidR="006D73EF" w:rsidRPr="006D73EF" w:rsidRDefault="006D73EF" w:rsidP="006D73EF">
      <w:pPr>
        <w:spacing w:after="0" w:line="240" w:lineRule="auto"/>
        <w:ind w:right="-568"/>
        <w:jc w:val="center"/>
        <w:rPr>
          <w:rFonts w:ascii="Arial Black" w:hAnsi="Arial Black" w:cs="Times New Roman"/>
        </w:rPr>
      </w:pPr>
      <w:r w:rsidRPr="006D73EF">
        <w:rPr>
          <w:rFonts w:ascii="Arial Black" w:hAnsi="Arial Black" w:cs="Times New Roman"/>
        </w:rPr>
        <w:t>MODELO DE PETIÇÃO</w:t>
      </w:r>
    </w:p>
    <w:p w14:paraId="7C309893" w14:textId="77777777" w:rsidR="006D73EF" w:rsidRPr="006D73EF" w:rsidRDefault="006D73EF" w:rsidP="006D73EF">
      <w:pPr>
        <w:spacing w:after="0" w:line="240" w:lineRule="auto"/>
        <w:ind w:right="-568"/>
        <w:jc w:val="center"/>
        <w:rPr>
          <w:rFonts w:ascii="Arial Black" w:hAnsi="Arial Black" w:cs="Times New Roman"/>
        </w:rPr>
      </w:pPr>
      <w:r w:rsidRPr="006D73EF">
        <w:rPr>
          <w:rFonts w:ascii="Arial Black" w:hAnsi="Arial Black" w:cs="Times New Roman"/>
        </w:rPr>
        <w:t>FALÊNCIA. RELATÓRIO FINAL.</w:t>
      </w:r>
    </w:p>
    <w:p w14:paraId="6F5A2A53" w14:textId="77777777" w:rsidR="006D73EF" w:rsidRPr="006D73EF" w:rsidRDefault="006D73EF" w:rsidP="006D73EF">
      <w:pPr>
        <w:spacing w:after="0" w:line="240" w:lineRule="auto"/>
        <w:ind w:right="-568"/>
        <w:jc w:val="center"/>
        <w:rPr>
          <w:rFonts w:ascii="Arial Black" w:hAnsi="Arial Black" w:cs="Times New Roman"/>
        </w:rPr>
      </w:pPr>
      <w:r w:rsidRPr="006D73EF">
        <w:rPr>
          <w:rFonts w:ascii="Arial Black" w:hAnsi="Arial Black" w:cs="Times New Roman"/>
        </w:rPr>
        <w:t>FALÊNCIA FRUSTRADA. PETIÇÃO</w:t>
      </w:r>
    </w:p>
    <w:p w14:paraId="711693C8" w14:textId="77777777" w:rsidR="006D73EF" w:rsidRPr="006D73EF" w:rsidRDefault="006D73EF" w:rsidP="006D73EF">
      <w:pPr>
        <w:spacing w:after="0" w:line="240" w:lineRule="auto"/>
        <w:ind w:right="-568"/>
        <w:jc w:val="right"/>
        <w:rPr>
          <w:rFonts w:ascii="Arial Black" w:hAnsi="Arial Black" w:cs="Times New Roman"/>
        </w:rPr>
      </w:pPr>
      <w:proofErr w:type="spellStart"/>
      <w:r w:rsidRPr="006D73EF">
        <w:rPr>
          <w:rFonts w:ascii="Arial Black" w:hAnsi="Arial Black" w:cs="Times New Roman"/>
        </w:rPr>
        <w:t>Rénan</w:t>
      </w:r>
      <w:proofErr w:type="spellEnd"/>
      <w:r w:rsidRPr="006D73EF">
        <w:rPr>
          <w:rFonts w:ascii="Arial Black" w:hAnsi="Arial Black" w:cs="Times New Roman"/>
        </w:rPr>
        <w:t xml:space="preserve"> </w:t>
      </w:r>
      <w:proofErr w:type="spellStart"/>
      <w:r w:rsidRPr="006D73EF">
        <w:rPr>
          <w:rFonts w:ascii="Arial Black" w:hAnsi="Arial Black" w:cs="Times New Roman"/>
        </w:rPr>
        <w:t>Kfuri</w:t>
      </w:r>
      <w:proofErr w:type="spellEnd"/>
      <w:r w:rsidRPr="006D73EF">
        <w:rPr>
          <w:rFonts w:ascii="Arial Black" w:hAnsi="Arial Black" w:cs="Times New Roman"/>
        </w:rPr>
        <w:t xml:space="preserve"> Lopes</w:t>
      </w:r>
    </w:p>
    <w:p w14:paraId="0A305393" w14:textId="77777777" w:rsidR="006D73EF" w:rsidRPr="006D73EF" w:rsidRDefault="006D73EF" w:rsidP="006D73EF">
      <w:pPr>
        <w:ind w:right="-568"/>
        <w:jc w:val="both"/>
        <w:rPr>
          <w:rFonts w:ascii="Times New Roman" w:hAnsi="Times New Roman" w:cs="Times New Roman"/>
        </w:rPr>
      </w:pPr>
    </w:p>
    <w:p w14:paraId="037DD563" w14:textId="77777777" w:rsidR="006D73EF" w:rsidRDefault="006D73EF" w:rsidP="006D73EF">
      <w:pPr>
        <w:ind w:right="-568"/>
        <w:jc w:val="both"/>
        <w:rPr>
          <w:rFonts w:ascii="Times New Roman" w:hAnsi="Times New Roman" w:cs="Times New Roman"/>
        </w:rPr>
      </w:pPr>
      <w:r w:rsidRPr="006D73EF">
        <w:rPr>
          <w:rFonts w:ascii="Times New Roman" w:hAnsi="Times New Roman" w:cs="Times New Roman"/>
        </w:rPr>
        <w:t>E</w:t>
      </w:r>
      <w:r>
        <w:rPr>
          <w:rFonts w:ascii="Times New Roman" w:hAnsi="Times New Roman" w:cs="Times New Roman"/>
        </w:rPr>
        <w:t>xma. Sra. Juíza de Direito da ... Vara Empresarial da Comarca de ...</w:t>
      </w:r>
    </w:p>
    <w:p w14:paraId="165569BE" w14:textId="0460F314" w:rsidR="006D73EF" w:rsidRPr="006D73EF" w:rsidRDefault="006D73EF" w:rsidP="006D73EF">
      <w:pPr>
        <w:ind w:right="-568"/>
        <w:jc w:val="both"/>
        <w:rPr>
          <w:rFonts w:ascii="Times New Roman" w:hAnsi="Times New Roman" w:cs="Times New Roman"/>
        </w:rPr>
      </w:pPr>
      <w:proofErr w:type="spellStart"/>
      <w:r w:rsidRPr="006D73EF">
        <w:rPr>
          <w:rFonts w:ascii="Times New Roman" w:hAnsi="Times New Roman" w:cs="Times New Roman"/>
        </w:rPr>
        <w:t>Pje</w:t>
      </w:r>
      <w:proofErr w:type="spellEnd"/>
      <w:r w:rsidRPr="006D73EF">
        <w:rPr>
          <w:rFonts w:ascii="Times New Roman" w:hAnsi="Times New Roman" w:cs="Times New Roman"/>
        </w:rPr>
        <w:t xml:space="preserve"> </w:t>
      </w:r>
      <w:r>
        <w:rPr>
          <w:rFonts w:ascii="Times New Roman" w:hAnsi="Times New Roman" w:cs="Times New Roman"/>
        </w:rPr>
        <w:t>...</w:t>
      </w:r>
    </w:p>
    <w:p w14:paraId="65C64A14" w14:textId="77777777"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 xml:space="preserve">Processo de Falência </w:t>
      </w:r>
    </w:p>
    <w:p w14:paraId="13CFABC5" w14:textId="77777777"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 xml:space="preserve">- RELATÓRIO FINAL DA FALÊNCIA – </w:t>
      </w:r>
    </w:p>
    <w:p w14:paraId="35F6B3EE" w14:textId="1AA01941"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 xml:space="preserve">MASSA FALIDA DE </w:t>
      </w:r>
      <w:r>
        <w:rPr>
          <w:rFonts w:ascii="Times New Roman" w:hAnsi="Times New Roman" w:cs="Times New Roman"/>
        </w:rPr>
        <w:t>...</w:t>
      </w:r>
      <w:r w:rsidRPr="006D73EF">
        <w:rPr>
          <w:rFonts w:ascii="Times New Roman" w:hAnsi="Times New Roman" w:cs="Times New Roman"/>
        </w:rPr>
        <w:t xml:space="preserve">, por seu Administrador Judicial </w:t>
      </w:r>
      <w:r w:rsidRPr="006D73EF">
        <w:rPr>
          <w:rFonts w:ascii="Times New Roman" w:hAnsi="Times New Roman" w:cs="Times New Roman"/>
          <w:i/>
          <w:iCs/>
        </w:rPr>
        <w:t>in fine</w:t>
      </w:r>
      <w:r w:rsidRPr="006D73EF">
        <w:rPr>
          <w:rFonts w:ascii="Times New Roman" w:hAnsi="Times New Roman" w:cs="Times New Roman"/>
        </w:rPr>
        <w:t xml:space="preserve"> assinado, nos autos do processo de falência epigrafado, vem, respeitosamente, apresentar RELATÓRIO FINAL DE FALÊNCIA [Lei 11.101/05, art. 154 et seq.], pelas razões adiante articuladas:</w:t>
      </w:r>
    </w:p>
    <w:p w14:paraId="0EB56C80" w14:textId="7B18ABDE" w:rsidR="006D73EF" w:rsidRPr="006D73EF" w:rsidRDefault="006D73EF" w:rsidP="006D73EF">
      <w:pPr>
        <w:ind w:right="-568"/>
        <w:jc w:val="both"/>
        <w:rPr>
          <w:rFonts w:ascii="Times New Roman" w:hAnsi="Times New Roman" w:cs="Times New Roman"/>
          <w:b/>
          <w:bCs/>
        </w:rPr>
      </w:pPr>
      <w:r w:rsidRPr="006D73EF">
        <w:rPr>
          <w:rFonts w:ascii="Times New Roman" w:hAnsi="Times New Roman" w:cs="Times New Roman"/>
          <w:b/>
          <w:bCs/>
        </w:rPr>
        <w:t xml:space="preserve">I – ARRECADAÇÃO DE BENS - NÃO PAGAMENTO AOS </w:t>
      </w:r>
      <w:proofErr w:type="gramStart"/>
      <w:r w:rsidRPr="006D73EF">
        <w:rPr>
          <w:rFonts w:ascii="Times New Roman" w:hAnsi="Times New Roman" w:cs="Times New Roman"/>
          <w:b/>
          <w:bCs/>
        </w:rPr>
        <w:t>CREDORES  AUSÊNCIA</w:t>
      </w:r>
      <w:proofErr w:type="gramEnd"/>
      <w:r w:rsidRPr="006D73EF">
        <w:rPr>
          <w:rFonts w:ascii="Times New Roman" w:hAnsi="Times New Roman" w:cs="Times New Roman"/>
          <w:b/>
          <w:bCs/>
        </w:rPr>
        <w:t xml:space="preserve"> DE BENS ARRECADADOS E FALÊNCIA FRUSTRADA </w:t>
      </w:r>
    </w:p>
    <w:p w14:paraId="4340C725" w14:textId="1F47B1E3"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A Lei 11.101/05 em relação ao processo de falência tem como principal motivo a efetiva satisfação dos créditos mediante a utilização do patrimônio do devedor/falido, ou seja, servir os bens arrecadados e realizados em ativos da sociedade falida para o pagamento dos credores.</w:t>
      </w:r>
    </w:p>
    <w:p w14:paraId="47D031B4" w14:textId="7C86644C"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Assim, a arrecadação do patrimônio do devedor pelo administrador judicial é que se constitui a massa ativa, que é o próprio ativo do devedor que passa a ser gerido pelo administrador judicial.</w:t>
      </w:r>
    </w:p>
    <w:p w14:paraId="092C35F8" w14:textId="708DC3DC"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Na lição de WALDO FAZZIO JÚNIOR: “</w:t>
      </w:r>
      <w:r w:rsidRPr="006D73EF">
        <w:rPr>
          <w:rFonts w:ascii="Times New Roman" w:hAnsi="Times New Roman" w:cs="Times New Roman"/>
          <w:i/>
          <w:iCs/>
        </w:rPr>
        <w:t>Na verdade, se a falência é um concurso de credores sobre os bens do devedor, a ausência ou insuficiência do ativo significa impossibilidade de concurso. Há quem concorra, mas não há sobre o que concorrer</w:t>
      </w:r>
      <w:r w:rsidRPr="006D73EF">
        <w:rPr>
          <w:rFonts w:ascii="Times New Roman" w:hAnsi="Times New Roman" w:cs="Times New Roman"/>
        </w:rPr>
        <w:t>”</w:t>
      </w:r>
      <w:r>
        <w:rPr>
          <w:rStyle w:val="Refdenotaderodap"/>
          <w:rFonts w:ascii="Times New Roman" w:hAnsi="Times New Roman" w:cs="Times New Roman"/>
        </w:rPr>
        <w:footnoteReference w:id="1"/>
      </w:r>
      <w:r w:rsidRPr="006D73EF">
        <w:rPr>
          <w:rFonts w:ascii="Times New Roman" w:hAnsi="Times New Roman" w:cs="Times New Roman"/>
        </w:rPr>
        <w:t xml:space="preserve">. </w:t>
      </w:r>
    </w:p>
    <w:p w14:paraId="4568D2C3" w14:textId="1A0DE0CA"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 xml:space="preserve">No entanto, na presente falência não houve a arrecadação de qualquer bem, embora envidados todos os esforços, resultando, inclusive, no pedido de encerramento por falta de bens conforme Id </w:t>
      </w:r>
      <w:r>
        <w:rPr>
          <w:rFonts w:ascii="Times New Roman" w:hAnsi="Times New Roman" w:cs="Times New Roman"/>
        </w:rPr>
        <w:t>...</w:t>
      </w:r>
      <w:r w:rsidRPr="006D73EF">
        <w:rPr>
          <w:rFonts w:ascii="Times New Roman" w:hAnsi="Times New Roman" w:cs="Times New Roman"/>
        </w:rPr>
        <w:t xml:space="preserve">, </w:t>
      </w:r>
      <w:proofErr w:type="spellStart"/>
      <w:r w:rsidRPr="006D73EF">
        <w:rPr>
          <w:rFonts w:ascii="Times New Roman" w:hAnsi="Times New Roman" w:cs="Times New Roman"/>
          <w:i/>
          <w:iCs/>
        </w:rPr>
        <w:t>ex</w:t>
      </w:r>
      <w:proofErr w:type="spellEnd"/>
      <w:r w:rsidRPr="006D73EF">
        <w:rPr>
          <w:rFonts w:ascii="Times New Roman" w:hAnsi="Times New Roman" w:cs="Times New Roman"/>
          <w:i/>
          <w:iCs/>
        </w:rPr>
        <w:t xml:space="preserve"> vi</w:t>
      </w:r>
      <w:r w:rsidRPr="006D73EF">
        <w:rPr>
          <w:rFonts w:ascii="Times New Roman" w:hAnsi="Times New Roman" w:cs="Times New Roman"/>
        </w:rPr>
        <w:t xml:space="preserve"> art. 144 – A, Lei 11.101/05 [falência frustrada]</w:t>
      </w:r>
      <w:r>
        <w:rPr>
          <w:rStyle w:val="Refdenotaderodap"/>
          <w:rFonts w:ascii="Times New Roman" w:hAnsi="Times New Roman" w:cs="Times New Roman"/>
        </w:rPr>
        <w:footnoteReference w:id="2"/>
      </w:r>
      <w:r w:rsidRPr="006D73EF">
        <w:rPr>
          <w:rFonts w:ascii="Times New Roman" w:hAnsi="Times New Roman" w:cs="Times New Roman"/>
        </w:rPr>
        <w:t xml:space="preserve">. </w:t>
      </w:r>
    </w:p>
    <w:p w14:paraId="48B75C2A" w14:textId="637933FF"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Preleciona FÁBIO ULHOA que “</w:t>
      </w:r>
      <w:r w:rsidRPr="006D73EF">
        <w:rPr>
          <w:rFonts w:ascii="Times New Roman" w:hAnsi="Times New Roman" w:cs="Times New Roman"/>
          <w:i/>
          <w:iCs/>
        </w:rPr>
        <w:t>o prosseguimento do processo de falência se mostra prejudicados quando não se vislumbra qualquer perspectiva de pagamento aos credores ante a inexistência de ativos passíveis de arrecadação pela massa falida, ou seja, totalmente contraproducente e sem qualquer utilidade prática, já que não chegará à fase de liquidação, pois não haverá o que alienar</w:t>
      </w:r>
      <w:r w:rsidRPr="006D73EF">
        <w:rPr>
          <w:rFonts w:ascii="Times New Roman" w:hAnsi="Times New Roman" w:cs="Times New Roman"/>
        </w:rPr>
        <w:t>”</w:t>
      </w:r>
      <w:r>
        <w:rPr>
          <w:rStyle w:val="Refdenotaderodap"/>
          <w:rFonts w:ascii="Times New Roman" w:hAnsi="Times New Roman" w:cs="Times New Roman"/>
        </w:rPr>
        <w:footnoteReference w:id="3"/>
      </w:r>
      <w:r w:rsidRPr="006D73EF">
        <w:rPr>
          <w:rFonts w:ascii="Times New Roman" w:hAnsi="Times New Roman" w:cs="Times New Roman"/>
        </w:rPr>
        <w:t xml:space="preserve">. </w:t>
      </w:r>
    </w:p>
    <w:p w14:paraId="175F56B2" w14:textId="6DF0FBBF"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 xml:space="preserve">Destarte, </w:t>
      </w:r>
      <w:r w:rsidRPr="006D73EF">
        <w:rPr>
          <w:rFonts w:ascii="Times New Roman" w:hAnsi="Times New Roman" w:cs="Times New Roman"/>
          <w:i/>
          <w:iCs/>
        </w:rPr>
        <w:t xml:space="preserve">in </w:t>
      </w:r>
      <w:proofErr w:type="spellStart"/>
      <w:r w:rsidRPr="006D73EF">
        <w:rPr>
          <w:rFonts w:ascii="Times New Roman" w:hAnsi="Times New Roman" w:cs="Times New Roman"/>
          <w:i/>
          <w:iCs/>
        </w:rPr>
        <w:t>casu</w:t>
      </w:r>
      <w:proofErr w:type="spellEnd"/>
      <w:r w:rsidRPr="006D73EF">
        <w:rPr>
          <w:rFonts w:ascii="Times New Roman" w:hAnsi="Times New Roman" w:cs="Times New Roman"/>
        </w:rPr>
        <w:t xml:space="preserve">, como não há patrimônio a ser alienado para que o resultado seja partilhado entre os credores, completamente desnecessário cumprir o extenso cronograma falencial, vez </w:t>
      </w:r>
      <w:r w:rsidRPr="006D73EF">
        <w:rPr>
          <w:rFonts w:ascii="Times New Roman" w:hAnsi="Times New Roman" w:cs="Times New Roman"/>
        </w:rPr>
        <w:lastRenderedPageBreak/>
        <w:t>que absolutamente inócuos os atos realizados por este Administrador Judicial durante o trâmite desse processo falimentar, conforme será demonstrado no relatório abaixo.</w:t>
      </w:r>
    </w:p>
    <w:p w14:paraId="3F8DA6FB" w14:textId="50F6C1A0"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Convém lembrar que a sentença de encerramento da falência, não põe fim às responsabilidades do falido, ou seja, o credor que não teve satisfeitos seus haveres no curso do processo falimentar, pode perquirir seus direitos em face do falido até ser proferida sentença de extinção das obrigações do devedor nos termos dispostos no art. 159 da Lei Falimentar vigente.</w:t>
      </w:r>
    </w:p>
    <w:p w14:paraId="4F171A3D" w14:textId="256EFF0D"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 xml:space="preserve">Nesse cenário incide a aplicação do art. 114-A na Lei nº 11.101/05 [LRF], que prevê a possibilidade de extinção da falência se constatada a insuficiência de ativos. </w:t>
      </w:r>
    </w:p>
    <w:p w14:paraId="42362BA1" w14:textId="2E3B6D17"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Como medida de racionalização do processo falimentar de empresas insolventes sem ativos, trata-se de solução que atende aos princípios elencados no art. 75, III da LRF, uma vez que consiste em via que permite o encerramento de negócio insolvente e, ao mesmo tempo, fomenta o empreendedorismo, ao viabilizar, pela declaração do encerramento das obrigações, o retorno célere do empreendedor falido à atividade econômica.</w:t>
      </w:r>
    </w:p>
    <w:p w14:paraId="3394F749" w14:textId="38D4DD41"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O dispositivo reflete, também, opção pragmática do legislador, a qual reconhece a ausência de propósito no prosseguimento de processo que não trará nenhum resultado útil aos envolvidos.</w:t>
      </w:r>
    </w:p>
    <w:p w14:paraId="3E062C5A" w14:textId="5938CE8B"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Destaca-se que a solução do art. 114-A da LRF também é aderente aos princípios positivados no parágrafo §1º do mesmo dispositivo, que declaram que o processo de falência atenderá aos princípios da celeridade e da economia processual.</w:t>
      </w:r>
    </w:p>
    <w:p w14:paraId="65B68411" w14:textId="735892B8"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O legislador admitiu que os credores que porventura se sentirem prejudicados pela informação trazida pelo administrador judicial, ou que acreditarem que há ativos a serem localizados, possam opor-se ao encerramento da falência — e, consequentemente, à declaração de encerramento da obrigação do falido —, desde assumam o custeio das despesas consideradas essenciais no processo falimentar.</w:t>
      </w:r>
    </w:p>
    <w:p w14:paraId="54A72DCA" w14:textId="6823E0E7"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Parece depreender, portanto, do texto legal, que foi criada condição de procedibilidade do processo falimentar na hipótese em análise. Não havendo o custeio pelo credor opoente, a consequência deverá ser a impossibilidade do prosseguimento da falência</w:t>
      </w:r>
      <w:r w:rsidR="001B546C">
        <w:rPr>
          <w:rStyle w:val="Refdenotaderodap"/>
          <w:rFonts w:ascii="Times New Roman" w:hAnsi="Times New Roman" w:cs="Times New Roman"/>
        </w:rPr>
        <w:footnoteReference w:id="4"/>
      </w:r>
      <w:r w:rsidRPr="006D73EF">
        <w:rPr>
          <w:rFonts w:ascii="Times New Roman" w:hAnsi="Times New Roman" w:cs="Times New Roman"/>
        </w:rPr>
        <w:t xml:space="preserve">. </w:t>
      </w:r>
    </w:p>
    <w:p w14:paraId="5AB1C7E4" w14:textId="526EE7F4"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 xml:space="preserve">Caso os credores tivessem alguma manifestação contrária ao encerramento do processo falimentar, mesmo após o relatório meticuloso apresentado pelo Administrador Judicial signatário, poderiam requerer pelo prosseguimento da falência desde que arquem com o pagamento das despesas essenciais e dos honorários do administrador judicial, consoante previsão legal do § 1º do art. 114-A da LRF. </w:t>
      </w:r>
    </w:p>
    <w:p w14:paraId="24410597" w14:textId="433C6F10"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lastRenderedPageBreak/>
        <w:t xml:space="preserve">Todavia, publicado o edital de encerramento pelo dispositivo retro nenhum interessado ou credor se manifestou favoravelmente à continuidade desse processo falimentar. </w:t>
      </w:r>
    </w:p>
    <w:p w14:paraId="6D804AF1" w14:textId="77777777" w:rsidR="006D73EF" w:rsidRPr="006D73EF" w:rsidRDefault="006D73EF" w:rsidP="006D73EF">
      <w:pPr>
        <w:ind w:right="-568"/>
        <w:jc w:val="both"/>
        <w:rPr>
          <w:rFonts w:ascii="Times New Roman" w:hAnsi="Times New Roman" w:cs="Times New Roman"/>
          <w:b/>
          <w:bCs/>
        </w:rPr>
      </w:pPr>
      <w:r w:rsidRPr="006D73EF">
        <w:rPr>
          <w:rFonts w:ascii="Times New Roman" w:hAnsi="Times New Roman" w:cs="Times New Roman"/>
          <w:b/>
          <w:bCs/>
        </w:rPr>
        <w:t xml:space="preserve">II – AUSÊNCIA DE MOVIMENTAÇÃO BANCÁRIA </w:t>
      </w:r>
    </w:p>
    <w:p w14:paraId="4F8CA420" w14:textId="6E97C982"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 xml:space="preserve">O Administrador Judicial não efetuou movimentações financeiras de qualquer natureza, de modo que inexistem fluxos de entrada ou saída de recursos que justifiquem a instauração do incidente de prestação de contas. A exigência de prestação de contas pressupõe a administração de valores ou a gestão de patrimônio líquido, circunstâncias que não ocorrem no presente cenário de absoluta escassez de ativos. </w:t>
      </w:r>
    </w:p>
    <w:p w14:paraId="61812F32" w14:textId="501A6801"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Diante da vacuidade financeira do processo e da transparência integral dos atos deste múnus público, a abertura de incidente específico configuraria apenas um entrave burocrático sem utilidade prática para os credores ou para o Juízo.</w:t>
      </w:r>
    </w:p>
    <w:p w14:paraId="7AD1DB49" w14:textId="2014C369"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 xml:space="preserve">Dessa forma, despicienda a prestação de contas como medida de economia processual e racionalização dos atos falimentares, uma vez que o relatório final já demonstra a ausência de gestão pecuniária. </w:t>
      </w:r>
    </w:p>
    <w:p w14:paraId="0F5C9DDD" w14:textId="2F25A8B3"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O encerramento da falência deve ocorrer de forma célere, sem a necessidade de ritos acessórios voltados à conferência de contas inexistentes, garantindo a observância dos princípios da celeridade e da eficácia previstos na Lei 11.101/05.</w:t>
      </w:r>
    </w:p>
    <w:p w14:paraId="6F20E998" w14:textId="77777777" w:rsidR="006D73EF" w:rsidRPr="006D73EF" w:rsidRDefault="006D73EF" w:rsidP="006D73EF">
      <w:pPr>
        <w:ind w:right="-568"/>
        <w:jc w:val="both"/>
        <w:rPr>
          <w:rFonts w:ascii="Times New Roman" w:hAnsi="Times New Roman" w:cs="Times New Roman"/>
          <w:b/>
          <w:bCs/>
        </w:rPr>
      </w:pPr>
      <w:r w:rsidRPr="006D73EF">
        <w:rPr>
          <w:rFonts w:ascii="Times New Roman" w:hAnsi="Times New Roman" w:cs="Times New Roman"/>
          <w:b/>
          <w:bCs/>
        </w:rPr>
        <w:t>III – O VALOR DO ATIVO E A INEXISTÊNCIA DE RECURSO EM CAIXA</w:t>
      </w:r>
    </w:p>
    <w:p w14:paraId="29152D55" w14:textId="52C5B7A3"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Não houve arrecadação de qualquer bem e não se encontrou qualquer recurso financeiro da falida, embora se tenha realizado diversas diligências no sentido de localizar bens.</w:t>
      </w:r>
    </w:p>
    <w:p w14:paraId="0CED9D2F" w14:textId="0166C323"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Os falidos não apresentaram qualquer documento contábil da falida, embora intimados.</w:t>
      </w:r>
    </w:p>
    <w:p w14:paraId="12B3D3C4" w14:textId="77777777" w:rsidR="006D73EF" w:rsidRPr="006D73EF" w:rsidRDefault="006D73EF" w:rsidP="006D73EF">
      <w:pPr>
        <w:ind w:right="-568"/>
        <w:jc w:val="both"/>
        <w:rPr>
          <w:rFonts w:ascii="Times New Roman" w:hAnsi="Times New Roman" w:cs="Times New Roman"/>
          <w:b/>
          <w:bCs/>
        </w:rPr>
      </w:pPr>
      <w:r w:rsidRPr="006D73EF">
        <w:rPr>
          <w:rFonts w:ascii="Times New Roman" w:hAnsi="Times New Roman" w:cs="Times New Roman"/>
          <w:b/>
          <w:bCs/>
        </w:rPr>
        <w:t xml:space="preserve">IV – O VALOR DO PASSIVO </w:t>
      </w:r>
    </w:p>
    <w:p w14:paraId="56645A67" w14:textId="0F816A99"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O quadro geral de credores aponta para a existência dos seguintes créditos habilitados/passivos:</w:t>
      </w:r>
    </w:p>
    <w:p w14:paraId="77FB6E30" w14:textId="4E3477BA" w:rsidR="006D73EF" w:rsidRPr="006D73EF" w:rsidRDefault="006D73EF" w:rsidP="006D73EF">
      <w:pPr>
        <w:ind w:right="-568"/>
        <w:jc w:val="both"/>
        <w:rPr>
          <w:rFonts w:ascii="Times New Roman" w:hAnsi="Times New Roman" w:cs="Times New Roman"/>
        </w:rPr>
      </w:pPr>
      <w:proofErr w:type="gramStart"/>
      <w:r w:rsidRPr="006D73EF">
        <w:rPr>
          <w:rFonts w:ascii="Times New Roman" w:hAnsi="Times New Roman" w:cs="Times New Roman"/>
        </w:rPr>
        <w:t>a)</w:t>
      </w:r>
      <w:r>
        <w:rPr>
          <w:rFonts w:ascii="Times New Roman" w:hAnsi="Times New Roman" w:cs="Times New Roman"/>
        </w:rPr>
        <w:t>...</w:t>
      </w:r>
      <w:proofErr w:type="gramEnd"/>
      <w:r w:rsidRPr="006D73EF">
        <w:rPr>
          <w:rFonts w:ascii="Times New Roman" w:hAnsi="Times New Roman" w:cs="Times New Roman"/>
        </w:rPr>
        <w:t xml:space="preserve"> e </w:t>
      </w:r>
      <w:r>
        <w:rPr>
          <w:rFonts w:ascii="Times New Roman" w:hAnsi="Times New Roman" w:cs="Times New Roman"/>
        </w:rPr>
        <w:t>...</w:t>
      </w:r>
      <w:r w:rsidRPr="006D73EF">
        <w:rPr>
          <w:rFonts w:ascii="Times New Roman" w:hAnsi="Times New Roman" w:cs="Times New Roman"/>
        </w:rPr>
        <w:t xml:space="preserve"> – Crédito Quirografário [Lei 11.101/05, art. 83, VI] - R$ </w:t>
      </w:r>
      <w:r>
        <w:rPr>
          <w:rFonts w:ascii="Times New Roman" w:hAnsi="Times New Roman" w:cs="Times New Roman"/>
        </w:rPr>
        <w:t>...</w:t>
      </w:r>
      <w:r w:rsidRPr="006D73EF">
        <w:rPr>
          <w:rFonts w:ascii="Times New Roman" w:hAnsi="Times New Roman" w:cs="Times New Roman"/>
        </w:rPr>
        <w:t xml:space="preserve"> [</w:t>
      </w:r>
      <w:r>
        <w:rPr>
          <w:rFonts w:ascii="Times New Roman" w:hAnsi="Times New Roman" w:cs="Times New Roman"/>
        </w:rPr>
        <w:t>...</w:t>
      </w:r>
      <w:r w:rsidRPr="006D73EF">
        <w:rPr>
          <w:rFonts w:ascii="Times New Roman" w:hAnsi="Times New Roman" w:cs="Times New Roman"/>
        </w:rPr>
        <w:t>];</w:t>
      </w:r>
    </w:p>
    <w:p w14:paraId="05278DE4" w14:textId="749E7AB9"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b)</w:t>
      </w:r>
      <w:r>
        <w:rPr>
          <w:rFonts w:ascii="Times New Roman" w:hAnsi="Times New Roman" w:cs="Times New Roman"/>
        </w:rPr>
        <w:t xml:space="preserve"> ...</w:t>
      </w:r>
      <w:r w:rsidRPr="006D73EF">
        <w:rPr>
          <w:rFonts w:ascii="Times New Roman" w:hAnsi="Times New Roman" w:cs="Times New Roman"/>
        </w:rPr>
        <w:t xml:space="preserve"> – Crédito Quirografário [Lei 11.101/05, art. 83, VI] - R$ </w:t>
      </w:r>
      <w:r>
        <w:rPr>
          <w:rFonts w:ascii="Times New Roman" w:hAnsi="Times New Roman" w:cs="Times New Roman"/>
        </w:rPr>
        <w:t>...</w:t>
      </w:r>
      <w:r w:rsidRPr="006D73EF">
        <w:rPr>
          <w:rFonts w:ascii="Times New Roman" w:hAnsi="Times New Roman" w:cs="Times New Roman"/>
        </w:rPr>
        <w:t xml:space="preserve"> [</w:t>
      </w:r>
      <w:r>
        <w:rPr>
          <w:rFonts w:ascii="Times New Roman" w:hAnsi="Times New Roman" w:cs="Times New Roman"/>
        </w:rPr>
        <w:t>...</w:t>
      </w:r>
      <w:r w:rsidRPr="006D73EF">
        <w:rPr>
          <w:rFonts w:ascii="Times New Roman" w:hAnsi="Times New Roman" w:cs="Times New Roman"/>
        </w:rPr>
        <w:t>];</w:t>
      </w:r>
    </w:p>
    <w:p w14:paraId="1C1F34F5" w14:textId="5F6D63D6"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c)</w:t>
      </w:r>
      <w:r>
        <w:rPr>
          <w:rFonts w:ascii="Times New Roman" w:hAnsi="Times New Roman" w:cs="Times New Roman"/>
        </w:rPr>
        <w:t xml:space="preserve"> </w:t>
      </w:r>
      <w:r w:rsidRPr="006D73EF">
        <w:rPr>
          <w:rFonts w:ascii="Times New Roman" w:hAnsi="Times New Roman" w:cs="Times New Roman"/>
        </w:rPr>
        <w:t xml:space="preserve">UNIÃO FEDERAL [PGFN] – Créditos Tributários [Lei 11.101/05, art. 83, III] - R$ </w:t>
      </w:r>
      <w:r>
        <w:rPr>
          <w:rFonts w:ascii="Times New Roman" w:hAnsi="Times New Roman" w:cs="Times New Roman"/>
        </w:rPr>
        <w:t>...</w:t>
      </w:r>
      <w:r w:rsidRPr="006D73EF">
        <w:rPr>
          <w:rFonts w:ascii="Times New Roman" w:hAnsi="Times New Roman" w:cs="Times New Roman"/>
        </w:rPr>
        <w:t xml:space="preserve"> [</w:t>
      </w:r>
      <w:r>
        <w:rPr>
          <w:rFonts w:ascii="Times New Roman" w:hAnsi="Times New Roman" w:cs="Times New Roman"/>
        </w:rPr>
        <w:t>...</w:t>
      </w:r>
      <w:r w:rsidRPr="006D73EF">
        <w:rPr>
          <w:rFonts w:ascii="Times New Roman" w:hAnsi="Times New Roman" w:cs="Times New Roman"/>
        </w:rPr>
        <w:t>];</w:t>
      </w:r>
    </w:p>
    <w:p w14:paraId="4A7E4AB6" w14:textId="1EE2279D"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d)</w:t>
      </w:r>
      <w:r>
        <w:rPr>
          <w:rFonts w:ascii="Times New Roman" w:hAnsi="Times New Roman" w:cs="Times New Roman"/>
        </w:rPr>
        <w:t xml:space="preserve"> </w:t>
      </w:r>
      <w:r w:rsidRPr="006D73EF">
        <w:rPr>
          <w:rFonts w:ascii="Times New Roman" w:hAnsi="Times New Roman" w:cs="Times New Roman"/>
        </w:rPr>
        <w:t xml:space="preserve">ESTADO DE </w:t>
      </w:r>
      <w:r>
        <w:rPr>
          <w:rFonts w:ascii="Times New Roman" w:hAnsi="Times New Roman" w:cs="Times New Roman"/>
        </w:rPr>
        <w:t>...</w:t>
      </w:r>
      <w:r w:rsidRPr="006D73EF">
        <w:rPr>
          <w:rFonts w:ascii="Times New Roman" w:hAnsi="Times New Roman" w:cs="Times New Roman"/>
        </w:rPr>
        <w:t xml:space="preserve"> – Créditos Tributários [Lei 11.101/05, art. 83, III] - R$ </w:t>
      </w:r>
      <w:r>
        <w:rPr>
          <w:rFonts w:ascii="Times New Roman" w:hAnsi="Times New Roman" w:cs="Times New Roman"/>
        </w:rPr>
        <w:t>...</w:t>
      </w:r>
      <w:r w:rsidRPr="006D73EF">
        <w:rPr>
          <w:rFonts w:ascii="Times New Roman" w:hAnsi="Times New Roman" w:cs="Times New Roman"/>
        </w:rPr>
        <w:t xml:space="preserve"> [</w:t>
      </w:r>
      <w:r>
        <w:rPr>
          <w:rFonts w:ascii="Times New Roman" w:hAnsi="Times New Roman" w:cs="Times New Roman"/>
        </w:rPr>
        <w:t>...</w:t>
      </w:r>
      <w:r w:rsidRPr="006D73EF">
        <w:rPr>
          <w:rFonts w:ascii="Times New Roman" w:hAnsi="Times New Roman" w:cs="Times New Roman"/>
        </w:rPr>
        <w:t>];</w:t>
      </w:r>
    </w:p>
    <w:p w14:paraId="6A0500D4" w14:textId="3F5C4DF6"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e)</w:t>
      </w:r>
      <w:r>
        <w:rPr>
          <w:rFonts w:ascii="Times New Roman" w:hAnsi="Times New Roman" w:cs="Times New Roman"/>
        </w:rPr>
        <w:t xml:space="preserve"> </w:t>
      </w:r>
      <w:r w:rsidRPr="006D73EF">
        <w:rPr>
          <w:rFonts w:ascii="Times New Roman" w:hAnsi="Times New Roman" w:cs="Times New Roman"/>
        </w:rPr>
        <w:t xml:space="preserve">MUNICÍPIO DE </w:t>
      </w:r>
      <w:r>
        <w:rPr>
          <w:rFonts w:ascii="Times New Roman" w:hAnsi="Times New Roman" w:cs="Times New Roman"/>
        </w:rPr>
        <w:t>...</w:t>
      </w:r>
      <w:r w:rsidRPr="006D73EF">
        <w:rPr>
          <w:rFonts w:ascii="Times New Roman" w:hAnsi="Times New Roman" w:cs="Times New Roman"/>
        </w:rPr>
        <w:t xml:space="preserve"> – Créditos Tributários [Lei 11.101/05, art. 83, III] - R$ </w:t>
      </w:r>
      <w:r>
        <w:rPr>
          <w:rFonts w:ascii="Times New Roman" w:hAnsi="Times New Roman" w:cs="Times New Roman"/>
        </w:rPr>
        <w:t>...</w:t>
      </w:r>
      <w:r w:rsidRPr="006D73EF">
        <w:rPr>
          <w:rFonts w:ascii="Times New Roman" w:hAnsi="Times New Roman" w:cs="Times New Roman"/>
        </w:rPr>
        <w:t xml:space="preserve"> [</w:t>
      </w:r>
      <w:r>
        <w:rPr>
          <w:rFonts w:ascii="Times New Roman" w:hAnsi="Times New Roman" w:cs="Times New Roman"/>
        </w:rPr>
        <w:t>...</w:t>
      </w:r>
      <w:r w:rsidRPr="006D73EF">
        <w:rPr>
          <w:rFonts w:ascii="Times New Roman" w:hAnsi="Times New Roman" w:cs="Times New Roman"/>
        </w:rPr>
        <w:t>];</w:t>
      </w:r>
    </w:p>
    <w:p w14:paraId="5CFDC79D" w14:textId="0BF28E20"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 xml:space="preserve">MUNICÍPIO DE </w:t>
      </w:r>
      <w:r>
        <w:rPr>
          <w:rFonts w:ascii="Times New Roman" w:hAnsi="Times New Roman" w:cs="Times New Roman"/>
        </w:rPr>
        <w:t>...</w:t>
      </w:r>
      <w:r w:rsidRPr="006D73EF">
        <w:rPr>
          <w:rFonts w:ascii="Times New Roman" w:hAnsi="Times New Roman" w:cs="Times New Roman"/>
        </w:rPr>
        <w:t xml:space="preserve"> – Multas Administrativas [Lei 11.101/05, art. 83, VII] - R$ </w:t>
      </w:r>
      <w:r>
        <w:rPr>
          <w:rFonts w:ascii="Times New Roman" w:hAnsi="Times New Roman" w:cs="Times New Roman"/>
        </w:rPr>
        <w:t>...</w:t>
      </w:r>
      <w:r w:rsidRPr="006D73EF">
        <w:rPr>
          <w:rFonts w:ascii="Times New Roman" w:hAnsi="Times New Roman" w:cs="Times New Roman"/>
        </w:rPr>
        <w:t xml:space="preserve"> [</w:t>
      </w:r>
      <w:r>
        <w:rPr>
          <w:rFonts w:ascii="Times New Roman" w:hAnsi="Times New Roman" w:cs="Times New Roman"/>
        </w:rPr>
        <w:t>...</w:t>
      </w:r>
      <w:r w:rsidRPr="006D73EF">
        <w:rPr>
          <w:rFonts w:ascii="Times New Roman" w:hAnsi="Times New Roman" w:cs="Times New Roman"/>
        </w:rPr>
        <w:t>];</w:t>
      </w:r>
    </w:p>
    <w:p w14:paraId="0EDFC2E1" w14:textId="55927399"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 xml:space="preserve">MUNICÍPIO DE </w:t>
      </w:r>
      <w:r>
        <w:rPr>
          <w:rFonts w:ascii="Times New Roman" w:hAnsi="Times New Roman" w:cs="Times New Roman"/>
        </w:rPr>
        <w:t>...</w:t>
      </w:r>
      <w:r w:rsidRPr="006D73EF">
        <w:rPr>
          <w:rFonts w:ascii="Times New Roman" w:hAnsi="Times New Roman" w:cs="Times New Roman"/>
        </w:rPr>
        <w:t xml:space="preserve"> – Juros vencidos após a decretação da falência [Lei 11.101/05, art. 83, IX] - R$ </w:t>
      </w:r>
      <w:r>
        <w:rPr>
          <w:rFonts w:ascii="Times New Roman" w:hAnsi="Times New Roman" w:cs="Times New Roman"/>
        </w:rPr>
        <w:t>...</w:t>
      </w:r>
      <w:r w:rsidRPr="006D73EF">
        <w:rPr>
          <w:rFonts w:ascii="Times New Roman" w:hAnsi="Times New Roman" w:cs="Times New Roman"/>
        </w:rPr>
        <w:t xml:space="preserve"> [</w:t>
      </w:r>
      <w:r>
        <w:rPr>
          <w:rFonts w:ascii="Times New Roman" w:hAnsi="Times New Roman" w:cs="Times New Roman"/>
        </w:rPr>
        <w:t>...</w:t>
      </w:r>
      <w:r w:rsidRPr="006D73EF">
        <w:rPr>
          <w:rFonts w:ascii="Times New Roman" w:hAnsi="Times New Roman" w:cs="Times New Roman"/>
        </w:rPr>
        <w:t>].</w:t>
      </w:r>
    </w:p>
    <w:p w14:paraId="7CF6C539" w14:textId="77777777" w:rsidR="006D73EF" w:rsidRPr="006D73EF" w:rsidRDefault="006D73EF" w:rsidP="006D73EF">
      <w:pPr>
        <w:ind w:right="-568"/>
        <w:jc w:val="both"/>
        <w:rPr>
          <w:rFonts w:ascii="Times New Roman" w:hAnsi="Times New Roman" w:cs="Times New Roman"/>
          <w:b/>
          <w:bCs/>
        </w:rPr>
      </w:pPr>
      <w:r w:rsidRPr="006D73EF">
        <w:rPr>
          <w:rFonts w:ascii="Times New Roman" w:hAnsi="Times New Roman" w:cs="Times New Roman"/>
          <w:b/>
          <w:bCs/>
        </w:rPr>
        <w:t xml:space="preserve">IV – RESPONSABILIDADE DO FALIDO </w:t>
      </w:r>
    </w:p>
    <w:p w14:paraId="698BAF9A" w14:textId="6E698C3F"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lastRenderedPageBreak/>
        <w:t xml:space="preserve">O cenário em exame configura hipótese de falência frustrada, visto que as diligências empreendidas pelo Administrador Judicial resultaram negativas quanto à arrecadação de bens para a composição da massa falida, o que revela a absoluta ausência de ativos. </w:t>
      </w:r>
    </w:p>
    <w:p w14:paraId="5DB28044" w14:textId="5084EB4B"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 xml:space="preserve">Não obstante o encerramento formal do processo falimentar, subsiste a plena responsabilidade dos sócios falidos por eventuais atos de gestão irregular ou descumprimento de obrigações legais, </w:t>
      </w:r>
      <w:proofErr w:type="spellStart"/>
      <w:r w:rsidRPr="006D73EF">
        <w:rPr>
          <w:rFonts w:ascii="Times New Roman" w:hAnsi="Times New Roman" w:cs="Times New Roman"/>
          <w:i/>
          <w:iCs/>
        </w:rPr>
        <w:t>ex</w:t>
      </w:r>
      <w:proofErr w:type="spellEnd"/>
      <w:r w:rsidRPr="006D73EF">
        <w:rPr>
          <w:rFonts w:ascii="Times New Roman" w:hAnsi="Times New Roman" w:cs="Times New Roman"/>
          <w:i/>
          <w:iCs/>
        </w:rPr>
        <w:t xml:space="preserve"> vi</w:t>
      </w:r>
      <w:r w:rsidRPr="006D73EF">
        <w:rPr>
          <w:rFonts w:ascii="Times New Roman" w:hAnsi="Times New Roman" w:cs="Times New Roman"/>
        </w:rPr>
        <w:t xml:space="preserve"> art. 158, VI, Lei 11.101/05</w:t>
      </w:r>
      <w:r w:rsidR="001B546C">
        <w:rPr>
          <w:rStyle w:val="Refdenotaderodap"/>
          <w:rFonts w:ascii="Times New Roman" w:hAnsi="Times New Roman" w:cs="Times New Roman"/>
        </w:rPr>
        <w:footnoteReference w:id="5"/>
      </w:r>
      <w:r w:rsidRPr="006D73EF">
        <w:rPr>
          <w:rFonts w:ascii="Times New Roman" w:hAnsi="Times New Roman" w:cs="Times New Roman"/>
        </w:rPr>
        <w:t>.</w:t>
      </w:r>
    </w:p>
    <w:p w14:paraId="399529A9" w14:textId="0E5D0D10"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A extinção da falência por insuficiência de ativos não implica a quitação automática das obrigações, permanecendo hígido o direito dos credores de buscar a satisfação de seus haveres perante o patrimônio pessoal dos responsáveis, desde que ocorra a demonstração de abuso da personalidade jurídica ou confusão patrimonial em via própria.</w:t>
      </w:r>
    </w:p>
    <w:p w14:paraId="7B06828B" w14:textId="77777777" w:rsidR="006D73EF" w:rsidRDefault="006D73EF" w:rsidP="006D73EF">
      <w:pPr>
        <w:ind w:right="-568"/>
        <w:jc w:val="both"/>
        <w:rPr>
          <w:rFonts w:ascii="Times New Roman" w:hAnsi="Times New Roman" w:cs="Times New Roman"/>
        </w:rPr>
      </w:pPr>
      <w:r w:rsidRPr="006D73EF">
        <w:rPr>
          <w:rFonts w:ascii="Times New Roman" w:hAnsi="Times New Roman" w:cs="Times New Roman"/>
        </w:rPr>
        <w:t xml:space="preserve">A conduta omissiva verificada ao longo do procedimento, consubstanciada na ausência de colaboração e na não apresentação dos documentos obrigatórios, reforça a necessidade de preservação da responsabilidade civil dos administradores. </w:t>
      </w:r>
    </w:p>
    <w:p w14:paraId="100B8E22" w14:textId="3EB32E5D"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Portanto, o encerramento do feito por escassez de ativos opera apenas no plano processual da execução coletiva, sem prejuízo da apuração de condutas ilícitas ou do prosseguimento de ações voltadas à responsabilização pessoal dos sócios em face dos danos causados à coletividade de credores.</w:t>
      </w:r>
    </w:p>
    <w:p w14:paraId="346D9903" w14:textId="77777777" w:rsidR="006D73EF" w:rsidRPr="006D73EF" w:rsidRDefault="006D73EF" w:rsidP="006D73EF">
      <w:pPr>
        <w:ind w:right="-568"/>
        <w:jc w:val="both"/>
        <w:rPr>
          <w:rFonts w:ascii="Times New Roman" w:hAnsi="Times New Roman" w:cs="Times New Roman"/>
          <w:b/>
          <w:bCs/>
        </w:rPr>
      </w:pPr>
      <w:r w:rsidRPr="006D73EF">
        <w:rPr>
          <w:rFonts w:ascii="Times New Roman" w:hAnsi="Times New Roman" w:cs="Times New Roman"/>
          <w:b/>
          <w:bCs/>
        </w:rPr>
        <w:t>IV – PEDIDOS</w:t>
      </w:r>
    </w:p>
    <w:p w14:paraId="21247218" w14:textId="43CB09C1" w:rsidR="006D73EF" w:rsidRPr="006D73EF" w:rsidRDefault="006D73EF" w:rsidP="006D73EF">
      <w:pPr>
        <w:ind w:right="-568"/>
        <w:jc w:val="both"/>
        <w:rPr>
          <w:rFonts w:ascii="Times New Roman" w:hAnsi="Times New Roman" w:cs="Times New Roman"/>
        </w:rPr>
      </w:pPr>
      <w:proofErr w:type="spellStart"/>
      <w:r w:rsidRPr="006D73EF">
        <w:rPr>
          <w:rFonts w:ascii="Times New Roman" w:hAnsi="Times New Roman" w:cs="Times New Roman"/>
          <w:b/>
          <w:bCs/>
          <w:i/>
          <w:iCs/>
        </w:rPr>
        <w:t>Ex</w:t>
      </w:r>
      <w:proofErr w:type="spellEnd"/>
      <w:r w:rsidRPr="006D73EF">
        <w:rPr>
          <w:rFonts w:ascii="Times New Roman" w:hAnsi="Times New Roman" w:cs="Times New Roman"/>
          <w:b/>
          <w:bCs/>
          <w:i/>
          <w:iCs/>
        </w:rPr>
        <w:t xml:space="preserve"> positis</w:t>
      </w:r>
      <w:r w:rsidRPr="006D73EF">
        <w:rPr>
          <w:rFonts w:ascii="Times New Roman" w:hAnsi="Times New Roman" w:cs="Times New Roman"/>
        </w:rPr>
        <w:t>, o Administrador Judicial requer a prolação de sentença para o encerramento da presente falência frustrada, com fulcro no artigo 114-A da Lei 11.101/05, com a consequente expedição e a publicação dos editais na forma prevista na legislação vigente para a devida ciência de todos os interessados e demais credores.</w:t>
      </w:r>
    </w:p>
    <w:p w14:paraId="67BA8FAD" w14:textId="0285D182" w:rsidR="006D73EF" w:rsidRPr="006D73EF" w:rsidRDefault="006D73EF" w:rsidP="006D73EF">
      <w:pPr>
        <w:ind w:right="-568"/>
        <w:jc w:val="both"/>
        <w:rPr>
          <w:rFonts w:ascii="Times New Roman" w:hAnsi="Times New Roman" w:cs="Times New Roman"/>
        </w:rPr>
      </w:pPr>
      <w:r w:rsidRPr="006D73EF">
        <w:rPr>
          <w:rFonts w:ascii="Times New Roman" w:hAnsi="Times New Roman" w:cs="Times New Roman"/>
        </w:rPr>
        <w:t xml:space="preserve">Outrossim, requer a colheita do indispensável parecer do ilustre Representante do Ministério Público, em observância ao múnus fiscalizador de que dispõe o órgão no âmbito do processo falimentar. </w:t>
      </w:r>
    </w:p>
    <w:p w14:paraId="7B26C599" w14:textId="1E1718BD" w:rsidR="006D73EF" w:rsidRPr="006D73EF" w:rsidRDefault="006D73EF" w:rsidP="006D73EF">
      <w:pPr>
        <w:spacing w:after="0" w:line="240" w:lineRule="auto"/>
        <w:ind w:right="-567"/>
        <w:jc w:val="center"/>
        <w:rPr>
          <w:rFonts w:ascii="Times New Roman" w:hAnsi="Times New Roman" w:cs="Times New Roman"/>
        </w:rPr>
      </w:pPr>
      <w:r w:rsidRPr="006D73EF">
        <w:rPr>
          <w:rFonts w:ascii="Times New Roman" w:hAnsi="Times New Roman" w:cs="Times New Roman"/>
        </w:rPr>
        <w:t>P</w:t>
      </w:r>
      <w:r>
        <w:rPr>
          <w:rFonts w:ascii="Times New Roman" w:hAnsi="Times New Roman" w:cs="Times New Roman"/>
        </w:rPr>
        <w:t>ede</w:t>
      </w:r>
      <w:r w:rsidRPr="006D73EF">
        <w:rPr>
          <w:rFonts w:ascii="Times New Roman" w:hAnsi="Times New Roman" w:cs="Times New Roman"/>
        </w:rPr>
        <w:t xml:space="preserve"> Deferimento.</w:t>
      </w:r>
    </w:p>
    <w:p w14:paraId="5F743730" w14:textId="191D0B25" w:rsidR="006D73EF" w:rsidRDefault="006D73EF" w:rsidP="006D73EF">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0452EDA6" w14:textId="5964C31C" w:rsidR="006D73EF" w:rsidRPr="006D73EF" w:rsidRDefault="006D73EF" w:rsidP="006D73EF">
      <w:pPr>
        <w:spacing w:after="0" w:line="240" w:lineRule="auto"/>
        <w:ind w:right="-567"/>
        <w:jc w:val="center"/>
        <w:rPr>
          <w:rFonts w:ascii="Times New Roman" w:hAnsi="Times New Roman" w:cs="Times New Roman"/>
        </w:rPr>
      </w:pPr>
      <w:r>
        <w:rPr>
          <w:rFonts w:ascii="Times New Roman" w:hAnsi="Times New Roman" w:cs="Times New Roman"/>
        </w:rPr>
        <w:t>(Assinatura e OAB do Administrador Judicial)</w:t>
      </w:r>
    </w:p>
    <w:sectPr w:rsidR="006D73EF" w:rsidRPr="006D73E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3EC70" w14:textId="77777777" w:rsidR="004B009F" w:rsidRDefault="004B009F" w:rsidP="006D73EF">
      <w:pPr>
        <w:spacing w:after="0" w:line="240" w:lineRule="auto"/>
      </w:pPr>
      <w:r>
        <w:separator/>
      </w:r>
    </w:p>
  </w:endnote>
  <w:endnote w:type="continuationSeparator" w:id="0">
    <w:p w14:paraId="1B8437F2" w14:textId="77777777" w:rsidR="004B009F" w:rsidRDefault="004B009F" w:rsidP="006D7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BCA51" w14:textId="77777777" w:rsidR="004B009F" w:rsidRDefault="004B009F" w:rsidP="006D73EF">
      <w:pPr>
        <w:spacing w:after="0" w:line="240" w:lineRule="auto"/>
      </w:pPr>
      <w:r>
        <w:separator/>
      </w:r>
    </w:p>
  </w:footnote>
  <w:footnote w:type="continuationSeparator" w:id="0">
    <w:p w14:paraId="4CD2F441" w14:textId="77777777" w:rsidR="004B009F" w:rsidRDefault="004B009F" w:rsidP="006D73EF">
      <w:pPr>
        <w:spacing w:after="0" w:line="240" w:lineRule="auto"/>
      </w:pPr>
      <w:r>
        <w:continuationSeparator/>
      </w:r>
    </w:p>
  </w:footnote>
  <w:footnote w:id="1">
    <w:p w14:paraId="099FC3BD" w14:textId="375A2136" w:rsidR="006D73EF" w:rsidRPr="001B546C" w:rsidRDefault="006D73EF" w:rsidP="001B546C">
      <w:pPr>
        <w:pStyle w:val="Textodenotaderodap"/>
        <w:ind w:right="-568"/>
        <w:jc w:val="both"/>
        <w:rPr>
          <w:rFonts w:ascii="Times New Roman" w:hAnsi="Times New Roman" w:cs="Times New Roman"/>
        </w:rPr>
      </w:pPr>
      <w:r w:rsidRPr="001B546C">
        <w:rPr>
          <w:rStyle w:val="Refdenotaderodap"/>
          <w:rFonts w:ascii="Times New Roman" w:hAnsi="Times New Roman" w:cs="Times New Roman"/>
        </w:rPr>
        <w:footnoteRef/>
      </w:r>
      <w:r w:rsidRPr="001B546C">
        <w:rPr>
          <w:rFonts w:ascii="Times New Roman" w:hAnsi="Times New Roman" w:cs="Times New Roman"/>
        </w:rPr>
        <w:t xml:space="preserve"> </w:t>
      </w:r>
      <w:r w:rsidRPr="001B546C">
        <w:rPr>
          <w:rFonts w:ascii="Times New Roman" w:hAnsi="Times New Roman" w:cs="Times New Roman"/>
        </w:rPr>
        <w:t xml:space="preserve">FAZZIO JÚNIOR, Waldo. Nova lei de falência e recuperação de empresas. 2ª </w:t>
      </w:r>
      <w:proofErr w:type="spellStart"/>
      <w:r w:rsidRPr="001B546C">
        <w:rPr>
          <w:rFonts w:ascii="Times New Roman" w:hAnsi="Times New Roman" w:cs="Times New Roman"/>
        </w:rPr>
        <w:t>ed</w:t>
      </w:r>
      <w:proofErr w:type="spellEnd"/>
      <w:r w:rsidRPr="001B546C">
        <w:rPr>
          <w:rFonts w:ascii="Times New Roman" w:hAnsi="Times New Roman" w:cs="Times New Roman"/>
        </w:rPr>
        <w:t>, editora Atlas, 2005.</w:t>
      </w:r>
    </w:p>
  </w:footnote>
  <w:footnote w:id="2">
    <w:p w14:paraId="2175708A" w14:textId="791D4F81" w:rsidR="006D73EF" w:rsidRPr="001B546C" w:rsidRDefault="006D73EF" w:rsidP="001B546C">
      <w:pPr>
        <w:pStyle w:val="Textodenotaderodap"/>
        <w:ind w:right="-568"/>
        <w:jc w:val="both"/>
        <w:rPr>
          <w:rFonts w:ascii="Times New Roman" w:hAnsi="Times New Roman" w:cs="Times New Roman"/>
        </w:rPr>
      </w:pPr>
      <w:r w:rsidRPr="001B546C">
        <w:rPr>
          <w:rStyle w:val="Refdenotaderodap"/>
          <w:rFonts w:ascii="Times New Roman" w:hAnsi="Times New Roman" w:cs="Times New Roman"/>
        </w:rPr>
        <w:footnoteRef/>
      </w:r>
      <w:r w:rsidRPr="001B546C">
        <w:rPr>
          <w:rFonts w:ascii="Times New Roman" w:hAnsi="Times New Roman" w:cs="Times New Roman"/>
        </w:rPr>
        <w:t xml:space="preserve"> </w:t>
      </w:r>
      <w:r w:rsidRPr="001B546C">
        <w:rPr>
          <w:rFonts w:ascii="Times New Roman" w:hAnsi="Times New Roman" w:cs="Times New Roman"/>
        </w:rPr>
        <w:t>Lei 11.101/05, art. 144-A, Frustrada a tentativa de venda dos bens da massa falida e não havendo proposta concreta dos credores para assumi-los, os bens poderão ser considerados sem valor de mercado e destinados à doação.</w:t>
      </w:r>
    </w:p>
  </w:footnote>
  <w:footnote w:id="3">
    <w:p w14:paraId="3BCCB659" w14:textId="22152107" w:rsidR="006D73EF" w:rsidRPr="001B546C" w:rsidRDefault="006D73EF" w:rsidP="001B546C">
      <w:pPr>
        <w:pStyle w:val="Textodenotaderodap"/>
        <w:ind w:right="-568"/>
        <w:jc w:val="both"/>
        <w:rPr>
          <w:rFonts w:ascii="Times New Roman" w:hAnsi="Times New Roman" w:cs="Times New Roman"/>
        </w:rPr>
      </w:pPr>
      <w:r w:rsidRPr="001B546C">
        <w:rPr>
          <w:rStyle w:val="Refdenotaderodap"/>
          <w:rFonts w:ascii="Times New Roman" w:hAnsi="Times New Roman" w:cs="Times New Roman"/>
        </w:rPr>
        <w:footnoteRef/>
      </w:r>
      <w:r w:rsidRPr="001B546C">
        <w:rPr>
          <w:rFonts w:ascii="Times New Roman" w:hAnsi="Times New Roman" w:cs="Times New Roman"/>
        </w:rPr>
        <w:t xml:space="preserve"> </w:t>
      </w:r>
      <w:r w:rsidRPr="001B546C">
        <w:rPr>
          <w:rFonts w:ascii="Times New Roman" w:hAnsi="Times New Roman" w:cs="Times New Roman"/>
        </w:rPr>
        <w:t>COELHO, Fabio Ulhoa. Comentários à Nova Lei de Falências e de Recuperação de Empresas. 3.ed. São Paulo: Saraiva, 2005.</w:t>
      </w:r>
    </w:p>
  </w:footnote>
  <w:footnote w:id="4">
    <w:p w14:paraId="4377F5A7" w14:textId="3F28EB56" w:rsidR="001B546C" w:rsidRPr="001B546C" w:rsidRDefault="001B546C" w:rsidP="001B546C">
      <w:pPr>
        <w:pStyle w:val="Textodenotaderodap"/>
        <w:ind w:right="-568"/>
        <w:jc w:val="both"/>
        <w:rPr>
          <w:rFonts w:ascii="Times New Roman" w:hAnsi="Times New Roman" w:cs="Times New Roman"/>
        </w:rPr>
      </w:pPr>
      <w:r w:rsidRPr="001B546C">
        <w:rPr>
          <w:rStyle w:val="Refdenotaderodap"/>
          <w:rFonts w:ascii="Times New Roman" w:hAnsi="Times New Roman" w:cs="Times New Roman"/>
        </w:rPr>
        <w:footnoteRef/>
      </w:r>
      <w:r w:rsidRPr="001B546C">
        <w:rPr>
          <w:rFonts w:ascii="Times New Roman" w:hAnsi="Times New Roman" w:cs="Times New Roman"/>
        </w:rPr>
        <w:t xml:space="preserve"> </w:t>
      </w:r>
      <w:r w:rsidRPr="001B546C">
        <w:rPr>
          <w:rFonts w:ascii="Times New Roman" w:hAnsi="Times New Roman" w:cs="Times New Roman"/>
        </w:rPr>
        <w:t xml:space="preserve">O administrador judicial desempenha papel fundamental na fase de verificação de crédito, recebendo impugnações e administrações de crédito na etapa administrativa, e, após, na fase judicial, apresentando manifestações e cálculos. Não existindo recursos para arcar com seus honorários, mostra-se impossível a tramitação das impugnações de crédito ou mesmo a apresentação e consolidação de QGC, por falta de profissional que desempenhasse essa função. Logo, constatada a ausência ou insuficiência de ativos pelo Administrador Judicial, outra consequência que parece se impor é que não se pode condicionar o encerramento da falência à conclusão da fase de verificação de crédito. A uma, porque não foi feito tal condicionamento em lei, e, a duas, porque o prosseguimento desses incidentes se mostra inviável diante da inexistência de recursos para arcar com honorários do Administrador Judicial” apud </w:t>
      </w:r>
      <w:hyperlink r:id="rId1" w:history="1">
        <w:r w:rsidRPr="001B546C">
          <w:rPr>
            <w:rStyle w:val="Hyperlink"/>
            <w:rFonts w:ascii="Times New Roman" w:hAnsi="Times New Roman" w:cs="Times New Roman"/>
          </w:rPr>
          <w:t>https://rkladvocacia.com/falencia-sem-ativos-reflexoes-sobre-as-inovacoes-trazidas-pela-lei-no-14-112-20/</w:t>
        </w:r>
      </w:hyperlink>
      <w:r w:rsidRPr="001B546C">
        <w:rPr>
          <w:rFonts w:ascii="Times New Roman" w:hAnsi="Times New Roman" w:cs="Times New Roman"/>
        </w:rPr>
        <w:t xml:space="preserve"> </w:t>
      </w:r>
    </w:p>
  </w:footnote>
  <w:footnote w:id="5">
    <w:p w14:paraId="164376FD" w14:textId="2F889BCB" w:rsidR="001B546C" w:rsidRPr="001B546C" w:rsidRDefault="001B546C" w:rsidP="001B546C">
      <w:pPr>
        <w:pStyle w:val="Textodenotaderodap"/>
        <w:ind w:right="-568"/>
        <w:jc w:val="both"/>
        <w:rPr>
          <w:rFonts w:ascii="Times New Roman" w:hAnsi="Times New Roman" w:cs="Times New Roman"/>
        </w:rPr>
      </w:pPr>
      <w:r w:rsidRPr="001B546C">
        <w:rPr>
          <w:rStyle w:val="Refdenotaderodap"/>
          <w:rFonts w:ascii="Times New Roman" w:hAnsi="Times New Roman" w:cs="Times New Roman"/>
        </w:rPr>
        <w:footnoteRef/>
      </w:r>
      <w:r w:rsidRPr="001B546C">
        <w:rPr>
          <w:rFonts w:ascii="Times New Roman" w:hAnsi="Times New Roman" w:cs="Times New Roman"/>
        </w:rPr>
        <w:t xml:space="preserve"> </w:t>
      </w:r>
      <w:r w:rsidRPr="001B546C">
        <w:rPr>
          <w:rFonts w:ascii="Times New Roman" w:hAnsi="Times New Roman" w:cs="Times New Roman"/>
        </w:rPr>
        <w:t xml:space="preserve">Lei 11.1015/05, art. 158. Extingue as obrigações do falido: VI - o encerramento da falência nos termos dos </w:t>
      </w:r>
      <w:proofErr w:type="spellStart"/>
      <w:r w:rsidRPr="001B546C">
        <w:rPr>
          <w:rFonts w:ascii="Times New Roman" w:hAnsi="Times New Roman" w:cs="Times New Roman"/>
        </w:rPr>
        <w:t>arts</w:t>
      </w:r>
      <w:proofErr w:type="spellEnd"/>
      <w:r w:rsidRPr="001B546C">
        <w:rPr>
          <w:rFonts w:ascii="Times New Roman" w:hAnsi="Times New Roman" w:cs="Times New Roman"/>
        </w:rPr>
        <w:t xml:space="preserve">. 114-A ou 156 desta Lei.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3EF"/>
    <w:rsid w:val="000B5F87"/>
    <w:rsid w:val="001B546C"/>
    <w:rsid w:val="004B009F"/>
    <w:rsid w:val="006D73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B2E41"/>
  <w15:chartTrackingRefBased/>
  <w15:docId w15:val="{99F2F6C6-930D-4177-B3B3-6A2C55B30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D73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6D73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6D73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6D73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6D73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6D73E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D73E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D73E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D73E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D73EF"/>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6D73EF"/>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6D73EF"/>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6D73EF"/>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6D73EF"/>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6D73E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D73E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D73E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D73EF"/>
    <w:rPr>
      <w:rFonts w:eastAsiaTheme="majorEastAsia" w:cstheme="majorBidi"/>
      <w:color w:val="272727" w:themeColor="text1" w:themeTint="D8"/>
    </w:rPr>
  </w:style>
  <w:style w:type="paragraph" w:styleId="Ttulo">
    <w:name w:val="Title"/>
    <w:basedOn w:val="Normal"/>
    <w:next w:val="Normal"/>
    <w:link w:val="TtuloChar"/>
    <w:uiPriority w:val="10"/>
    <w:qFormat/>
    <w:rsid w:val="006D73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D73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D73E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D73E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D73EF"/>
    <w:pPr>
      <w:spacing w:before="160"/>
      <w:jc w:val="center"/>
    </w:pPr>
    <w:rPr>
      <w:i/>
      <w:iCs/>
      <w:color w:val="404040" w:themeColor="text1" w:themeTint="BF"/>
    </w:rPr>
  </w:style>
  <w:style w:type="character" w:customStyle="1" w:styleId="CitaoChar">
    <w:name w:val="Citação Char"/>
    <w:basedOn w:val="Fontepargpadro"/>
    <w:link w:val="Citao"/>
    <w:uiPriority w:val="29"/>
    <w:rsid w:val="006D73EF"/>
    <w:rPr>
      <w:i/>
      <w:iCs/>
      <w:color w:val="404040" w:themeColor="text1" w:themeTint="BF"/>
    </w:rPr>
  </w:style>
  <w:style w:type="paragraph" w:styleId="PargrafodaLista">
    <w:name w:val="List Paragraph"/>
    <w:basedOn w:val="Normal"/>
    <w:uiPriority w:val="34"/>
    <w:qFormat/>
    <w:rsid w:val="006D73EF"/>
    <w:pPr>
      <w:ind w:left="720"/>
      <w:contextualSpacing/>
    </w:pPr>
  </w:style>
  <w:style w:type="character" w:styleId="nfaseIntensa">
    <w:name w:val="Intense Emphasis"/>
    <w:basedOn w:val="Fontepargpadro"/>
    <w:uiPriority w:val="21"/>
    <w:qFormat/>
    <w:rsid w:val="006D73EF"/>
    <w:rPr>
      <w:i/>
      <w:iCs/>
      <w:color w:val="2F5496" w:themeColor="accent1" w:themeShade="BF"/>
    </w:rPr>
  </w:style>
  <w:style w:type="paragraph" w:styleId="CitaoIntensa">
    <w:name w:val="Intense Quote"/>
    <w:basedOn w:val="Normal"/>
    <w:next w:val="Normal"/>
    <w:link w:val="CitaoIntensaChar"/>
    <w:uiPriority w:val="30"/>
    <w:qFormat/>
    <w:rsid w:val="006D73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6D73EF"/>
    <w:rPr>
      <w:i/>
      <w:iCs/>
      <w:color w:val="2F5496" w:themeColor="accent1" w:themeShade="BF"/>
    </w:rPr>
  </w:style>
  <w:style w:type="character" w:styleId="RefernciaIntensa">
    <w:name w:val="Intense Reference"/>
    <w:basedOn w:val="Fontepargpadro"/>
    <w:uiPriority w:val="32"/>
    <w:qFormat/>
    <w:rsid w:val="006D73EF"/>
    <w:rPr>
      <w:b/>
      <w:bCs/>
      <w:smallCaps/>
      <w:color w:val="2F5496" w:themeColor="accent1" w:themeShade="BF"/>
      <w:spacing w:val="5"/>
    </w:rPr>
  </w:style>
  <w:style w:type="paragraph" w:styleId="Textodenotaderodap">
    <w:name w:val="footnote text"/>
    <w:basedOn w:val="Normal"/>
    <w:link w:val="TextodenotaderodapChar"/>
    <w:uiPriority w:val="99"/>
    <w:unhideWhenUsed/>
    <w:rsid w:val="006D73EF"/>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6D73EF"/>
    <w:rPr>
      <w:sz w:val="20"/>
      <w:szCs w:val="20"/>
    </w:rPr>
  </w:style>
  <w:style w:type="character" w:styleId="Refdenotaderodap">
    <w:name w:val="footnote reference"/>
    <w:basedOn w:val="Fontepargpadro"/>
    <w:uiPriority w:val="99"/>
    <w:semiHidden/>
    <w:unhideWhenUsed/>
    <w:rsid w:val="006D73EF"/>
    <w:rPr>
      <w:vertAlign w:val="superscript"/>
    </w:rPr>
  </w:style>
  <w:style w:type="character" w:styleId="Hyperlink">
    <w:name w:val="Hyperlink"/>
    <w:basedOn w:val="Fontepargpadro"/>
    <w:uiPriority w:val="99"/>
    <w:unhideWhenUsed/>
    <w:rsid w:val="001B546C"/>
    <w:rPr>
      <w:color w:val="0563C1" w:themeColor="hyperlink"/>
      <w:u w:val="single"/>
    </w:rPr>
  </w:style>
  <w:style w:type="character" w:styleId="MenoPendente">
    <w:name w:val="Unresolved Mention"/>
    <w:basedOn w:val="Fontepargpadro"/>
    <w:uiPriority w:val="99"/>
    <w:semiHidden/>
    <w:unhideWhenUsed/>
    <w:rsid w:val="001B54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rkladvocacia.com/falencia-sem-ativos-reflexoes-sobre-as-inovacoes-trazidas-pela-lei-no-14-112-20/"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3355D-3AF5-4235-92EF-2A3789067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1409</Words>
  <Characters>7609</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2026-09-22T18:59:00Z</dcterms:created>
  <dcterms:modified xsi:type="dcterms:W3CDTF">2026-09-22T19:11:00Z</dcterms:modified>
</cp:coreProperties>
</file>