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85E2D" w14:textId="77777777" w:rsidR="00B0342A" w:rsidRPr="00B0342A" w:rsidRDefault="00B0342A" w:rsidP="00B0342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0342A">
        <w:rPr>
          <w:rFonts w:ascii="Arial Black" w:hAnsi="Arial Black" w:cs="Times New Roman"/>
        </w:rPr>
        <w:t>MODELO DE PETIÇÃO</w:t>
      </w:r>
    </w:p>
    <w:p w14:paraId="1A81CB60" w14:textId="77777777" w:rsidR="00B0342A" w:rsidRPr="00B0342A" w:rsidRDefault="00B0342A" w:rsidP="00B0342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0342A">
        <w:rPr>
          <w:rFonts w:ascii="Arial Black" w:hAnsi="Arial Black" w:cs="Times New Roman"/>
        </w:rPr>
        <w:t>EXECUÇÃO. PENHORA. AVALIAÇÃO PRÉVIA DOS IMÓVEIS.</w:t>
      </w:r>
    </w:p>
    <w:p w14:paraId="0063F26D" w14:textId="77777777" w:rsidR="00B0342A" w:rsidRPr="00B0342A" w:rsidRDefault="00B0342A" w:rsidP="00B0342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0342A">
        <w:rPr>
          <w:rFonts w:ascii="Arial Black" w:hAnsi="Arial Black" w:cs="Times New Roman"/>
        </w:rPr>
        <w:t>SUFICIENTE PARA GARANTIA A EXECUÇÃO.</w:t>
      </w:r>
    </w:p>
    <w:p w14:paraId="1557FD31" w14:textId="77777777" w:rsidR="00B0342A" w:rsidRPr="00B0342A" w:rsidRDefault="00B0342A" w:rsidP="00B0342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B0342A">
        <w:rPr>
          <w:rFonts w:ascii="Arial Black" w:hAnsi="Arial Black" w:cs="Times New Roman"/>
        </w:rPr>
        <w:t>PRINCÍPIO DA MENOR ONEROSIDADE. PETIÇÃO</w:t>
      </w:r>
    </w:p>
    <w:p w14:paraId="6B99001D" w14:textId="77777777" w:rsidR="00B0342A" w:rsidRPr="00B0342A" w:rsidRDefault="00B0342A" w:rsidP="00B0342A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B0342A">
        <w:rPr>
          <w:rFonts w:ascii="Arial Black" w:hAnsi="Arial Black" w:cs="Times New Roman"/>
        </w:rPr>
        <w:t>Rénan</w:t>
      </w:r>
      <w:proofErr w:type="spellEnd"/>
      <w:r w:rsidRPr="00B0342A">
        <w:rPr>
          <w:rFonts w:ascii="Arial Black" w:hAnsi="Arial Black" w:cs="Times New Roman"/>
        </w:rPr>
        <w:t xml:space="preserve"> </w:t>
      </w:r>
      <w:proofErr w:type="spellStart"/>
      <w:r w:rsidRPr="00B0342A">
        <w:rPr>
          <w:rFonts w:ascii="Arial Black" w:hAnsi="Arial Black" w:cs="Times New Roman"/>
        </w:rPr>
        <w:t>Kfuri</w:t>
      </w:r>
      <w:proofErr w:type="spellEnd"/>
      <w:r w:rsidRPr="00B0342A">
        <w:rPr>
          <w:rFonts w:ascii="Arial Black" w:hAnsi="Arial Black" w:cs="Times New Roman"/>
        </w:rPr>
        <w:t xml:space="preserve"> Lopes</w:t>
      </w:r>
    </w:p>
    <w:p w14:paraId="67A65366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</w:p>
    <w:p w14:paraId="2EE0744E" w14:textId="77777777" w:rsid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da Vara Federal com JEF Adjunto de ....</w:t>
      </w:r>
    </w:p>
    <w:p w14:paraId="66D23F36" w14:textId="0A1470E0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B0342A">
        <w:rPr>
          <w:rFonts w:ascii="Times New Roman" w:hAnsi="Times New Roman" w:cs="Times New Roman"/>
        </w:rPr>
        <w:t>Eproc</w:t>
      </w:r>
      <w:proofErr w:type="spellEnd"/>
      <w:r w:rsidRPr="00B034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2ACFD61B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Execução Fiscal </w:t>
      </w:r>
    </w:p>
    <w:p w14:paraId="4892DF95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- </w:t>
      </w:r>
      <w:proofErr w:type="gramStart"/>
      <w:r w:rsidRPr="00B0342A">
        <w:rPr>
          <w:rFonts w:ascii="Times New Roman" w:hAnsi="Times New Roman" w:cs="Times New Roman"/>
        </w:rPr>
        <w:t>necessidade e indispensabilidade</w:t>
      </w:r>
      <w:proofErr w:type="gramEnd"/>
      <w:r w:rsidRPr="00B0342A">
        <w:rPr>
          <w:rFonts w:ascii="Times New Roman" w:hAnsi="Times New Roman" w:cs="Times New Roman"/>
        </w:rPr>
        <w:t xml:space="preserve"> da avaliação dos imóveis penhorados -</w:t>
      </w:r>
    </w:p>
    <w:p w14:paraId="41AEEB40" w14:textId="1E9094EF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B0342A">
        <w:rPr>
          <w:rFonts w:ascii="Times New Roman" w:hAnsi="Times New Roman" w:cs="Times New Roman"/>
        </w:rPr>
        <w:t xml:space="preserve">, executado, por seus advogados </w:t>
      </w:r>
      <w:r w:rsidRPr="00B0342A">
        <w:rPr>
          <w:rFonts w:ascii="Times New Roman" w:hAnsi="Times New Roman" w:cs="Times New Roman"/>
          <w:i/>
          <w:iCs/>
        </w:rPr>
        <w:t>in fine</w:t>
      </w:r>
      <w:r w:rsidRPr="00B0342A">
        <w:rPr>
          <w:rFonts w:ascii="Times New Roman" w:hAnsi="Times New Roman" w:cs="Times New Roman"/>
        </w:rPr>
        <w:t xml:space="preserve"> assinados, nos autos epigrafados da “</w:t>
      </w:r>
      <w:r w:rsidRPr="00B0342A">
        <w:rPr>
          <w:rFonts w:ascii="Times New Roman" w:hAnsi="Times New Roman" w:cs="Times New Roman"/>
          <w:i/>
          <w:iCs/>
        </w:rPr>
        <w:t>Execução Fiscal</w:t>
      </w:r>
      <w:r w:rsidRPr="00B0342A">
        <w:rPr>
          <w:rFonts w:ascii="Times New Roman" w:hAnsi="Times New Roman" w:cs="Times New Roman"/>
        </w:rPr>
        <w:t xml:space="preserve">” promovida por FUNDAÇÃO NACIONAL DE SAÚDE – FUNASA, exequente, vem, respeitosamente, aduzir o que se segue: </w:t>
      </w:r>
    </w:p>
    <w:p w14:paraId="620C9F8A" w14:textId="1218ADD5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Em apertada síntese, trata-se de “</w:t>
      </w:r>
      <w:r w:rsidRPr="00B0342A">
        <w:rPr>
          <w:rFonts w:ascii="Times New Roman" w:hAnsi="Times New Roman" w:cs="Times New Roman"/>
          <w:i/>
          <w:iCs/>
        </w:rPr>
        <w:t>Ação de Execução Fiscal</w:t>
      </w:r>
      <w:r w:rsidRPr="00B0342A">
        <w:rPr>
          <w:rFonts w:ascii="Times New Roman" w:hAnsi="Times New Roman" w:cs="Times New Roman"/>
        </w:rPr>
        <w:t xml:space="preserve">” proposta pela Fundação Nacional de Saúde [FUNASA], inicialmente perante o Tribunal Regional Federal da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ª Região, em </w:t>
      </w:r>
      <w:r>
        <w:rPr>
          <w:rFonts w:ascii="Times New Roman" w:hAnsi="Times New Roman" w:cs="Times New Roman"/>
        </w:rPr>
        <w:t>..</w:t>
      </w:r>
      <w:r w:rsidRPr="00B0342A">
        <w:rPr>
          <w:rFonts w:ascii="Times New Roman" w:hAnsi="Times New Roman" w:cs="Times New Roman"/>
        </w:rPr>
        <w:t xml:space="preserve">. O valor atribuído à causa na petição inicial, conforme indicado no Id.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[págs.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], é de R$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>].</w:t>
      </w:r>
    </w:p>
    <w:p w14:paraId="19516E7E" w14:textId="44EC20AB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A FUNASA pediu a penhora e o registro da constrição de 4 [quatro] imóveis de copropriedade do executado, a saber: Matrículas n.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], Matrícula n.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 e Matrícula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>].</w:t>
      </w:r>
    </w:p>
    <w:p w14:paraId="640886D4" w14:textId="3BC4D97F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Dentre esses imóveis penhorados e com restrição registrada apenas foi avaliado [e erroneamente, diga-se de passagem, vide evento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 o imóvel objeto da Matrícula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do CRI de </w:t>
      </w:r>
      <w:r>
        <w:rPr>
          <w:rFonts w:ascii="Times New Roman" w:hAnsi="Times New Roman" w:cs="Times New Roman"/>
        </w:rPr>
        <w:t>...</w:t>
      </w:r>
    </w:p>
    <w:p w14:paraId="36294F8E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As penhoras realizadas nos autos recaíram sobre referidos bens de copropriedade do executado. Todavia, ainda não se procedeu às indispensáveis avaliações, etapa essencial à própria estrutura do processo de execução.</w:t>
      </w:r>
    </w:p>
    <w:p w14:paraId="7A4B77E2" w14:textId="09D8A838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O art. 870 do CPC, expressamente determina:</w:t>
      </w:r>
    </w:p>
    <w:p w14:paraId="757673C6" w14:textId="57BA1FF8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“</w:t>
      </w:r>
      <w:r w:rsidRPr="00B0342A">
        <w:rPr>
          <w:rFonts w:ascii="Times New Roman" w:hAnsi="Times New Roman" w:cs="Times New Roman"/>
          <w:i/>
          <w:iCs/>
        </w:rPr>
        <w:t>A avaliação será realizada pelo oficial de justiça ou por perito nomeado pelo juiz, quando a natureza do bem o exigir</w:t>
      </w:r>
      <w:r w:rsidRPr="00B0342A">
        <w:rPr>
          <w:rFonts w:ascii="Times New Roman" w:hAnsi="Times New Roman" w:cs="Times New Roman"/>
        </w:rPr>
        <w:t>.”</w:t>
      </w:r>
    </w:p>
    <w:p w14:paraId="5C445862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Indubitável que a necessidade dessa providência decorre do sistema normativo: conforme o art. 805 do CPC, a execução deve ocorrer pelo meio menos gravoso ao executado; por sua vez, o art. 831 do CPC delimita que a penhora deve recair apenas sobre bens suficientes para a garantia da dívida. </w:t>
      </w:r>
    </w:p>
    <w:p w14:paraId="6C154521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Assim, a prévia avaliação é o único instrumento hábil a permitir ao Juízo aferir a suficiência e a proporcionalidade da constrição, evitando o excesso de penhora.</w:t>
      </w:r>
    </w:p>
    <w:p w14:paraId="0709E4A0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A doutrina, de modo uniforme, ressalta a centralidade do ato avaliativo no procedimento executivo.</w:t>
      </w:r>
    </w:p>
    <w:p w14:paraId="21947551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lastRenderedPageBreak/>
        <w:t>Com a autoridade que se lhe reconhece, preleciona o Prof. HUMBERTO THEODORO JÚNIOR:</w:t>
      </w:r>
    </w:p>
    <w:p w14:paraId="65E72AB8" w14:textId="317DD3CE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“</w:t>
      </w:r>
      <w:r w:rsidRPr="00B0342A">
        <w:rPr>
          <w:rFonts w:ascii="Times New Roman" w:hAnsi="Times New Roman" w:cs="Times New Roman"/>
          <w:i/>
          <w:iCs/>
        </w:rPr>
        <w:t>A avaliação é ato indispensável para que se determine o valor real do bem penhorado, servindo como parâmetro objetivo para que a constrição não ultrapasse os limites do crédito exequendo. Sem ela, não há como se aferir a adequação e a suficiência da penhora</w:t>
      </w:r>
      <w:r w:rsidRPr="00B0342A">
        <w:rPr>
          <w:rFonts w:ascii="Times New Roman" w:hAnsi="Times New Roman" w:cs="Times New Roman"/>
        </w:rPr>
        <w:t>.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B0342A">
        <w:rPr>
          <w:rFonts w:ascii="Times New Roman" w:hAnsi="Times New Roman" w:cs="Times New Roman"/>
        </w:rPr>
        <w:t xml:space="preserve">” </w:t>
      </w:r>
    </w:p>
    <w:p w14:paraId="705EB25A" w14:textId="77777777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No mesmo sentido, FREDIE DIDIER JR. e LEONARDO CARNEIRO DA CUNHA ressaltam que:</w:t>
      </w:r>
    </w:p>
    <w:p w14:paraId="522E2BFE" w14:textId="12FF0493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“</w:t>
      </w:r>
      <w:r w:rsidRPr="00B0342A">
        <w:rPr>
          <w:rFonts w:ascii="Times New Roman" w:hAnsi="Times New Roman" w:cs="Times New Roman"/>
          <w:i/>
          <w:iCs/>
        </w:rPr>
        <w:t>A penhora, como ato de individualização e afetação do patrimônio do executado, somente se completa com a avaliação. A aferição do valor do bem não é mera formalidade: constitui requisito de validade dos atos subsequentes, especialmente alienação, adjudicação e remição</w:t>
      </w:r>
      <w:r w:rsidRPr="00B0342A">
        <w:rPr>
          <w:rFonts w:ascii="Times New Roman" w:hAnsi="Times New Roman" w:cs="Times New Roman"/>
        </w:rPr>
        <w:t>.</w:t>
      </w:r>
      <w:r>
        <w:rPr>
          <w:rStyle w:val="Refdenotaderodap"/>
          <w:rFonts w:ascii="Times New Roman" w:hAnsi="Times New Roman" w:cs="Times New Roman"/>
        </w:rPr>
        <w:footnoteReference w:id="2"/>
      </w:r>
      <w:r w:rsidRPr="00B0342A">
        <w:rPr>
          <w:rFonts w:ascii="Times New Roman" w:hAnsi="Times New Roman" w:cs="Times New Roman"/>
        </w:rPr>
        <w:t xml:space="preserve">” </w:t>
      </w:r>
    </w:p>
    <w:p w14:paraId="3E5BD769" w14:textId="0E5A8B1C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Na esteira lembra ARAKEN DE ASSIS:</w:t>
      </w:r>
    </w:p>
    <w:p w14:paraId="60D13679" w14:textId="6D5A8C3C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“</w:t>
      </w:r>
      <w:r w:rsidRPr="00B0342A">
        <w:rPr>
          <w:rFonts w:ascii="Times New Roman" w:hAnsi="Times New Roman" w:cs="Times New Roman"/>
          <w:i/>
          <w:iCs/>
        </w:rPr>
        <w:t>A ausência de avaliação acarreta evidente insegurança jurídica, impedindo a verificação do excesso e comprometendo a utilidade da execução. A constrição deve guardar exata proporção com o crédito, sob pena de nulidade</w:t>
      </w:r>
      <w:r w:rsidRPr="00B0342A">
        <w:rPr>
          <w:rFonts w:ascii="Times New Roman" w:hAnsi="Times New Roman" w:cs="Times New Roman"/>
        </w:rPr>
        <w:t>.</w:t>
      </w:r>
      <w:r>
        <w:rPr>
          <w:rStyle w:val="Refdenotaderodap"/>
          <w:rFonts w:ascii="Times New Roman" w:hAnsi="Times New Roman" w:cs="Times New Roman"/>
        </w:rPr>
        <w:footnoteReference w:id="3"/>
      </w:r>
      <w:r w:rsidRPr="00B0342A">
        <w:rPr>
          <w:rFonts w:ascii="Times New Roman" w:hAnsi="Times New Roman" w:cs="Times New Roman"/>
        </w:rPr>
        <w:t xml:space="preserve">” </w:t>
      </w:r>
    </w:p>
    <w:p w14:paraId="561447A3" w14:textId="4792283B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Essa compreensão doutrinária converge com os princípios estruturantes do processo executivo: proporcionalidade, menor onerosidade do executado e utilidade da execução. </w:t>
      </w:r>
    </w:p>
    <w:p w14:paraId="0871A9A4" w14:textId="4D1E4410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 xml:space="preserve">Destarte, somente com a avaliação é possível saber se os bens penhorados ultrapassam o necessário para garantir o crédito, evitando constrição desarrazoada e danos indevidos ao executado, </w:t>
      </w:r>
      <w:proofErr w:type="spellStart"/>
      <w:r w:rsidRPr="00B0342A">
        <w:rPr>
          <w:rFonts w:ascii="Times New Roman" w:hAnsi="Times New Roman" w:cs="Times New Roman"/>
          <w:i/>
          <w:iCs/>
        </w:rPr>
        <w:t>concessa</w:t>
      </w:r>
      <w:proofErr w:type="spellEnd"/>
      <w:r w:rsidRPr="00B034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0342A">
        <w:rPr>
          <w:rFonts w:ascii="Times New Roman" w:hAnsi="Times New Roman" w:cs="Times New Roman"/>
          <w:i/>
          <w:iCs/>
        </w:rPr>
        <w:t>venia</w:t>
      </w:r>
      <w:proofErr w:type="spellEnd"/>
      <w:r w:rsidRPr="00B0342A">
        <w:rPr>
          <w:rFonts w:ascii="Times New Roman" w:hAnsi="Times New Roman" w:cs="Times New Roman"/>
        </w:rPr>
        <w:t>.</w:t>
      </w:r>
    </w:p>
    <w:p w14:paraId="20B67750" w14:textId="1D25F17B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B0342A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B0342A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B0342A">
        <w:rPr>
          <w:rFonts w:ascii="Times New Roman" w:hAnsi="Times New Roman" w:cs="Times New Roman"/>
        </w:rPr>
        <w:t>, o executado requer:</w:t>
      </w:r>
    </w:p>
    <w:p w14:paraId="4F966DEB" w14:textId="41E77528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B0342A">
        <w:rPr>
          <w:rFonts w:ascii="Times New Roman" w:hAnsi="Times New Roman" w:cs="Times New Roman"/>
        </w:rPr>
        <w:t>seja determinado que se realizem de imediato as avaliações, a princípio, preferencialmente por Oficial de Justiça, dos seguintes imóveis penhorados:</w:t>
      </w:r>
    </w:p>
    <w:p w14:paraId="7ED911F0" w14:textId="37D5CE61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B0342A">
        <w:rPr>
          <w:rFonts w:ascii="Times New Roman" w:hAnsi="Times New Roman" w:cs="Times New Roman"/>
        </w:rPr>
        <w:t xml:space="preserve">Matrícula n.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>];</w:t>
      </w:r>
    </w:p>
    <w:p w14:paraId="4AB5C2FA" w14:textId="3840FFDE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B0342A">
        <w:rPr>
          <w:rFonts w:ascii="Times New Roman" w:hAnsi="Times New Roman" w:cs="Times New Roman"/>
        </w:rPr>
        <w:t xml:space="preserve">Matrícula n.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 e Matrícula n.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>];</w:t>
      </w:r>
    </w:p>
    <w:p w14:paraId="0CB7F600" w14:textId="636F61D6" w:rsidR="00B0342A" w:rsidRPr="00B0342A" w:rsidRDefault="00B0342A" w:rsidP="00B0342A">
      <w:pPr>
        <w:ind w:right="-568"/>
        <w:jc w:val="both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B0342A">
        <w:rPr>
          <w:rFonts w:ascii="Times New Roman" w:hAnsi="Times New Roman" w:cs="Times New Roman"/>
        </w:rPr>
        <w:t xml:space="preserve">seja apreciada e acolhida a impugnação à avaliação trazida no evento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, para determinar que outra seja realizada em conformidade com a realidade/metragem do imóvel objeto da Matrícula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 [CRI de </w:t>
      </w:r>
      <w:r>
        <w:rPr>
          <w:rFonts w:ascii="Times New Roman" w:hAnsi="Times New Roman" w:cs="Times New Roman"/>
        </w:rPr>
        <w:t>...</w:t>
      </w:r>
      <w:r w:rsidRPr="00B0342A">
        <w:rPr>
          <w:rFonts w:ascii="Times New Roman" w:hAnsi="Times New Roman" w:cs="Times New Roman"/>
        </w:rPr>
        <w:t xml:space="preserve">], vez que latente o erro da avaliação por metragem inferir ao informado na matrícula, </w:t>
      </w:r>
      <w:proofErr w:type="spellStart"/>
      <w:r w:rsidRPr="00B0342A">
        <w:rPr>
          <w:rFonts w:ascii="Times New Roman" w:hAnsi="Times New Roman" w:cs="Times New Roman"/>
          <w:i/>
          <w:iCs/>
        </w:rPr>
        <w:t>ex</w:t>
      </w:r>
      <w:proofErr w:type="spellEnd"/>
      <w:r w:rsidRPr="00B0342A">
        <w:rPr>
          <w:rFonts w:ascii="Times New Roman" w:hAnsi="Times New Roman" w:cs="Times New Roman"/>
          <w:i/>
          <w:iCs/>
        </w:rPr>
        <w:t xml:space="preserve"> vi</w:t>
      </w:r>
      <w:r w:rsidRPr="00B0342A">
        <w:rPr>
          <w:rFonts w:ascii="Times New Roman" w:hAnsi="Times New Roman" w:cs="Times New Roman"/>
        </w:rPr>
        <w:t xml:space="preserve"> art. 873,</w:t>
      </w:r>
      <w:r>
        <w:rPr>
          <w:rFonts w:ascii="Times New Roman" w:hAnsi="Times New Roman" w:cs="Times New Roman"/>
        </w:rPr>
        <w:t xml:space="preserve"> </w:t>
      </w:r>
      <w:r w:rsidRPr="00B0342A">
        <w:rPr>
          <w:rFonts w:ascii="Times New Roman" w:hAnsi="Times New Roman" w:cs="Times New Roman"/>
        </w:rPr>
        <w:t>I e III do CPC</w:t>
      </w:r>
      <w:r w:rsidR="00C33ACF">
        <w:rPr>
          <w:rStyle w:val="Refdenotaderodap"/>
          <w:rFonts w:ascii="Times New Roman" w:hAnsi="Times New Roman" w:cs="Times New Roman"/>
        </w:rPr>
        <w:footnoteReference w:id="4"/>
      </w:r>
      <w:r w:rsidRPr="00B0342A">
        <w:rPr>
          <w:rFonts w:ascii="Times New Roman" w:hAnsi="Times New Roman" w:cs="Times New Roman"/>
        </w:rPr>
        <w:t xml:space="preserve">.    </w:t>
      </w:r>
    </w:p>
    <w:p w14:paraId="08650A23" w14:textId="1C29FBFA" w:rsidR="00B0342A" w:rsidRPr="00B0342A" w:rsidRDefault="00B0342A" w:rsidP="00B0342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B0342A">
        <w:rPr>
          <w:rFonts w:ascii="Times New Roman" w:hAnsi="Times New Roman" w:cs="Times New Roman"/>
        </w:rPr>
        <w:lastRenderedPageBreak/>
        <w:t>P</w:t>
      </w:r>
      <w:r>
        <w:rPr>
          <w:rFonts w:ascii="Times New Roman" w:hAnsi="Times New Roman" w:cs="Times New Roman"/>
        </w:rPr>
        <w:t>ede</w:t>
      </w:r>
      <w:r w:rsidRPr="00B0342A">
        <w:rPr>
          <w:rFonts w:ascii="Times New Roman" w:hAnsi="Times New Roman" w:cs="Times New Roman"/>
        </w:rPr>
        <w:t xml:space="preserve"> Deferimento.</w:t>
      </w:r>
    </w:p>
    <w:p w14:paraId="64F426F1" w14:textId="449ED0E3" w:rsidR="00B0342A" w:rsidRDefault="00B0342A" w:rsidP="00B0342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42D85B0A" w14:textId="29ED3D17" w:rsidR="00B0342A" w:rsidRPr="00B0342A" w:rsidRDefault="00B0342A" w:rsidP="00B0342A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B0342A" w:rsidRPr="00B034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D7A5D" w14:textId="77777777" w:rsidR="000D7BD0" w:rsidRDefault="000D7BD0" w:rsidP="00B0342A">
      <w:pPr>
        <w:spacing w:after="0" w:line="240" w:lineRule="auto"/>
      </w:pPr>
      <w:r>
        <w:separator/>
      </w:r>
    </w:p>
  </w:endnote>
  <w:endnote w:type="continuationSeparator" w:id="0">
    <w:p w14:paraId="60201E4E" w14:textId="77777777" w:rsidR="000D7BD0" w:rsidRDefault="000D7BD0" w:rsidP="00B03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E5BAD" w14:textId="77777777" w:rsidR="000D7BD0" w:rsidRDefault="000D7BD0" w:rsidP="00B0342A">
      <w:pPr>
        <w:spacing w:after="0" w:line="240" w:lineRule="auto"/>
      </w:pPr>
      <w:r>
        <w:separator/>
      </w:r>
    </w:p>
  </w:footnote>
  <w:footnote w:type="continuationSeparator" w:id="0">
    <w:p w14:paraId="3571AF94" w14:textId="77777777" w:rsidR="000D7BD0" w:rsidRDefault="000D7BD0" w:rsidP="00B0342A">
      <w:pPr>
        <w:spacing w:after="0" w:line="240" w:lineRule="auto"/>
      </w:pPr>
      <w:r>
        <w:continuationSeparator/>
      </w:r>
    </w:p>
  </w:footnote>
  <w:footnote w:id="1">
    <w:p w14:paraId="433363CC" w14:textId="4C0C5C7D" w:rsidR="00B0342A" w:rsidRPr="00C33ACF" w:rsidRDefault="00B0342A" w:rsidP="00C33AC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3ACF">
        <w:rPr>
          <w:rStyle w:val="Refdenotaderodap"/>
          <w:rFonts w:ascii="Times New Roman" w:hAnsi="Times New Roman" w:cs="Times New Roman"/>
        </w:rPr>
        <w:footnoteRef/>
      </w:r>
      <w:r w:rsidRPr="00C33ACF">
        <w:rPr>
          <w:rFonts w:ascii="Times New Roman" w:hAnsi="Times New Roman" w:cs="Times New Roman"/>
        </w:rPr>
        <w:t xml:space="preserve"> </w:t>
      </w:r>
      <w:r w:rsidRPr="00C33ACF">
        <w:rPr>
          <w:rFonts w:ascii="Times New Roman" w:hAnsi="Times New Roman" w:cs="Times New Roman"/>
        </w:rPr>
        <w:t>Júnior, HUMBERTO THEODORO, Curso de Direito Processual Civil, v. II, Execução, Rio de Janeiro: Forense, 59ª ed., 2025, p.178.</w:t>
      </w:r>
    </w:p>
  </w:footnote>
  <w:footnote w:id="2">
    <w:p w14:paraId="5C5F34F2" w14:textId="1A39782C" w:rsidR="00B0342A" w:rsidRPr="00C33ACF" w:rsidRDefault="00B0342A" w:rsidP="00C33AC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3ACF">
        <w:rPr>
          <w:rStyle w:val="Refdenotaderodap"/>
          <w:rFonts w:ascii="Times New Roman" w:hAnsi="Times New Roman" w:cs="Times New Roman"/>
        </w:rPr>
        <w:footnoteRef/>
      </w:r>
      <w:r w:rsidRPr="00C33ACF">
        <w:rPr>
          <w:rFonts w:ascii="Times New Roman" w:hAnsi="Times New Roman" w:cs="Times New Roman"/>
        </w:rPr>
        <w:t xml:space="preserve"> </w:t>
      </w:r>
      <w:r w:rsidRPr="00C33ACF">
        <w:rPr>
          <w:rFonts w:ascii="Times New Roman" w:hAnsi="Times New Roman" w:cs="Times New Roman"/>
        </w:rPr>
        <w:t xml:space="preserve">JR. </w:t>
      </w:r>
      <w:proofErr w:type="spellStart"/>
      <w:r w:rsidRPr="00C33ACF">
        <w:rPr>
          <w:rFonts w:ascii="Times New Roman" w:hAnsi="Times New Roman" w:cs="Times New Roman"/>
        </w:rPr>
        <w:t>Fredie</w:t>
      </w:r>
      <w:proofErr w:type="spellEnd"/>
      <w:r w:rsidRPr="00C33ACF">
        <w:rPr>
          <w:rFonts w:ascii="Times New Roman" w:hAnsi="Times New Roman" w:cs="Times New Roman"/>
        </w:rPr>
        <w:t xml:space="preserve"> Didier e CARNEIRO DA CUNHA, Leonardo em Curso de Direito Processual Civil, Execução, vol. V, Salvador: Ed. </w:t>
      </w:r>
      <w:proofErr w:type="spellStart"/>
      <w:r w:rsidRPr="00C33ACF">
        <w:rPr>
          <w:rFonts w:ascii="Times New Roman" w:hAnsi="Times New Roman" w:cs="Times New Roman"/>
        </w:rPr>
        <w:t>JusPODIM</w:t>
      </w:r>
      <w:proofErr w:type="spellEnd"/>
      <w:r w:rsidRPr="00C33ACF">
        <w:rPr>
          <w:rFonts w:ascii="Times New Roman" w:hAnsi="Times New Roman" w:cs="Times New Roman"/>
        </w:rPr>
        <w:t>, p. 212.</w:t>
      </w:r>
    </w:p>
  </w:footnote>
  <w:footnote w:id="3">
    <w:p w14:paraId="45C2CB77" w14:textId="63146F2E" w:rsidR="00B0342A" w:rsidRPr="00C33ACF" w:rsidRDefault="00B0342A" w:rsidP="00C33AC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3ACF">
        <w:rPr>
          <w:rStyle w:val="Refdenotaderodap"/>
          <w:rFonts w:ascii="Times New Roman" w:hAnsi="Times New Roman" w:cs="Times New Roman"/>
        </w:rPr>
        <w:footnoteRef/>
      </w:r>
      <w:r w:rsidRPr="00C33ACF">
        <w:rPr>
          <w:rFonts w:ascii="Times New Roman" w:hAnsi="Times New Roman" w:cs="Times New Roman"/>
        </w:rPr>
        <w:t xml:space="preserve"> </w:t>
      </w:r>
      <w:r w:rsidRPr="00C33ACF">
        <w:rPr>
          <w:rFonts w:ascii="Times New Roman" w:hAnsi="Times New Roman" w:cs="Times New Roman"/>
        </w:rPr>
        <w:t>DIAS Araken em Manual de Execução, 22ª ed., 2024, São Paulo: Ed. Revista dos Tribunais, p. 107.</w:t>
      </w:r>
    </w:p>
  </w:footnote>
  <w:footnote w:id="4">
    <w:p w14:paraId="4309323F" w14:textId="35E943AB" w:rsidR="00C33ACF" w:rsidRPr="00C33ACF" w:rsidRDefault="00C33ACF" w:rsidP="00C33ACF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33ACF">
        <w:rPr>
          <w:rStyle w:val="Refdenotaderodap"/>
          <w:rFonts w:ascii="Times New Roman" w:hAnsi="Times New Roman" w:cs="Times New Roman"/>
        </w:rPr>
        <w:footnoteRef/>
      </w:r>
      <w:r w:rsidRPr="00C33ACF">
        <w:rPr>
          <w:rFonts w:ascii="Times New Roman" w:hAnsi="Times New Roman" w:cs="Times New Roman"/>
        </w:rPr>
        <w:t xml:space="preserve"> </w:t>
      </w:r>
      <w:r w:rsidRPr="00C33ACF">
        <w:rPr>
          <w:rFonts w:ascii="Times New Roman" w:hAnsi="Times New Roman" w:cs="Times New Roman"/>
        </w:rPr>
        <w:t>A realização de nova avaliação do bem penhorado é medida excepcional, admitida exclusivamente nas hipóteses previstas no art. 873 do Código de Processo Civil. No caso, o laudo de avaliação apresentado limita-se a indicar o valor global do imóvel, sem detalhamento acerca de suas condições físicas, existência de benfeitorias, tipo de solo ou aptidão produtiva, elementos essenciais para a correta apuração do valor de mercado. O exequente fundamentou, mediante pesquisa imobiliária, a existência de considerável diferença entre o valor atribuído na avaliação judicial e os valores praticados na região, evidenciando fundadas dúvidas quanto à suficiência técnica do laudo. Caracterizada a hipótese do inciso III do art. 873 do CPC, impõe-se a realização de nova avaliação, a ser efetuada por perito nomeado pelo juízo de origem, com descrição detalhada do bem, para garantia de segurança jurídica e proteção dos interesses das partes [TJMG, Apel. Cível 5234771-83.2024.8.13.0024, 16ª Câmara Cível, Rel. Des. Tiago Pinto, DJEN 03.12.25].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7F0759"/>
    <w:multiLevelType w:val="hybridMultilevel"/>
    <w:tmpl w:val="E5A22DB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50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2A"/>
    <w:rsid w:val="000D7BD0"/>
    <w:rsid w:val="002611B7"/>
    <w:rsid w:val="00B0342A"/>
    <w:rsid w:val="00C3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B13C4"/>
  <w15:chartTrackingRefBased/>
  <w15:docId w15:val="{D6024AE4-5B7B-4534-A103-056F124B3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034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034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034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034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034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034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034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034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034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034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034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034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034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0342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034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034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034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034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034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034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034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034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034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034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034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0342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034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0342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0342A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0342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0342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034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C0167-8CF0-4EC7-9F35-CC04E10A2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648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2025-12-12T17:30:00Z</dcterms:created>
  <dcterms:modified xsi:type="dcterms:W3CDTF">2025-12-12T17:42:00Z</dcterms:modified>
</cp:coreProperties>
</file>