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BB5E2" w14:textId="77777777" w:rsidR="009734ED" w:rsidRPr="009734ED" w:rsidRDefault="009734ED" w:rsidP="009734ED">
      <w:pPr>
        <w:spacing w:after="0" w:line="240" w:lineRule="auto"/>
        <w:ind w:right="-567"/>
        <w:jc w:val="center"/>
        <w:rPr>
          <w:rFonts w:ascii="Arial Black" w:hAnsi="Arial Black" w:cs="Times New Roman"/>
        </w:rPr>
      </w:pPr>
      <w:r w:rsidRPr="009734ED">
        <w:rPr>
          <w:rFonts w:ascii="Arial Black" w:hAnsi="Arial Black" w:cs="Times New Roman"/>
        </w:rPr>
        <w:t>MODELO DE PETIÇÃO</w:t>
      </w:r>
    </w:p>
    <w:p w14:paraId="269D62B0" w14:textId="77777777" w:rsidR="009734ED" w:rsidRPr="009734ED" w:rsidRDefault="009734ED" w:rsidP="009734ED">
      <w:pPr>
        <w:spacing w:after="0" w:line="240" w:lineRule="auto"/>
        <w:ind w:right="-567"/>
        <w:jc w:val="center"/>
        <w:rPr>
          <w:rFonts w:ascii="Arial Black" w:hAnsi="Arial Black" w:cs="Times New Roman"/>
        </w:rPr>
      </w:pPr>
      <w:r w:rsidRPr="009734ED">
        <w:rPr>
          <w:rFonts w:ascii="Arial Black" w:hAnsi="Arial Black" w:cs="Times New Roman"/>
        </w:rPr>
        <w:t>EMBARGOS À EXECUÇÃO FISCAL. SUBSTITUIÇÃO TRIBUTÁRIA.</w:t>
      </w:r>
    </w:p>
    <w:p w14:paraId="282328C7" w14:textId="08B1C912" w:rsidR="009734ED" w:rsidRPr="009734ED" w:rsidRDefault="009734ED" w:rsidP="009734ED">
      <w:pPr>
        <w:spacing w:after="0" w:line="240" w:lineRule="auto"/>
        <w:ind w:right="-567"/>
        <w:jc w:val="center"/>
        <w:rPr>
          <w:rFonts w:ascii="Arial Black" w:hAnsi="Arial Black" w:cs="Times New Roman"/>
        </w:rPr>
      </w:pPr>
      <w:r w:rsidRPr="009734ED">
        <w:rPr>
          <w:rFonts w:ascii="Arial Black" w:hAnsi="Arial Black" w:cs="Times New Roman"/>
        </w:rPr>
        <w:t>POSTO DE GASOLINA.</w:t>
      </w:r>
      <w:r w:rsidRPr="009734ED">
        <w:rPr>
          <w:rFonts w:ascii="Arial Black" w:hAnsi="Arial Black" w:cs="Times New Roman"/>
        </w:rPr>
        <w:t xml:space="preserve"> </w:t>
      </w:r>
      <w:r w:rsidRPr="009734ED">
        <w:rPr>
          <w:rFonts w:ascii="Arial Black" w:hAnsi="Arial Black" w:cs="Times New Roman"/>
        </w:rPr>
        <w:t>ERRO ADMINISTRATIVO NA EMISSÃO DE NOTAS FISCAIS.</w:t>
      </w:r>
      <w:r>
        <w:rPr>
          <w:rFonts w:ascii="Arial Black" w:hAnsi="Arial Black" w:cs="Times New Roman"/>
        </w:rPr>
        <w:t xml:space="preserve"> </w:t>
      </w:r>
      <w:r w:rsidRPr="009734ED">
        <w:rPr>
          <w:rFonts w:ascii="Arial Black" w:hAnsi="Arial Black" w:cs="Times New Roman"/>
        </w:rPr>
        <w:t>INEXISTÊNCIA DE DESVIO FÍSICO DE COMBUSTÍVEL.</w:t>
      </w:r>
      <w:r w:rsidRPr="009734ED">
        <w:rPr>
          <w:rFonts w:ascii="Arial Black" w:hAnsi="Arial Black" w:cs="Times New Roman"/>
        </w:rPr>
        <w:t xml:space="preserve"> </w:t>
      </w:r>
      <w:r w:rsidRPr="009734ED">
        <w:rPr>
          <w:rFonts w:ascii="Arial Black" w:hAnsi="Arial Black" w:cs="Times New Roman"/>
        </w:rPr>
        <w:t>PROVA PERICIAL E PROVA TESTEMUNHAL.</w:t>
      </w:r>
      <w:r w:rsidRPr="009734ED">
        <w:rPr>
          <w:rFonts w:ascii="Arial Black" w:hAnsi="Arial Black" w:cs="Times New Roman"/>
        </w:rPr>
        <w:t xml:space="preserve"> </w:t>
      </w:r>
      <w:r w:rsidRPr="009734ED">
        <w:rPr>
          <w:rFonts w:ascii="Arial Black" w:hAnsi="Arial Black" w:cs="Times New Roman"/>
        </w:rPr>
        <w:t>EFEITO INFRINGENTE. EMBARGOS DE DECLARAÇÃO</w:t>
      </w:r>
    </w:p>
    <w:p w14:paraId="67E023CC" w14:textId="77777777" w:rsidR="009734ED" w:rsidRPr="009734ED" w:rsidRDefault="009734ED" w:rsidP="009734ED">
      <w:pPr>
        <w:spacing w:after="0" w:line="240" w:lineRule="auto"/>
        <w:ind w:right="-567"/>
        <w:jc w:val="right"/>
        <w:rPr>
          <w:rFonts w:ascii="Arial Black" w:hAnsi="Arial Black" w:cs="Times New Roman"/>
        </w:rPr>
      </w:pPr>
      <w:proofErr w:type="spellStart"/>
      <w:r w:rsidRPr="009734ED">
        <w:rPr>
          <w:rFonts w:ascii="Arial Black" w:hAnsi="Arial Black" w:cs="Times New Roman"/>
        </w:rPr>
        <w:t>Rénan</w:t>
      </w:r>
      <w:proofErr w:type="spellEnd"/>
      <w:r w:rsidRPr="009734ED">
        <w:rPr>
          <w:rFonts w:ascii="Arial Black" w:hAnsi="Arial Black" w:cs="Times New Roman"/>
        </w:rPr>
        <w:t xml:space="preserve"> </w:t>
      </w:r>
      <w:proofErr w:type="spellStart"/>
      <w:r w:rsidRPr="009734ED">
        <w:rPr>
          <w:rFonts w:ascii="Arial Black" w:hAnsi="Arial Black" w:cs="Times New Roman"/>
        </w:rPr>
        <w:t>Kfuri</w:t>
      </w:r>
      <w:proofErr w:type="spellEnd"/>
      <w:r w:rsidRPr="009734ED">
        <w:rPr>
          <w:rFonts w:ascii="Arial Black" w:hAnsi="Arial Black" w:cs="Times New Roman"/>
        </w:rPr>
        <w:t xml:space="preserve"> Lopes</w:t>
      </w:r>
    </w:p>
    <w:p w14:paraId="448EAC95" w14:textId="77777777" w:rsidR="009734ED" w:rsidRDefault="009734ED" w:rsidP="009734ED">
      <w:pPr>
        <w:ind w:right="-568"/>
        <w:jc w:val="both"/>
        <w:rPr>
          <w:rFonts w:ascii="Times New Roman" w:hAnsi="Times New Roman" w:cs="Times New Roman"/>
        </w:rPr>
      </w:pPr>
    </w:p>
    <w:p w14:paraId="58AA5629" w14:textId="77777777" w:rsidR="009734ED" w:rsidRDefault="009734ED" w:rsidP="009734ED">
      <w:pPr>
        <w:ind w:right="-568"/>
        <w:jc w:val="both"/>
        <w:rPr>
          <w:rFonts w:ascii="Times New Roman" w:hAnsi="Times New Roman" w:cs="Times New Roman"/>
        </w:rPr>
      </w:pPr>
      <w:r w:rsidRPr="009734ED">
        <w:rPr>
          <w:rFonts w:ascii="Times New Roman" w:hAnsi="Times New Roman" w:cs="Times New Roman"/>
        </w:rPr>
        <w:t>E</w:t>
      </w:r>
      <w:r>
        <w:rPr>
          <w:rFonts w:ascii="Times New Roman" w:hAnsi="Times New Roman" w:cs="Times New Roman"/>
        </w:rPr>
        <w:t>xma. Sra. Juíza de Direito da ... Vara Empresarial da Comarca de ...</w:t>
      </w:r>
    </w:p>
    <w:p w14:paraId="711A5D7F" w14:textId="2D276CDB"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PROCESSO Nº: </w:t>
      </w:r>
      <w:r>
        <w:rPr>
          <w:rFonts w:ascii="Times New Roman" w:hAnsi="Times New Roman" w:cs="Times New Roman"/>
        </w:rPr>
        <w:t>...</w:t>
      </w:r>
    </w:p>
    <w:p w14:paraId="1B81CD25" w14:textId="7777777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CLASSE: EMBARGOS À EXECUÇÃO FISCAL</w:t>
      </w:r>
    </w:p>
    <w:p w14:paraId="5DA7CF98" w14:textId="151EEE0E"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EMBARGANTES: </w:t>
      </w:r>
      <w:r>
        <w:rPr>
          <w:rFonts w:ascii="Times New Roman" w:hAnsi="Times New Roman" w:cs="Times New Roman"/>
        </w:rPr>
        <w:t>..</w:t>
      </w:r>
      <w:r w:rsidRPr="009734ED">
        <w:rPr>
          <w:rFonts w:ascii="Times New Roman" w:hAnsi="Times New Roman" w:cs="Times New Roman"/>
        </w:rPr>
        <w:t>. E OUTROS</w:t>
      </w:r>
    </w:p>
    <w:p w14:paraId="09D3DB2E" w14:textId="0D19F5C8"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EMBARGADO: ESTADO DE </w:t>
      </w:r>
      <w:r>
        <w:rPr>
          <w:rFonts w:ascii="Times New Roman" w:hAnsi="Times New Roman" w:cs="Times New Roman"/>
        </w:rPr>
        <w:t>...</w:t>
      </w:r>
    </w:p>
    <w:p w14:paraId="1F8C28D6" w14:textId="4ABF4B38"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SENTENÇA EMBARGADA: ID </w:t>
      </w:r>
      <w:r>
        <w:rPr>
          <w:rFonts w:ascii="Times New Roman" w:hAnsi="Times New Roman" w:cs="Times New Roman"/>
        </w:rPr>
        <w:t>...</w:t>
      </w:r>
    </w:p>
    <w:p w14:paraId="55571F01" w14:textId="776DF2CE"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EMBARGOS DE DECLARAÇÃO</w:t>
      </w:r>
      <w:r>
        <w:rPr>
          <w:rFonts w:ascii="Times New Roman" w:hAnsi="Times New Roman" w:cs="Times New Roman"/>
        </w:rPr>
        <w:t xml:space="preserve"> </w:t>
      </w:r>
      <w:r w:rsidRPr="009734ED">
        <w:rPr>
          <w:rFonts w:ascii="Times New Roman" w:hAnsi="Times New Roman" w:cs="Times New Roman"/>
        </w:rPr>
        <w:t>com pedido de efeitos infringentes</w:t>
      </w:r>
    </w:p>
    <w:p w14:paraId="4CBD94DF" w14:textId="7568E3D8" w:rsidR="009734ED" w:rsidRPr="009734ED" w:rsidRDefault="009734ED" w:rsidP="009734ED">
      <w:pPr>
        <w:ind w:right="-568"/>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nome(</w:t>
      </w:r>
      <w:proofErr w:type="gramEnd"/>
      <w:r w:rsidRPr="009734ED">
        <w:rPr>
          <w:rFonts w:ascii="Times New Roman" w:hAnsi="Times New Roman" w:cs="Times New Roman"/>
        </w:rPr>
        <w:t xml:space="preserve">, embargante, nos autos dos EMBARGOS À EXECUÇÃO FISCAL epigrafados, por seu advogado </w:t>
      </w:r>
      <w:r w:rsidRPr="009734ED">
        <w:rPr>
          <w:rFonts w:ascii="Times New Roman" w:hAnsi="Times New Roman" w:cs="Times New Roman"/>
          <w:i/>
          <w:iCs/>
        </w:rPr>
        <w:t>in fine</w:t>
      </w:r>
      <w:r w:rsidRPr="009734ED">
        <w:rPr>
          <w:rFonts w:ascii="Times New Roman" w:hAnsi="Times New Roman" w:cs="Times New Roman"/>
        </w:rPr>
        <w:t xml:space="preserve"> assinado, vem, respeitosamente, com fundamento nos </w:t>
      </w:r>
      <w:proofErr w:type="spellStart"/>
      <w:r w:rsidRPr="009734ED">
        <w:rPr>
          <w:rFonts w:ascii="Times New Roman" w:hAnsi="Times New Roman" w:cs="Times New Roman"/>
        </w:rPr>
        <w:t>arts</w:t>
      </w:r>
      <w:proofErr w:type="spellEnd"/>
      <w:r w:rsidRPr="009734ED">
        <w:rPr>
          <w:rFonts w:ascii="Times New Roman" w:hAnsi="Times New Roman" w:cs="Times New Roman"/>
        </w:rPr>
        <w:t xml:space="preserve">. 1.022, incisos I e II, 489, § 1º, IV, 371, 479 e 1.025 do Código de Processo Civil, opor os presentes EMBARGOS DE DECLARAÇÃO contra a r. sentença de ID </w:t>
      </w:r>
      <w:r>
        <w:rPr>
          <w:rFonts w:ascii="Times New Roman" w:hAnsi="Times New Roman" w:cs="Times New Roman"/>
        </w:rPr>
        <w:t>...</w:t>
      </w:r>
      <w:r w:rsidRPr="009734ED">
        <w:rPr>
          <w:rFonts w:ascii="Times New Roman" w:hAnsi="Times New Roman" w:cs="Times New Roman"/>
        </w:rPr>
        <w:t>, pelas omissões e contradições internas adiante demonstradas, vícios que recaem precisamente sobre a leitura do laudo pericial, dos esclarecimentos complementares, do Livro de Movimentação de Combustíveis e da prova testemunhal, e que, uma vez sanados, possuem aptidão para alterar o resultado do julgamento, pelo que passa a expor:</w:t>
      </w:r>
    </w:p>
    <w:p w14:paraId="257CCB67" w14:textId="53F9C85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SUMÁRIO</w:t>
      </w:r>
    </w:p>
    <w:p w14:paraId="3F93E1F8" w14:textId="78F76DC1"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1.</w:t>
      </w:r>
      <w:r>
        <w:rPr>
          <w:rFonts w:ascii="Times New Roman" w:hAnsi="Times New Roman" w:cs="Times New Roman"/>
        </w:rPr>
        <w:t xml:space="preserve"> </w:t>
      </w:r>
      <w:r w:rsidRPr="009734ED">
        <w:rPr>
          <w:rFonts w:ascii="Times New Roman" w:hAnsi="Times New Roman" w:cs="Times New Roman"/>
        </w:rPr>
        <w:t>O cabimento: da contradição interna e da omissão da r. sentença</w:t>
      </w:r>
    </w:p>
    <w:p w14:paraId="2750BFBC" w14:textId="3902A19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2.A premissa probatória incontroversa: inexistência de aquisição de combustível fora da cadeia </w:t>
      </w:r>
      <w:r>
        <w:rPr>
          <w:rFonts w:ascii="Times New Roman" w:hAnsi="Times New Roman" w:cs="Times New Roman"/>
        </w:rPr>
        <w:t>...</w:t>
      </w:r>
    </w:p>
    <w:p w14:paraId="5FD86490" w14:textId="7D5EF9C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3. O controle físico do combustível: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das bombas, LMC e convergência com a prova oral</w:t>
      </w:r>
    </w:p>
    <w:p w14:paraId="0B96DD47" w14:textId="5C5E0ECB"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4. A prova testemunhal: </w:t>
      </w:r>
      <w:r>
        <w:rPr>
          <w:rFonts w:ascii="Times New Roman" w:hAnsi="Times New Roman" w:cs="Times New Roman"/>
        </w:rPr>
        <w:t>...</w:t>
      </w:r>
      <w:r w:rsidRPr="009734ED">
        <w:rPr>
          <w:rFonts w:ascii="Times New Roman" w:hAnsi="Times New Roman" w:cs="Times New Roman"/>
        </w:rPr>
        <w:t xml:space="preserve">, </w:t>
      </w:r>
      <w:r>
        <w:rPr>
          <w:rFonts w:ascii="Times New Roman" w:hAnsi="Times New Roman" w:cs="Times New Roman"/>
        </w:rPr>
        <w:t>...</w:t>
      </w:r>
      <w:r w:rsidRPr="009734ED">
        <w:rPr>
          <w:rFonts w:ascii="Times New Roman" w:hAnsi="Times New Roman" w:cs="Times New Roman"/>
        </w:rPr>
        <w:t xml:space="preserve"> e </w:t>
      </w:r>
      <w:r>
        <w:rPr>
          <w:rFonts w:ascii="Times New Roman" w:hAnsi="Times New Roman" w:cs="Times New Roman"/>
        </w:rPr>
        <w:t>...</w:t>
      </w:r>
    </w:p>
    <w:p w14:paraId="35B3B506" w14:textId="1F6A596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5. A verdadeira extensão das conclusões periciais: diferenças escriturais </w:t>
      </w:r>
      <w:r w:rsidRPr="009734ED">
        <w:rPr>
          <w:rFonts w:ascii="Times New Roman" w:hAnsi="Times New Roman" w:cs="Times New Roman"/>
        </w:rPr>
        <w:tab/>
        <w:t>não equivalem a aquisição clandestina nem a ICMS não recolhido</w:t>
      </w:r>
    </w:p>
    <w:p w14:paraId="4A3484EA" w14:textId="2FCB1FA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6. A omissão quanto ao erro de emissão das notas fiscais e à ausência de </w:t>
      </w:r>
      <w:r w:rsidRPr="009734ED">
        <w:rPr>
          <w:rFonts w:ascii="Times New Roman" w:hAnsi="Times New Roman" w:cs="Times New Roman"/>
        </w:rPr>
        <w:tab/>
        <w:t>demonstração</w:t>
      </w:r>
      <w:r>
        <w:rPr>
          <w:rFonts w:ascii="Times New Roman" w:hAnsi="Times New Roman" w:cs="Times New Roman"/>
        </w:rPr>
        <w:t xml:space="preserve"> </w:t>
      </w:r>
      <w:r w:rsidRPr="009734ED">
        <w:rPr>
          <w:rFonts w:ascii="Times New Roman" w:hAnsi="Times New Roman" w:cs="Times New Roman"/>
        </w:rPr>
        <w:t>do fato gerador presumido</w:t>
      </w:r>
    </w:p>
    <w:p w14:paraId="5BDBE7C3" w14:textId="2BD4E5A0"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lastRenderedPageBreak/>
        <w:t>7. A contradição nuclear: a sentença reconhece os fatos que infirmam a premissa</w:t>
      </w:r>
      <w:r>
        <w:rPr>
          <w:rFonts w:ascii="Times New Roman" w:hAnsi="Times New Roman" w:cs="Times New Roman"/>
        </w:rPr>
        <w:t xml:space="preserve"> </w:t>
      </w:r>
      <w:r w:rsidRPr="009734ED">
        <w:rPr>
          <w:rFonts w:ascii="Times New Roman" w:hAnsi="Times New Roman" w:cs="Times New Roman"/>
        </w:rPr>
        <w:t>de sonegação e, ao mesmo tempo, mantém a exação fundada nessa mesma premissa</w:t>
      </w:r>
    </w:p>
    <w:p w14:paraId="1E570D1E" w14:textId="5E71282E"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8. Necessidade de integração do julgado e atribuição de efeitos infringentes</w:t>
      </w:r>
    </w:p>
    <w:p w14:paraId="0C9EF33F" w14:textId="361F5BD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9. Prequestionamento</w:t>
      </w:r>
    </w:p>
    <w:p w14:paraId="1797B9C5" w14:textId="0FD16F7B"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10. Pedidos</w:t>
      </w:r>
    </w:p>
    <w:p w14:paraId="32BE6DD2" w14:textId="1A95C793" w:rsidR="009734ED" w:rsidRPr="009734ED" w:rsidRDefault="009734ED" w:rsidP="009734ED">
      <w:pPr>
        <w:ind w:right="-568"/>
        <w:jc w:val="both"/>
        <w:rPr>
          <w:rFonts w:ascii="Times New Roman" w:hAnsi="Times New Roman" w:cs="Times New Roman"/>
          <w:b/>
          <w:bCs/>
        </w:rPr>
      </w:pPr>
      <w:r w:rsidRPr="009734ED">
        <w:rPr>
          <w:rFonts w:ascii="Times New Roman" w:hAnsi="Times New Roman" w:cs="Times New Roman"/>
          <w:b/>
          <w:bCs/>
        </w:rPr>
        <w:t>1.</w:t>
      </w:r>
      <w:r w:rsidRPr="009734ED">
        <w:rPr>
          <w:rFonts w:ascii="Times New Roman" w:hAnsi="Times New Roman" w:cs="Times New Roman"/>
          <w:b/>
          <w:bCs/>
        </w:rPr>
        <w:t xml:space="preserve"> </w:t>
      </w:r>
      <w:r w:rsidRPr="009734ED">
        <w:rPr>
          <w:rFonts w:ascii="Times New Roman" w:hAnsi="Times New Roman" w:cs="Times New Roman"/>
          <w:b/>
          <w:bCs/>
        </w:rPr>
        <w:t>O CABIMENTO: DA CONTRADIÇÃO INTERNA E DA</w:t>
      </w:r>
      <w:r>
        <w:rPr>
          <w:rFonts w:ascii="Times New Roman" w:hAnsi="Times New Roman" w:cs="Times New Roman"/>
          <w:b/>
          <w:bCs/>
        </w:rPr>
        <w:t xml:space="preserve"> </w:t>
      </w:r>
      <w:r w:rsidRPr="009734ED">
        <w:rPr>
          <w:rFonts w:ascii="Times New Roman" w:hAnsi="Times New Roman" w:cs="Times New Roman"/>
          <w:b/>
          <w:bCs/>
        </w:rPr>
        <w:t xml:space="preserve">OMISSÃO DA </w:t>
      </w:r>
      <w:r w:rsidRPr="009734ED">
        <w:rPr>
          <w:rFonts w:ascii="Times New Roman" w:hAnsi="Times New Roman" w:cs="Times New Roman"/>
          <w:b/>
          <w:bCs/>
        </w:rPr>
        <w:tab/>
        <w:t>R.</w:t>
      </w:r>
      <w:r>
        <w:rPr>
          <w:rFonts w:ascii="Times New Roman" w:hAnsi="Times New Roman" w:cs="Times New Roman"/>
          <w:b/>
          <w:bCs/>
        </w:rPr>
        <w:t xml:space="preserve"> </w:t>
      </w:r>
      <w:r w:rsidRPr="009734ED">
        <w:rPr>
          <w:rFonts w:ascii="Times New Roman" w:hAnsi="Times New Roman" w:cs="Times New Roman"/>
          <w:b/>
          <w:bCs/>
        </w:rPr>
        <w:t>SENTENÇA</w:t>
      </w:r>
    </w:p>
    <w:p w14:paraId="4E87CE0E" w14:textId="7F161A41"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Os presentes embargos não traduzem inconformismo genérico, tampouco pretendem substituir o recurso de apelação. O que se aponta é vício intrínseco da própria fundamentação: a decisão relata, acolhe e reputa existentes fatos probatórios que caminham em uma direção e, sem explicar a passagem lógica entre tais premissas e a conclusão, chega a resultado que pressupõe realidade fática diversa. É, portanto, hipótese típica dos incisos I e II do art. 1.022 do CPC.</w:t>
      </w:r>
    </w:p>
    <w:p w14:paraId="470A0935" w14:textId="0DFA373D"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contradição relevante para os </w:t>
      </w:r>
      <w:proofErr w:type="spellStart"/>
      <w:r w:rsidRPr="009734ED">
        <w:rPr>
          <w:rFonts w:ascii="Times New Roman" w:hAnsi="Times New Roman" w:cs="Times New Roman"/>
        </w:rPr>
        <w:t>aclaratórios</w:t>
      </w:r>
      <w:proofErr w:type="spellEnd"/>
      <w:r w:rsidRPr="009734ED">
        <w:rPr>
          <w:rFonts w:ascii="Times New Roman" w:hAnsi="Times New Roman" w:cs="Times New Roman"/>
        </w:rPr>
        <w:t xml:space="preserve"> é a contradição interna do julgado, aquela existente entre premissas, fundamentos e conclusão. E a omissão configura-se quando o pronunciamento deixa de enfrentar argumento ou elemento probatório capaz, em tese, de infirmar a conclusão adotada, especialmente à luz do art. 489, § 1º, IV, do CPC. </w:t>
      </w:r>
    </w:p>
    <w:p w14:paraId="6DBF2077" w14:textId="26F623D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No caso, os dois vícios se entrelaçam: a sentença reconhece a exclusividade da </w:t>
      </w:r>
      <w:r>
        <w:rPr>
          <w:rFonts w:ascii="Times New Roman" w:hAnsi="Times New Roman" w:cs="Times New Roman"/>
        </w:rPr>
        <w:t>...</w:t>
      </w:r>
      <w:r w:rsidRPr="009734ED">
        <w:rPr>
          <w:rFonts w:ascii="Times New Roman" w:hAnsi="Times New Roman" w:cs="Times New Roman"/>
        </w:rPr>
        <w:t xml:space="preserve">, a substituição tributária, os controles mecânicos dos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e a alimentação diária do LMC, mas conclui pela existência de “</w:t>
      </w:r>
      <w:r w:rsidRPr="009734ED">
        <w:rPr>
          <w:rFonts w:ascii="Times New Roman" w:hAnsi="Times New Roman" w:cs="Times New Roman"/>
          <w:i/>
          <w:iCs/>
        </w:rPr>
        <w:t>operações autônomas irregulares</w:t>
      </w:r>
      <w:r w:rsidRPr="009734ED">
        <w:rPr>
          <w:rFonts w:ascii="Times New Roman" w:hAnsi="Times New Roman" w:cs="Times New Roman"/>
        </w:rPr>
        <w:t>” sem individualizar a origem física do combustível supostamente estranho à cadeia regular, nem indicar onde a perícia teria afirmado inexistência de recolhimento do ICMS.</w:t>
      </w:r>
    </w:p>
    <w:p w14:paraId="2ED592B1" w14:textId="4BC9C2A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O art. 371 do CPC exige que a valoração da prova seja motivada, enquanto o art. 479 impõe que o julgador, ao apreciar a prova pericial, explicite as razões pelas quais acolhe ou deixa de acolher as conclusões técnicas. Isso é especialmente sensível quando a decisão atribui ao laudo conteúdo que ele não encerra ou silencia sobre respostas periciais diretamente relacionadas à tese defensiva.</w:t>
      </w:r>
    </w:p>
    <w:p w14:paraId="2D230667" w14:textId="4A640F46" w:rsidR="009734ED" w:rsidRPr="009734ED" w:rsidRDefault="009734ED" w:rsidP="009734ED">
      <w:pPr>
        <w:ind w:right="-568"/>
        <w:jc w:val="both"/>
        <w:rPr>
          <w:rFonts w:ascii="Times New Roman" w:hAnsi="Times New Roman" w:cs="Times New Roman"/>
          <w:b/>
          <w:bCs/>
        </w:rPr>
      </w:pPr>
      <w:r w:rsidRPr="009734ED">
        <w:rPr>
          <w:rFonts w:ascii="Times New Roman" w:hAnsi="Times New Roman" w:cs="Times New Roman"/>
          <w:b/>
          <w:bCs/>
        </w:rPr>
        <w:t>2.</w:t>
      </w:r>
      <w:r w:rsidRPr="009734ED">
        <w:rPr>
          <w:rFonts w:ascii="Times New Roman" w:hAnsi="Times New Roman" w:cs="Times New Roman"/>
          <w:b/>
          <w:bCs/>
        </w:rPr>
        <w:t xml:space="preserve"> </w:t>
      </w:r>
      <w:r w:rsidRPr="009734ED">
        <w:rPr>
          <w:rFonts w:ascii="Times New Roman" w:hAnsi="Times New Roman" w:cs="Times New Roman"/>
          <w:b/>
          <w:bCs/>
        </w:rPr>
        <w:t>A PREMISSA PROBATÓRIA INCONTROVERSA: INEXISTÊNCIA DE AQUISIÇÃO DE COMBUSTÍVEL FORA DA CADEIA TEXACO</w:t>
      </w:r>
    </w:p>
    <w:p w14:paraId="33B973BD" w14:textId="630274CB"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primeira omissão e, simultaneamente, a primeira fonte da contradição interna, está na insuficiente consideração de uma conclusão pericial objetiva e extremamente favorável ao embargante: a perícia não identificou uma única aquisição de combustível de fornecedor estranho à </w:t>
      </w:r>
      <w:r>
        <w:rPr>
          <w:rFonts w:ascii="Times New Roman" w:hAnsi="Times New Roman" w:cs="Times New Roman"/>
        </w:rPr>
        <w:t>...</w:t>
      </w:r>
    </w:p>
    <w:p w14:paraId="065B6683" w14:textId="1AB09CB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No Laudo Pericial originário, ao responder ao quesito 3 formulado pelo embargante, a perita oficial examinou os livros fiscais e os documentos de aquisição constantes da contabilidade do Posto. A resposta foi categórica, no ID </w:t>
      </w:r>
      <w:r>
        <w:rPr>
          <w:rFonts w:ascii="Times New Roman" w:hAnsi="Times New Roman" w:cs="Times New Roman"/>
        </w:rPr>
        <w:t>...</w:t>
      </w:r>
      <w:r w:rsidRPr="009734ED">
        <w:rPr>
          <w:rFonts w:ascii="Times New Roman" w:hAnsi="Times New Roman" w:cs="Times New Roman"/>
        </w:rPr>
        <w:t>:</w:t>
      </w:r>
    </w:p>
    <w:p w14:paraId="7B786EFA" w14:textId="3906DD9E"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9734ED">
        <w:rPr>
          <w:rFonts w:ascii="Times New Roman" w:hAnsi="Times New Roman" w:cs="Times New Roman"/>
          <w:i/>
          <w:iCs/>
        </w:rPr>
        <w:t xml:space="preserve">A resposta é positiva. Não consta dos autos nota fiscal de aquisição de qualquer outra empresa além da </w:t>
      </w:r>
      <w:r>
        <w:rPr>
          <w:rFonts w:ascii="Times New Roman" w:hAnsi="Times New Roman" w:cs="Times New Roman"/>
          <w:i/>
          <w:iCs/>
        </w:rPr>
        <w:t>..</w:t>
      </w:r>
      <w:r w:rsidRPr="009734ED">
        <w:rPr>
          <w:rFonts w:ascii="Times New Roman" w:hAnsi="Times New Roman" w:cs="Times New Roman"/>
        </w:rPr>
        <w:t xml:space="preserve">.”  Laudo Pericial – ID </w:t>
      </w:r>
      <w:r>
        <w:rPr>
          <w:rFonts w:ascii="Times New Roman" w:hAnsi="Times New Roman" w:cs="Times New Roman"/>
        </w:rPr>
        <w:t>...</w:t>
      </w:r>
    </w:p>
    <w:p w14:paraId="4C58230B" w14:textId="0E967DDB"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lastRenderedPageBreak/>
        <w:t xml:space="preserve">A mesma perícia reconheceu, ainda, que as compras junto à </w:t>
      </w:r>
      <w:r>
        <w:rPr>
          <w:rFonts w:ascii="Times New Roman" w:hAnsi="Times New Roman" w:cs="Times New Roman"/>
        </w:rPr>
        <w:t>...</w:t>
      </w:r>
      <w:r w:rsidRPr="009734ED">
        <w:rPr>
          <w:rFonts w:ascii="Times New Roman" w:hAnsi="Times New Roman" w:cs="Times New Roman"/>
        </w:rPr>
        <w:t xml:space="preserve"> estavam representadas por notas fiscais emitidas pela distribuidora e que o regime de recolhimento aplicável era o de substituição tributária, consignando:</w:t>
      </w:r>
    </w:p>
    <w:p w14:paraId="6C453423" w14:textId="613A278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9734ED">
        <w:rPr>
          <w:rFonts w:ascii="Times New Roman" w:hAnsi="Times New Roman" w:cs="Times New Roman"/>
          <w:i/>
          <w:iCs/>
        </w:rPr>
        <w:t xml:space="preserve">As compras destes combustíveis do Posto junto à </w:t>
      </w:r>
      <w:r w:rsidRPr="009734ED">
        <w:rPr>
          <w:rFonts w:ascii="Times New Roman" w:hAnsi="Times New Roman" w:cs="Times New Roman"/>
          <w:i/>
          <w:iCs/>
        </w:rPr>
        <w:t>...</w:t>
      </w:r>
      <w:r w:rsidRPr="009734ED">
        <w:rPr>
          <w:rFonts w:ascii="Times New Roman" w:hAnsi="Times New Roman" w:cs="Times New Roman"/>
          <w:i/>
          <w:iCs/>
        </w:rPr>
        <w:t xml:space="preserve"> eram representadas por notas fiscais emitidas pela vendedora. O sistema tributário para o recolhimento do ICMS é o de Substituição Tributária. Após a compra representada pela nota fiscal, e a sua quitação, a Texaco teria obrigação legal de recolher aos cofres do Estado de </w:t>
      </w:r>
      <w:r w:rsidRPr="009734ED">
        <w:rPr>
          <w:rFonts w:ascii="Times New Roman" w:hAnsi="Times New Roman" w:cs="Times New Roman"/>
          <w:i/>
          <w:iCs/>
        </w:rPr>
        <w:t>...</w:t>
      </w:r>
      <w:r w:rsidRPr="009734ED">
        <w:rPr>
          <w:rFonts w:ascii="Times New Roman" w:hAnsi="Times New Roman" w:cs="Times New Roman"/>
          <w:i/>
          <w:iCs/>
        </w:rPr>
        <w:t xml:space="preserve"> o ICMS retido</w:t>
      </w:r>
      <w:r w:rsidRPr="009734ED">
        <w:rPr>
          <w:rFonts w:ascii="Times New Roman" w:hAnsi="Times New Roman" w:cs="Times New Roman"/>
        </w:rPr>
        <w:t xml:space="preserve">.”  Laudo Pericial – ID </w:t>
      </w:r>
      <w:r>
        <w:rPr>
          <w:rFonts w:ascii="Times New Roman" w:hAnsi="Times New Roman" w:cs="Times New Roman"/>
        </w:rPr>
        <w:t>...</w:t>
      </w:r>
    </w:p>
    <w:p w14:paraId="616018E5" w14:textId="537F0C9F"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Nos esclarecimentos complementares, a prova foi ainda reforçada. O Sr. </w:t>
      </w:r>
      <w:r>
        <w:rPr>
          <w:rFonts w:ascii="Times New Roman" w:hAnsi="Times New Roman" w:cs="Times New Roman"/>
        </w:rPr>
        <w:t>...</w:t>
      </w:r>
      <w:r w:rsidRPr="009734ED">
        <w:rPr>
          <w:rFonts w:ascii="Times New Roman" w:hAnsi="Times New Roman" w:cs="Times New Roman"/>
        </w:rPr>
        <w:t xml:space="preserve">, ex-gerente da </w:t>
      </w:r>
      <w:r>
        <w:rPr>
          <w:rFonts w:ascii="Times New Roman" w:hAnsi="Times New Roman" w:cs="Times New Roman"/>
        </w:rPr>
        <w:t>...</w:t>
      </w:r>
      <w:r w:rsidRPr="009734ED">
        <w:rPr>
          <w:rFonts w:ascii="Times New Roman" w:hAnsi="Times New Roman" w:cs="Times New Roman"/>
        </w:rPr>
        <w:t>, ouvido pela perita e, posteriormente, também em audiência judicial, informou que, durante o período, não foram detectadas irregularidades indicativas de adulteração ou circulação de combustível estranho, que os equipamentos eram submetidos à</w:t>
      </w:r>
      <w:r>
        <w:rPr>
          <w:rFonts w:ascii="Times New Roman" w:hAnsi="Times New Roman" w:cs="Times New Roman"/>
        </w:rPr>
        <w:t xml:space="preserve"> </w:t>
      </w:r>
      <w:r w:rsidRPr="009734ED">
        <w:rPr>
          <w:rFonts w:ascii="Times New Roman" w:hAnsi="Times New Roman" w:cs="Times New Roman"/>
        </w:rPr>
        <w:t xml:space="preserve">fiscalização periódica e que seria impossível a manutenção de tanque clandestino no estabelecimento. Esses esclarecimentos foram incorporados ao Laudo Pericial Complementar, especialmente no ID </w:t>
      </w:r>
      <w:r>
        <w:rPr>
          <w:rFonts w:ascii="Times New Roman" w:hAnsi="Times New Roman" w:cs="Times New Roman"/>
        </w:rPr>
        <w:t>...</w:t>
      </w:r>
    </w:p>
    <w:p w14:paraId="4B21EB8B" w14:textId="2BC603B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9734ED">
        <w:rPr>
          <w:rFonts w:ascii="Times New Roman" w:hAnsi="Times New Roman" w:cs="Times New Roman"/>
          <w:i/>
          <w:iCs/>
        </w:rPr>
        <w:t xml:space="preserve">Durante o ano de </w:t>
      </w:r>
      <w:r w:rsidRPr="009734ED">
        <w:rPr>
          <w:rFonts w:ascii="Times New Roman" w:hAnsi="Times New Roman" w:cs="Times New Roman"/>
          <w:i/>
          <w:iCs/>
        </w:rPr>
        <w:t>...</w:t>
      </w:r>
      <w:r w:rsidRPr="009734ED">
        <w:rPr>
          <w:rFonts w:ascii="Times New Roman" w:hAnsi="Times New Roman" w:cs="Times New Roman"/>
          <w:i/>
          <w:iCs/>
        </w:rPr>
        <w:t xml:space="preserve"> e em qualquer outro ano, jamais foi detectado quaisquer irregularidades, referentes [à] adulteração de produtos neste posto</w:t>
      </w:r>
      <w:r w:rsidRPr="009734ED">
        <w:rPr>
          <w:rFonts w:ascii="Times New Roman" w:hAnsi="Times New Roman" w:cs="Times New Roman"/>
        </w:rPr>
        <w:t xml:space="preserve">.”  Laudo Pericial Complementar – ID </w:t>
      </w:r>
      <w:r>
        <w:rPr>
          <w:rFonts w:ascii="Times New Roman" w:hAnsi="Times New Roman" w:cs="Times New Roman"/>
        </w:rPr>
        <w:t>...</w:t>
      </w:r>
    </w:p>
    <w:p w14:paraId="6F560098" w14:textId="0685DEC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9734ED">
        <w:rPr>
          <w:rFonts w:ascii="Times New Roman" w:hAnsi="Times New Roman" w:cs="Times New Roman"/>
          <w:i/>
          <w:iCs/>
        </w:rPr>
        <w:t xml:space="preserve">Impossível. Trata-se de posto próprio da </w:t>
      </w:r>
      <w:r w:rsidRPr="009734ED">
        <w:rPr>
          <w:rFonts w:ascii="Times New Roman" w:hAnsi="Times New Roman" w:cs="Times New Roman"/>
          <w:i/>
          <w:iCs/>
        </w:rPr>
        <w:t>...</w:t>
      </w:r>
      <w:r w:rsidRPr="009734ED">
        <w:rPr>
          <w:rFonts w:ascii="Times New Roman" w:hAnsi="Times New Roman" w:cs="Times New Roman"/>
          <w:i/>
          <w:iCs/>
        </w:rPr>
        <w:t>, na época, cujo rigor de fiscalização era constante</w:t>
      </w:r>
      <w:r w:rsidRPr="009734ED">
        <w:rPr>
          <w:rFonts w:ascii="Times New Roman" w:hAnsi="Times New Roman" w:cs="Times New Roman"/>
        </w:rPr>
        <w:t xml:space="preserve">.”  Laudo Pericial Complementar – ID </w:t>
      </w:r>
      <w:r>
        <w:rPr>
          <w:rFonts w:ascii="Times New Roman" w:hAnsi="Times New Roman" w:cs="Times New Roman"/>
        </w:rPr>
        <w:t>...</w:t>
      </w:r>
    </w:p>
    <w:p w14:paraId="2EA531FC" w14:textId="58C092F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É indispensável que a sentença integre expressamente esse dado! </w:t>
      </w:r>
    </w:p>
    <w:p w14:paraId="2FF69B63" w14:textId="44B6939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Se o próprio laudo afirma que não existe documento de aquisição de combustível de terceiro; se havia cláusula de exclusividade com a </w:t>
      </w:r>
      <w:r>
        <w:rPr>
          <w:rFonts w:ascii="Times New Roman" w:hAnsi="Times New Roman" w:cs="Times New Roman"/>
        </w:rPr>
        <w:t>...</w:t>
      </w:r>
      <w:r w:rsidRPr="009734ED">
        <w:rPr>
          <w:rFonts w:ascii="Times New Roman" w:hAnsi="Times New Roman" w:cs="Times New Roman"/>
        </w:rPr>
        <w:t>; se o posto era submetido à fiscalização da distribuidora; e se não foi apontado qualquer tanque, entrada paralela, fornecedor oculto ou documento de aquisição clandestina, a conclusão de que as diferenças escriturais representam, por si, circulação autônoma de combustível tributável exige demonstração adicional. A sentença não a fornece.</w:t>
      </w:r>
    </w:p>
    <w:p w14:paraId="22B3FA9C" w14:textId="2B48616B" w:rsidR="009734ED" w:rsidRPr="009734ED" w:rsidRDefault="009734ED" w:rsidP="009734ED">
      <w:pPr>
        <w:ind w:right="-568"/>
        <w:jc w:val="both"/>
        <w:rPr>
          <w:rFonts w:ascii="Times New Roman" w:hAnsi="Times New Roman" w:cs="Times New Roman"/>
          <w:b/>
          <w:bCs/>
        </w:rPr>
      </w:pPr>
      <w:r w:rsidRPr="009734ED">
        <w:rPr>
          <w:rFonts w:ascii="Times New Roman" w:hAnsi="Times New Roman" w:cs="Times New Roman"/>
          <w:b/>
          <w:bCs/>
        </w:rPr>
        <w:t>3. O CONTROLE FÍSICO DO COMBUSTÍVEL: ENCERRANTES DAS BOMBAS, LMC E CONVERGÊNCIA COM A PROVA ORAL</w:t>
      </w:r>
    </w:p>
    <w:p w14:paraId="6DA1FDBF" w14:textId="12CE18BF"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Há outra omissão de particular gravidade: a r. sentença ora embargada reconhece que os bicos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registravam o volume comercializado e que referidos dados eram lançados no LMC, mas não enfrenta a consequência probatória dessa mecânica de controle físico. </w:t>
      </w:r>
    </w:p>
    <w:p w14:paraId="15DA9A59" w14:textId="079806D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ponto não é sustentar que o LMC substitui a nota fiscal. </w:t>
      </w:r>
    </w:p>
    <w:p w14:paraId="5C7CFBCE" w14:textId="6E4A58F0"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ponto é diverso: 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e o LMC constituem instrumentos materiais de reconstrução da galonagem efetivamente movimentada, e foram justamente invocados pela defesa para demonstrar a origem e o percurso físico do combustível.</w:t>
      </w:r>
    </w:p>
    <w:p w14:paraId="228EA994" w14:textId="403C6FB1"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próprio Laudo Pericial registrou a natureza e a finalidade fiscal do LMC, reproduzindo a Portaria DNC nº 26/1992, que o instituiu para o registro diário dos estoques e da movimentação de compra e venda, inclusive como instrumento destinado a facilitar a fiscalização da arrecadação do ICMS e a coibir operações irregulares. Esse trecho está no ID </w:t>
      </w:r>
      <w:r>
        <w:rPr>
          <w:rFonts w:ascii="Times New Roman" w:hAnsi="Times New Roman" w:cs="Times New Roman"/>
        </w:rPr>
        <w:t>...</w:t>
      </w:r>
    </w:p>
    <w:p w14:paraId="560C57B3" w14:textId="77777777" w:rsidR="009734ED" w:rsidRPr="009734ED" w:rsidRDefault="009734ED" w:rsidP="009734ED">
      <w:pPr>
        <w:ind w:right="-568"/>
        <w:jc w:val="both"/>
        <w:rPr>
          <w:rFonts w:ascii="Times New Roman" w:hAnsi="Times New Roman" w:cs="Times New Roman"/>
        </w:rPr>
      </w:pPr>
    </w:p>
    <w:p w14:paraId="71ABDA13" w14:textId="71ADD7CF"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No Laudo Pericial Complementar, a informação sobre a correspondência entre 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e o LMC aparece de modo ainda mais incisivo. Em resposta ao quesito relativo à possibilidade de a galonagem considerada pelo Fisco escapar das inspeções, constou no ID </w:t>
      </w:r>
      <w:r>
        <w:rPr>
          <w:rFonts w:ascii="Times New Roman" w:hAnsi="Times New Roman" w:cs="Times New Roman"/>
        </w:rPr>
        <w:t>...</w:t>
      </w:r>
      <w:r w:rsidRPr="009734ED">
        <w:rPr>
          <w:rFonts w:ascii="Times New Roman" w:hAnsi="Times New Roman" w:cs="Times New Roman"/>
        </w:rPr>
        <w:t xml:space="preserve">, pág. </w:t>
      </w:r>
      <w:r>
        <w:rPr>
          <w:rFonts w:ascii="Times New Roman" w:hAnsi="Times New Roman" w:cs="Times New Roman"/>
        </w:rPr>
        <w:t>...</w:t>
      </w:r>
      <w:r w:rsidRPr="009734ED">
        <w:rPr>
          <w:rFonts w:ascii="Times New Roman" w:hAnsi="Times New Roman" w:cs="Times New Roman"/>
        </w:rPr>
        <w:t>:</w:t>
      </w:r>
    </w:p>
    <w:p w14:paraId="68DA0A0E" w14:textId="31FCD14F"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9734ED">
        <w:rPr>
          <w:rFonts w:ascii="Times New Roman" w:hAnsi="Times New Roman" w:cs="Times New Roman"/>
          <w:i/>
          <w:iCs/>
        </w:rPr>
        <w:t xml:space="preserve">As bombas possuem </w:t>
      </w:r>
      <w:proofErr w:type="spellStart"/>
      <w:r w:rsidRPr="009734ED">
        <w:rPr>
          <w:rFonts w:ascii="Times New Roman" w:hAnsi="Times New Roman" w:cs="Times New Roman"/>
          <w:i/>
          <w:iCs/>
        </w:rPr>
        <w:t>encerrantes</w:t>
      </w:r>
      <w:proofErr w:type="spellEnd"/>
      <w:r w:rsidRPr="009734ED">
        <w:rPr>
          <w:rFonts w:ascii="Times New Roman" w:hAnsi="Times New Roman" w:cs="Times New Roman"/>
          <w:i/>
          <w:iCs/>
        </w:rPr>
        <w:t xml:space="preserve"> e estes </w:t>
      </w:r>
      <w:proofErr w:type="gramStart"/>
      <w:r w:rsidRPr="009734ED">
        <w:rPr>
          <w:rFonts w:ascii="Times New Roman" w:hAnsi="Times New Roman" w:cs="Times New Roman"/>
          <w:i/>
          <w:iCs/>
        </w:rPr>
        <w:t>são, diariamente acompanhados</w:t>
      </w:r>
      <w:proofErr w:type="gramEnd"/>
      <w:r w:rsidRPr="009734ED">
        <w:rPr>
          <w:rFonts w:ascii="Times New Roman" w:hAnsi="Times New Roman" w:cs="Times New Roman"/>
          <w:i/>
          <w:iCs/>
        </w:rPr>
        <w:t xml:space="preserve"> e dados lançados no LMC (Livro de Movimentação Contábil). Caso houvesse irregularidades, seriam detectados de imediato</w:t>
      </w:r>
      <w:r w:rsidRPr="009734ED">
        <w:rPr>
          <w:rFonts w:ascii="Times New Roman" w:hAnsi="Times New Roman" w:cs="Times New Roman"/>
        </w:rPr>
        <w:t xml:space="preserve">.”  Laudo Pericial Complementar – ID </w:t>
      </w:r>
      <w:r>
        <w:rPr>
          <w:rFonts w:ascii="Times New Roman" w:hAnsi="Times New Roman" w:cs="Times New Roman"/>
        </w:rPr>
        <w:t>...</w:t>
      </w:r>
    </w:p>
    <w:p w14:paraId="6B884979" w14:textId="5B4AE44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É exatamente esse mecanismo que a r. sentença descreve ao resumir a prova oral: </w:t>
      </w:r>
      <w:r>
        <w:rPr>
          <w:rFonts w:ascii="Times New Roman" w:hAnsi="Times New Roman" w:cs="Times New Roman"/>
        </w:rPr>
        <w:t>...</w:t>
      </w:r>
      <w:r w:rsidRPr="009734ED">
        <w:rPr>
          <w:rFonts w:ascii="Times New Roman" w:hAnsi="Times New Roman" w:cs="Times New Roman"/>
        </w:rPr>
        <w:t xml:space="preserve"> esclareceu que os bicos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registravam, cumulativa e ininterruptamente, todo o volume a cada litro e que os dados eram conferidos e lançados no LMC. </w:t>
      </w:r>
    </w:p>
    <w:p w14:paraId="142FC5DB" w14:textId="63244B7C"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r. sentença, portanto, admite a existência do controle físico objetivo, mas, logo depois, afirma que ele </w:t>
      </w:r>
      <w:r w:rsidRPr="009734ED">
        <w:rPr>
          <w:rFonts w:ascii="Times New Roman" w:hAnsi="Times New Roman" w:cs="Times New Roman"/>
          <w:i/>
          <w:iCs/>
        </w:rPr>
        <w:t>'não explica</w:t>
      </w:r>
      <w:r w:rsidRPr="009734ED">
        <w:rPr>
          <w:rFonts w:ascii="Times New Roman" w:hAnsi="Times New Roman" w:cs="Times New Roman"/>
        </w:rPr>
        <w:t>' os descompassos, sem explicitar tecnicamente por que não os explica.</w:t>
      </w:r>
    </w:p>
    <w:p w14:paraId="1354C2EA" w14:textId="42BB89F3"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Data vênia, porém necessário sobressaltar nessa seara recursal, essa passagem encerra a contradição interna: o sistema de medição física é reconhecido como contínuo; o lançamento no LMC é reconhecido como diário; a exclusividade da </w:t>
      </w:r>
      <w:r>
        <w:rPr>
          <w:rFonts w:ascii="Times New Roman" w:hAnsi="Times New Roman" w:cs="Times New Roman"/>
        </w:rPr>
        <w:t>...</w:t>
      </w:r>
      <w:r w:rsidRPr="009734ED">
        <w:rPr>
          <w:rFonts w:ascii="Times New Roman" w:hAnsi="Times New Roman" w:cs="Times New Roman"/>
        </w:rPr>
        <w:t xml:space="preserve"> é reconhecida; a inexistência de fornecedor diverso é reconhecida; e, ainda assim, conclui-se pela circulação autônoma de combustível sem se indicar qual prova revelou fisicamente a entrada, o armazenamento ou a saída de produto estranho à cadeia documentada.</w:t>
      </w:r>
    </w:p>
    <w:p w14:paraId="465577A2" w14:textId="52DD754E" w:rsidR="009734ED" w:rsidRPr="009734ED" w:rsidRDefault="009734ED" w:rsidP="009734ED">
      <w:pPr>
        <w:ind w:right="-568"/>
        <w:jc w:val="both"/>
        <w:rPr>
          <w:rFonts w:ascii="Times New Roman" w:hAnsi="Times New Roman" w:cs="Times New Roman"/>
          <w:b/>
          <w:bCs/>
        </w:rPr>
      </w:pPr>
      <w:r w:rsidRPr="009734ED">
        <w:rPr>
          <w:rFonts w:ascii="Times New Roman" w:hAnsi="Times New Roman" w:cs="Times New Roman"/>
          <w:b/>
          <w:bCs/>
        </w:rPr>
        <w:t xml:space="preserve">4. A PROVA TESTEMUNHAL: </w:t>
      </w:r>
      <w:r w:rsidRPr="009734ED">
        <w:rPr>
          <w:rFonts w:ascii="Times New Roman" w:hAnsi="Times New Roman" w:cs="Times New Roman"/>
          <w:b/>
          <w:bCs/>
        </w:rPr>
        <w:t>...</w:t>
      </w:r>
      <w:r w:rsidRPr="009734ED">
        <w:rPr>
          <w:rFonts w:ascii="Times New Roman" w:hAnsi="Times New Roman" w:cs="Times New Roman"/>
          <w:b/>
          <w:bCs/>
        </w:rPr>
        <w:t xml:space="preserve">, </w:t>
      </w:r>
      <w:r w:rsidRPr="009734ED">
        <w:rPr>
          <w:rFonts w:ascii="Times New Roman" w:hAnsi="Times New Roman" w:cs="Times New Roman"/>
          <w:b/>
          <w:bCs/>
        </w:rPr>
        <w:t xml:space="preserve">... </w:t>
      </w:r>
      <w:r w:rsidRPr="009734ED">
        <w:rPr>
          <w:rFonts w:ascii="Times New Roman" w:hAnsi="Times New Roman" w:cs="Times New Roman"/>
          <w:b/>
          <w:bCs/>
        </w:rPr>
        <w:t xml:space="preserve">E </w:t>
      </w:r>
      <w:r w:rsidRPr="009734ED">
        <w:rPr>
          <w:rFonts w:ascii="Times New Roman" w:hAnsi="Times New Roman" w:cs="Times New Roman"/>
          <w:b/>
          <w:bCs/>
        </w:rPr>
        <w:t>...</w:t>
      </w:r>
    </w:p>
    <w:p w14:paraId="57DB6E46" w14:textId="6408117C" w:rsidR="009734ED" w:rsidRPr="009734ED" w:rsidRDefault="009734ED" w:rsidP="009734ED">
      <w:pPr>
        <w:ind w:right="-568"/>
        <w:jc w:val="both"/>
        <w:rPr>
          <w:rFonts w:ascii="Times New Roman" w:hAnsi="Times New Roman" w:cs="Times New Roman"/>
          <w:b/>
          <w:bCs/>
        </w:rPr>
      </w:pPr>
      <w:r w:rsidRPr="009734ED">
        <w:rPr>
          <w:rFonts w:ascii="Times New Roman" w:hAnsi="Times New Roman" w:cs="Times New Roman"/>
          <w:b/>
          <w:bCs/>
        </w:rPr>
        <w:t xml:space="preserve">4.1. </w:t>
      </w:r>
      <w:r w:rsidRPr="009734ED">
        <w:rPr>
          <w:rFonts w:ascii="Times New Roman" w:hAnsi="Times New Roman" w:cs="Times New Roman"/>
          <w:b/>
          <w:bCs/>
        </w:rPr>
        <w:t>...</w:t>
      </w:r>
      <w:r w:rsidRPr="009734ED">
        <w:rPr>
          <w:rFonts w:ascii="Times New Roman" w:hAnsi="Times New Roman" w:cs="Times New Roman"/>
          <w:b/>
          <w:bCs/>
        </w:rPr>
        <w:t xml:space="preserve"> </w:t>
      </w:r>
      <w:proofErr w:type="gramStart"/>
      <w:r w:rsidRPr="009734ED">
        <w:rPr>
          <w:rFonts w:ascii="Times New Roman" w:hAnsi="Times New Roman" w:cs="Times New Roman"/>
          <w:b/>
          <w:bCs/>
        </w:rPr>
        <w:t>-  a</w:t>
      </w:r>
      <w:proofErr w:type="gramEnd"/>
      <w:r w:rsidRPr="009734ED">
        <w:rPr>
          <w:rFonts w:ascii="Times New Roman" w:hAnsi="Times New Roman" w:cs="Times New Roman"/>
          <w:b/>
          <w:bCs/>
        </w:rPr>
        <w:t xml:space="preserve"> própria responsável pela emissão das notas fiscais</w:t>
      </w:r>
    </w:p>
    <w:p w14:paraId="7606CCBA" w14:textId="7CFF6D73"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testemunha </w:t>
      </w:r>
      <w:r>
        <w:rPr>
          <w:rFonts w:ascii="Times New Roman" w:hAnsi="Times New Roman" w:cs="Times New Roman"/>
        </w:rPr>
        <w:t>...</w:t>
      </w:r>
      <w:r w:rsidRPr="009734ED">
        <w:rPr>
          <w:rFonts w:ascii="Times New Roman" w:hAnsi="Times New Roman" w:cs="Times New Roman"/>
        </w:rPr>
        <w:t xml:space="preserve"> foi ouvida por carta precatória, com termo no ID </w:t>
      </w:r>
      <w:r>
        <w:rPr>
          <w:rFonts w:ascii="Times New Roman" w:hAnsi="Times New Roman" w:cs="Times New Roman"/>
        </w:rPr>
        <w:t>..</w:t>
      </w:r>
      <w:r w:rsidRPr="009734ED">
        <w:rPr>
          <w:rFonts w:ascii="Times New Roman" w:hAnsi="Times New Roman" w:cs="Times New Roman"/>
        </w:rPr>
        <w:t>. Seu depoimento é particularmente relevante porque ela era a funcionária que efetivamente emitia as notas fiscais, fazia o fechamento de caixa e preenchia o Livro de Movimentação de Combustíveis.</w:t>
      </w:r>
    </w:p>
    <w:p w14:paraId="7DE90057" w14:textId="1EA2653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9734ED">
        <w:rPr>
          <w:rFonts w:ascii="Times New Roman" w:hAnsi="Times New Roman" w:cs="Times New Roman"/>
          <w:i/>
          <w:iCs/>
        </w:rPr>
        <w:t xml:space="preserve">[...] o Posto utilizava a bandeira da </w:t>
      </w:r>
      <w:r w:rsidRPr="009734ED">
        <w:rPr>
          <w:rFonts w:ascii="Times New Roman" w:hAnsi="Times New Roman" w:cs="Times New Roman"/>
          <w:i/>
          <w:iCs/>
        </w:rPr>
        <w:t>...</w:t>
      </w:r>
      <w:r w:rsidRPr="009734ED">
        <w:rPr>
          <w:rFonts w:ascii="Times New Roman" w:hAnsi="Times New Roman" w:cs="Times New Roman"/>
          <w:i/>
          <w:iCs/>
        </w:rPr>
        <w:t xml:space="preserve"> de forma exclusiva, não comercializando quaisquer produtos que não fossem oriundos da </w:t>
      </w:r>
      <w:r w:rsidRPr="009734ED">
        <w:rPr>
          <w:rFonts w:ascii="Times New Roman" w:hAnsi="Times New Roman" w:cs="Times New Roman"/>
          <w:i/>
          <w:iCs/>
        </w:rPr>
        <w:t>...</w:t>
      </w:r>
      <w:r w:rsidRPr="009734ED">
        <w:rPr>
          <w:rFonts w:ascii="Times New Roman" w:hAnsi="Times New Roman" w:cs="Times New Roman"/>
          <w:i/>
          <w:iCs/>
        </w:rPr>
        <w:t>; [...] lançava o valor monetário das vendas nas notas fiscais, não relacionando a espécie de combustível e nem a quantidade [...] eis que não foi alertada do erro pela contabilidade; [...] fazia o lançamento diário no livro de movimentação de combustíveis dos produtos e quantidades que eram vendidos pelos frentistas; [...] não havia divergência entre o estoque de combustíveis e o livro de movimentação</w:t>
      </w:r>
      <w:r w:rsidRPr="009734ED">
        <w:rPr>
          <w:rFonts w:ascii="Times New Roman" w:hAnsi="Times New Roman" w:cs="Times New Roman"/>
        </w:rPr>
        <w:t xml:space="preserve">.”  Depoimento de </w:t>
      </w:r>
      <w:r>
        <w:rPr>
          <w:rFonts w:ascii="Times New Roman" w:hAnsi="Times New Roman" w:cs="Times New Roman"/>
        </w:rPr>
        <w:t>...</w:t>
      </w:r>
      <w:r w:rsidRPr="009734ED">
        <w:rPr>
          <w:rFonts w:ascii="Times New Roman" w:hAnsi="Times New Roman" w:cs="Times New Roman"/>
        </w:rPr>
        <w:t xml:space="preserve"> – ID </w:t>
      </w:r>
      <w:r>
        <w:rPr>
          <w:rFonts w:ascii="Times New Roman" w:hAnsi="Times New Roman" w:cs="Times New Roman"/>
        </w:rPr>
        <w:t>...</w:t>
      </w:r>
    </w:p>
    <w:p w14:paraId="65D0D2C8" w14:textId="0C5C847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Prosseguiu a testemunha esclarecendo que a </w:t>
      </w:r>
      <w:r>
        <w:rPr>
          <w:rFonts w:ascii="Times New Roman" w:hAnsi="Times New Roman" w:cs="Times New Roman"/>
        </w:rPr>
        <w:t>...</w:t>
      </w:r>
      <w:r w:rsidRPr="009734ED">
        <w:rPr>
          <w:rFonts w:ascii="Times New Roman" w:hAnsi="Times New Roman" w:cs="Times New Roman"/>
        </w:rPr>
        <w:t xml:space="preserve"> realizava conferências e inspeções no Posto, inclusive nos lacres e bicos das bombas, que nunca fora encontrada adulteração e que o recolhimento do ICMS se dava por substituição tributária, já refletido nas notas de fornecimento. Mais: afirmou que apenas tomou ciência do equívoco de preenchimento das notas fiscais de saída quando da notificação fiscal.</w:t>
      </w:r>
    </w:p>
    <w:p w14:paraId="1733209F" w14:textId="3FB87E7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r. sentença embargada utilizou a primeira metade desse depoimento, a emissão das notas sem discriminação de espécie e quantidade, para concluir que havia emissão reiteradamente incompleta. </w:t>
      </w:r>
    </w:p>
    <w:p w14:paraId="37E16F93" w14:textId="3BBECDE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lastRenderedPageBreak/>
        <w:t xml:space="preserve">Todavia, não integrou a segunda metade, igualmente relevante: o lançamento diário das quantidades no LMC, a inexistência de divergência entre estoque e LMC, a exclusividade </w:t>
      </w:r>
      <w:r w:rsidR="00585096">
        <w:rPr>
          <w:rFonts w:ascii="Times New Roman" w:hAnsi="Times New Roman" w:cs="Times New Roman"/>
        </w:rPr>
        <w:t>...</w:t>
      </w:r>
      <w:r w:rsidRPr="009734ED">
        <w:rPr>
          <w:rFonts w:ascii="Times New Roman" w:hAnsi="Times New Roman" w:cs="Times New Roman"/>
        </w:rPr>
        <w:t xml:space="preserve"> e o recolhimento por substituição tributária.</w:t>
      </w:r>
    </w:p>
    <w:p w14:paraId="0BE4FA70" w14:textId="07CF303B"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 xml:space="preserve">4.2. </w:t>
      </w:r>
      <w:r w:rsidR="00585096" w:rsidRPr="00585096">
        <w:rPr>
          <w:rFonts w:ascii="Times New Roman" w:hAnsi="Times New Roman" w:cs="Times New Roman"/>
          <w:b/>
          <w:bCs/>
        </w:rPr>
        <w:t>...</w:t>
      </w:r>
      <w:r w:rsidRPr="00585096">
        <w:rPr>
          <w:rFonts w:ascii="Times New Roman" w:hAnsi="Times New Roman" w:cs="Times New Roman"/>
          <w:b/>
          <w:bCs/>
        </w:rPr>
        <w:t xml:space="preserve"> — lançamentos diários no LMC e fiscalização da </w:t>
      </w:r>
      <w:r w:rsidR="00585096" w:rsidRPr="00585096">
        <w:rPr>
          <w:rFonts w:ascii="Times New Roman" w:hAnsi="Times New Roman" w:cs="Times New Roman"/>
          <w:b/>
          <w:bCs/>
        </w:rPr>
        <w:t>...</w:t>
      </w:r>
    </w:p>
    <w:p w14:paraId="6A684924" w14:textId="5EF5749B" w:rsidR="009734ED" w:rsidRPr="00585096" w:rsidRDefault="00585096" w:rsidP="009734ED">
      <w:pPr>
        <w:ind w:right="-568"/>
        <w:jc w:val="both"/>
        <w:rPr>
          <w:rFonts w:ascii="Times New Roman" w:hAnsi="Times New Roman" w:cs="Times New Roman"/>
          <w:b/>
          <w:bCs/>
        </w:rPr>
      </w:pPr>
      <w:r w:rsidRPr="00585096">
        <w:rPr>
          <w:rFonts w:ascii="Times New Roman" w:hAnsi="Times New Roman" w:cs="Times New Roman"/>
          <w:b/>
          <w:bCs/>
        </w:rPr>
        <w:t>...</w:t>
      </w:r>
      <w:r w:rsidR="009734ED" w:rsidRPr="00585096">
        <w:rPr>
          <w:rFonts w:ascii="Times New Roman" w:hAnsi="Times New Roman" w:cs="Times New Roman"/>
          <w:b/>
          <w:bCs/>
        </w:rPr>
        <w:t xml:space="preserve"> foi ouvida em audiência por videoconferência registrada no </w:t>
      </w:r>
      <w:r w:rsidRPr="00585096">
        <w:rPr>
          <w:rFonts w:ascii="Times New Roman" w:hAnsi="Times New Roman" w:cs="Times New Roman"/>
          <w:b/>
          <w:bCs/>
        </w:rPr>
        <w:t>...</w:t>
      </w:r>
      <w:r w:rsidR="009734ED" w:rsidRPr="00585096">
        <w:rPr>
          <w:rFonts w:ascii="Times New Roman" w:hAnsi="Times New Roman" w:cs="Times New Roman"/>
          <w:b/>
          <w:bCs/>
        </w:rPr>
        <w:t xml:space="preserve">, pág. </w:t>
      </w:r>
      <w:r w:rsidRPr="00585096">
        <w:rPr>
          <w:rFonts w:ascii="Times New Roman" w:hAnsi="Times New Roman" w:cs="Times New Roman"/>
          <w:b/>
          <w:bCs/>
        </w:rPr>
        <w:t>...</w:t>
      </w:r>
      <w:r w:rsidR="009734ED" w:rsidRPr="00585096">
        <w:rPr>
          <w:rFonts w:ascii="Times New Roman" w:hAnsi="Times New Roman" w:cs="Times New Roman"/>
          <w:b/>
          <w:bCs/>
        </w:rPr>
        <w:t xml:space="preserve">, entre os minutos </w:t>
      </w:r>
      <w:r w:rsidRPr="00585096">
        <w:rPr>
          <w:rFonts w:ascii="Times New Roman" w:hAnsi="Times New Roman" w:cs="Times New Roman"/>
          <w:b/>
          <w:bCs/>
        </w:rPr>
        <w:t>...</w:t>
      </w:r>
      <w:r w:rsidR="009734ED" w:rsidRPr="00585096">
        <w:rPr>
          <w:rFonts w:ascii="Times New Roman" w:hAnsi="Times New Roman" w:cs="Times New Roman"/>
          <w:b/>
          <w:bCs/>
        </w:rPr>
        <w:t xml:space="preserve"> e </w:t>
      </w:r>
      <w:r w:rsidRPr="00585096">
        <w:rPr>
          <w:rFonts w:ascii="Times New Roman" w:hAnsi="Times New Roman" w:cs="Times New Roman"/>
          <w:b/>
          <w:bCs/>
        </w:rPr>
        <w:t>...</w:t>
      </w:r>
      <w:r w:rsidR="009734ED" w:rsidRPr="00585096">
        <w:rPr>
          <w:rFonts w:ascii="Times New Roman" w:hAnsi="Times New Roman" w:cs="Times New Roman"/>
          <w:b/>
          <w:bCs/>
        </w:rPr>
        <w:t xml:space="preserve">. </w:t>
      </w:r>
    </w:p>
    <w:p w14:paraId="2A57372D" w14:textId="5470F74F"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própria sentença registra o conteúdo essencial de sua declaração: exercera a função de gerente administrativa, afirmou que o ICMS era recolhido na compra dos combustíveis adquiridos da </w:t>
      </w:r>
      <w:r w:rsidR="00585096">
        <w:rPr>
          <w:rFonts w:ascii="Times New Roman" w:hAnsi="Times New Roman" w:cs="Times New Roman"/>
        </w:rPr>
        <w:t>...</w:t>
      </w:r>
      <w:r w:rsidRPr="009734ED">
        <w:rPr>
          <w:rFonts w:ascii="Times New Roman" w:hAnsi="Times New Roman" w:cs="Times New Roman"/>
        </w:rPr>
        <w:t>, sempre acobertados por notas fiscais, que a distribuidora fiscalizava as bombas e os combustíveis periodicamente --- a sentença registra periodicidade semanal --- e que ela própria efetuava os lançamentos diários no LMC com base na chegada e na medição física dos produtos.</w:t>
      </w:r>
    </w:p>
    <w:p w14:paraId="2CE88000" w14:textId="3BAFDE3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Esse depoimento não foi desqualificado! Ao contrário, a sentença o reconheceu como pormenorizado. </w:t>
      </w:r>
    </w:p>
    <w:p w14:paraId="7E4BDFA8" w14:textId="591B0BA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vício reside em não explicitar por que fatos por ela própria reconhecidos, quais sejam, medição física, lançamento diário, fiscalização da distribuidora, origem </w:t>
      </w:r>
      <w:r w:rsidR="00585096">
        <w:rPr>
          <w:rFonts w:ascii="Times New Roman" w:hAnsi="Times New Roman" w:cs="Times New Roman"/>
        </w:rPr>
        <w:t xml:space="preserve">... </w:t>
      </w:r>
      <w:r w:rsidRPr="009734ED">
        <w:rPr>
          <w:rFonts w:ascii="Times New Roman" w:hAnsi="Times New Roman" w:cs="Times New Roman"/>
        </w:rPr>
        <w:t xml:space="preserve">e </w:t>
      </w:r>
      <w:r w:rsidR="00585096">
        <w:rPr>
          <w:rFonts w:ascii="Times New Roman" w:hAnsi="Times New Roman" w:cs="Times New Roman"/>
        </w:rPr>
        <w:t>...</w:t>
      </w:r>
      <w:r w:rsidRPr="009734ED">
        <w:rPr>
          <w:rFonts w:ascii="Times New Roman" w:hAnsi="Times New Roman" w:cs="Times New Roman"/>
        </w:rPr>
        <w:t xml:space="preserve"> seriam insuficientes para infirmar a presunção de que houve circulação de combustível fora da cadeia regularmente tributada.</w:t>
      </w:r>
    </w:p>
    <w:p w14:paraId="3FD02645" w14:textId="5711E1F7"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 xml:space="preserve">4.3. </w:t>
      </w:r>
      <w:r w:rsidR="00585096" w:rsidRPr="00585096">
        <w:rPr>
          <w:rFonts w:ascii="Times New Roman" w:hAnsi="Times New Roman" w:cs="Times New Roman"/>
          <w:b/>
          <w:bCs/>
        </w:rPr>
        <w:t>...</w:t>
      </w:r>
      <w:r w:rsidRPr="00585096">
        <w:rPr>
          <w:rFonts w:ascii="Times New Roman" w:hAnsi="Times New Roman" w:cs="Times New Roman"/>
          <w:b/>
          <w:bCs/>
        </w:rPr>
        <w:t xml:space="preserve"> — gerente da </w:t>
      </w:r>
      <w:r w:rsidR="00585096" w:rsidRPr="00585096">
        <w:rPr>
          <w:rFonts w:ascii="Times New Roman" w:hAnsi="Times New Roman" w:cs="Times New Roman"/>
          <w:b/>
          <w:bCs/>
        </w:rPr>
        <w:t>...</w:t>
      </w:r>
      <w:r w:rsidRPr="00585096">
        <w:rPr>
          <w:rFonts w:ascii="Times New Roman" w:hAnsi="Times New Roman" w:cs="Times New Roman"/>
          <w:b/>
          <w:bCs/>
        </w:rPr>
        <w:t xml:space="preserve">, fiscalização das bombas e </w:t>
      </w:r>
      <w:proofErr w:type="spellStart"/>
      <w:r w:rsidRPr="00585096">
        <w:rPr>
          <w:rFonts w:ascii="Times New Roman" w:hAnsi="Times New Roman" w:cs="Times New Roman"/>
          <w:b/>
          <w:bCs/>
        </w:rPr>
        <w:t>encerrantes</w:t>
      </w:r>
      <w:proofErr w:type="spellEnd"/>
    </w:p>
    <w:p w14:paraId="2F58F0D2" w14:textId="483F9F1B" w:rsidR="009734ED" w:rsidRPr="009734ED" w:rsidRDefault="00585096" w:rsidP="009734ED">
      <w:pPr>
        <w:ind w:right="-568"/>
        <w:jc w:val="both"/>
        <w:rPr>
          <w:rFonts w:ascii="Times New Roman" w:hAnsi="Times New Roman" w:cs="Times New Roman"/>
        </w:rPr>
      </w:pPr>
      <w:r>
        <w:rPr>
          <w:rFonts w:ascii="Times New Roman" w:hAnsi="Times New Roman" w:cs="Times New Roman"/>
        </w:rPr>
        <w:t>...</w:t>
      </w:r>
      <w:r w:rsidR="009734ED" w:rsidRPr="009734ED">
        <w:rPr>
          <w:rFonts w:ascii="Times New Roman" w:hAnsi="Times New Roman" w:cs="Times New Roman"/>
        </w:rPr>
        <w:t xml:space="preserve">, gerente da </w:t>
      </w:r>
      <w:r>
        <w:rPr>
          <w:rFonts w:ascii="Times New Roman" w:hAnsi="Times New Roman" w:cs="Times New Roman"/>
        </w:rPr>
        <w:t>...</w:t>
      </w:r>
      <w:r w:rsidR="009734ED" w:rsidRPr="009734ED">
        <w:rPr>
          <w:rFonts w:ascii="Times New Roman" w:hAnsi="Times New Roman" w:cs="Times New Roman"/>
        </w:rPr>
        <w:t xml:space="preserve"> entre </w:t>
      </w:r>
      <w:r>
        <w:rPr>
          <w:rFonts w:ascii="Times New Roman" w:hAnsi="Times New Roman" w:cs="Times New Roman"/>
        </w:rPr>
        <w:t>...</w:t>
      </w:r>
      <w:r w:rsidR="009734ED" w:rsidRPr="009734ED">
        <w:rPr>
          <w:rFonts w:ascii="Times New Roman" w:hAnsi="Times New Roman" w:cs="Times New Roman"/>
        </w:rPr>
        <w:t xml:space="preserve"> e </w:t>
      </w:r>
      <w:r>
        <w:rPr>
          <w:rFonts w:ascii="Times New Roman" w:hAnsi="Times New Roman" w:cs="Times New Roman"/>
        </w:rPr>
        <w:t>...</w:t>
      </w:r>
      <w:r w:rsidR="009734ED" w:rsidRPr="009734ED">
        <w:rPr>
          <w:rFonts w:ascii="Times New Roman" w:hAnsi="Times New Roman" w:cs="Times New Roman"/>
        </w:rPr>
        <w:t xml:space="preserve">, foi igualmente ouvido na audiência registrada no ID </w:t>
      </w:r>
      <w:r>
        <w:rPr>
          <w:rFonts w:ascii="Times New Roman" w:hAnsi="Times New Roman" w:cs="Times New Roman"/>
        </w:rPr>
        <w:t>...</w:t>
      </w:r>
      <w:r w:rsidR="009734ED" w:rsidRPr="009734ED">
        <w:rPr>
          <w:rFonts w:ascii="Times New Roman" w:hAnsi="Times New Roman" w:cs="Times New Roman"/>
        </w:rPr>
        <w:t>, entre os minutos</w:t>
      </w:r>
      <w:proofErr w:type="gramStart"/>
      <w:r w:rsidR="009734ED" w:rsidRPr="009734ED">
        <w:rPr>
          <w:rFonts w:ascii="Times New Roman" w:hAnsi="Times New Roman" w:cs="Times New Roman"/>
        </w:rPr>
        <w:t xml:space="preserve"> </w:t>
      </w:r>
      <w:r>
        <w:rPr>
          <w:rFonts w:ascii="Times New Roman" w:hAnsi="Times New Roman" w:cs="Times New Roman"/>
        </w:rPr>
        <w:t>..</w:t>
      </w:r>
      <w:proofErr w:type="gramEnd"/>
      <w:r w:rsidR="009734ED" w:rsidRPr="009734ED">
        <w:rPr>
          <w:rFonts w:ascii="Times New Roman" w:hAnsi="Times New Roman" w:cs="Times New Roman"/>
        </w:rPr>
        <w:t xml:space="preserve"> e </w:t>
      </w:r>
      <w:r>
        <w:rPr>
          <w:rFonts w:ascii="Times New Roman" w:hAnsi="Times New Roman" w:cs="Times New Roman"/>
        </w:rPr>
        <w:t>..</w:t>
      </w:r>
      <w:r w:rsidR="009734ED" w:rsidRPr="009734ED">
        <w:rPr>
          <w:rFonts w:ascii="Times New Roman" w:hAnsi="Times New Roman" w:cs="Times New Roman"/>
        </w:rPr>
        <w:t xml:space="preserve">. Antes disso, seus esclarecimentos haviam sido formalmente colhidos pela perita e incorporados ao Laudo Pericial Complementar, ID </w:t>
      </w:r>
      <w:r>
        <w:rPr>
          <w:rFonts w:ascii="Times New Roman" w:hAnsi="Times New Roman" w:cs="Times New Roman"/>
        </w:rPr>
        <w:t>...</w:t>
      </w:r>
    </w:p>
    <w:p w14:paraId="72483595" w14:textId="173B6F7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r. sentença reconhece expressamente que </w:t>
      </w:r>
      <w:r w:rsidR="00585096">
        <w:rPr>
          <w:rFonts w:ascii="Times New Roman" w:hAnsi="Times New Roman" w:cs="Times New Roman"/>
        </w:rPr>
        <w:t>...</w:t>
      </w:r>
      <w:r w:rsidRPr="009734ED">
        <w:rPr>
          <w:rFonts w:ascii="Times New Roman" w:hAnsi="Times New Roman" w:cs="Times New Roman"/>
        </w:rPr>
        <w:t xml:space="preserve"> explicou que as bombas eram equipadas com bicos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que registravam cumulativa e ininterruptamente o volume comercializado, sendo esses dados conferidos e lançados no LMC. E os esclarecimentos periciais escritos consignam:</w:t>
      </w:r>
    </w:p>
    <w:p w14:paraId="496DAFCF" w14:textId="58BA9B7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585096">
        <w:rPr>
          <w:rFonts w:ascii="Times New Roman" w:hAnsi="Times New Roman" w:cs="Times New Roman"/>
          <w:i/>
          <w:iCs/>
        </w:rPr>
        <w:t xml:space="preserve">As bombas possuem </w:t>
      </w:r>
      <w:proofErr w:type="spellStart"/>
      <w:r w:rsidRPr="00585096">
        <w:rPr>
          <w:rFonts w:ascii="Times New Roman" w:hAnsi="Times New Roman" w:cs="Times New Roman"/>
          <w:i/>
          <w:iCs/>
        </w:rPr>
        <w:t>encerrantes</w:t>
      </w:r>
      <w:proofErr w:type="spellEnd"/>
      <w:r w:rsidRPr="00585096">
        <w:rPr>
          <w:rFonts w:ascii="Times New Roman" w:hAnsi="Times New Roman" w:cs="Times New Roman"/>
          <w:i/>
          <w:iCs/>
        </w:rPr>
        <w:t xml:space="preserve"> e estes </w:t>
      </w:r>
      <w:proofErr w:type="gramStart"/>
      <w:r w:rsidRPr="00585096">
        <w:rPr>
          <w:rFonts w:ascii="Times New Roman" w:hAnsi="Times New Roman" w:cs="Times New Roman"/>
          <w:i/>
          <w:iCs/>
        </w:rPr>
        <w:t>são, diariamente acompanhados</w:t>
      </w:r>
      <w:proofErr w:type="gramEnd"/>
      <w:r w:rsidRPr="00585096">
        <w:rPr>
          <w:rFonts w:ascii="Times New Roman" w:hAnsi="Times New Roman" w:cs="Times New Roman"/>
          <w:i/>
          <w:iCs/>
        </w:rPr>
        <w:t xml:space="preserve"> e dados lançados no LMC (Livro de Movimentação Contábil). Caso houvesse irregularidades, seriam detectados de imediato.</w:t>
      </w:r>
      <w:r w:rsidRPr="009734ED">
        <w:rPr>
          <w:rFonts w:ascii="Times New Roman" w:hAnsi="Times New Roman" w:cs="Times New Roman"/>
        </w:rPr>
        <w:t xml:space="preserve">”  Esclarecimentos de </w:t>
      </w:r>
      <w:r w:rsidR="00585096">
        <w:rPr>
          <w:rFonts w:ascii="Times New Roman" w:hAnsi="Times New Roman" w:cs="Times New Roman"/>
        </w:rPr>
        <w:t>...</w:t>
      </w:r>
      <w:r w:rsidRPr="009734ED">
        <w:rPr>
          <w:rFonts w:ascii="Times New Roman" w:hAnsi="Times New Roman" w:cs="Times New Roman"/>
        </w:rPr>
        <w:t xml:space="preserve"> incorporados ao Laudo Complementar – ID </w:t>
      </w:r>
      <w:r w:rsidR="00585096">
        <w:rPr>
          <w:rFonts w:ascii="Times New Roman" w:hAnsi="Times New Roman" w:cs="Times New Roman"/>
        </w:rPr>
        <w:t>...</w:t>
      </w:r>
    </w:p>
    <w:p w14:paraId="0FFE878C" w14:textId="5A59D6A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585096">
        <w:rPr>
          <w:rFonts w:ascii="Times New Roman" w:hAnsi="Times New Roman" w:cs="Times New Roman"/>
          <w:i/>
          <w:iCs/>
        </w:rPr>
        <w:t>Impossível. Trata-se de posto próprio da Texaco, na época, cujo rigor de fiscalização era constante</w:t>
      </w:r>
      <w:r w:rsidRPr="009734ED">
        <w:rPr>
          <w:rFonts w:ascii="Times New Roman" w:hAnsi="Times New Roman" w:cs="Times New Roman"/>
        </w:rPr>
        <w:t xml:space="preserve">.”  Esclarecimentos de </w:t>
      </w:r>
      <w:r w:rsidR="00585096">
        <w:rPr>
          <w:rFonts w:ascii="Times New Roman" w:hAnsi="Times New Roman" w:cs="Times New Roman"/>
        </w:rPr>
        <w:t>...</w:t>
      </w:r>
      <w:r w:rsidRPr="009734ED">
        <w:rPr>
          <w:rFonts w:ascii="Times New Roman" w:hAnsi="Times New Roman" w:cs="Times New Roman"/>
        </w:rPr>
        <w:t xml:space="preserve"> – ID </w:t>
      </w:r>
      <w:r w:rsidR="00585096">
        <w:rPr>
          <w:rFonts w:ascii="Times New Roman" w:hAnsi="Times New Roman" w:cs="Times New Roman"/>
        </w:rPr>
        <w:t>...</w:t>
      </w:r>
    </w:p>
    <w:p w14:paraId="27342F59" w14:textId="425AD4A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Registre-se, por fidelidade aos autos, que a prova textual disponível não permite afirmar que essa fiscalização era 'mensal': a r. sentença registra, quanto ao relato de </w:t>
      </w:r>
      <w:r w:rsidR="00585096">
        <w:rPr>
          <w:rFonts w:ascii="Times New Roman" w:hAnsi="Times New Roman" w:cs="Times New Roman"/>
        </w:rPr>
        <w:t>...</w:t>
      </w:r>
      <w:r w:rsidRPr="009734ED">
        <w:rPr>
          <w:rFonts w:ascii="Times New Roman" w:hAnsi="Times New Roman" w:cs="Times New Roman"/>
        </w:rPr>
        <w:t xml:space="preserve">, fiscalização semanal, ao passo que </w:t>
      </w:r>
      <w:r w:rsidR="00585096">
        <w:rPr>
          <w:rFonts w:ascii="Times New Roman" w:hAnsi="Times New Roman" w:cs="Times New Roman"/>
        </w:rPr>
        <w:t>...</w:t>
      </w:r>
      <w:r w:rsidRPr="009734ED">
        <w:rPr>
          <w:rFonts w:ascii="Times New Roman" w:hAnsi="Times New Roman" w:cs="Times New Roman"/>
        </w:rPr>
        <w:t xml:space="preserve"> fala em fiscalização periódica/constante. </w:t>
      </w:r>
    </w:p>
    <w:p w14:paraId="2BC9B78E" w14:textId="5B64344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dado decisivo, para estes </w:t>
      </w:r>
      <w:proofErr w:type="spellStart"/>
      <w:r w:rsidRPr="009734ED">
        <w:rPr>
          <w:rFonts w:ascii="Times New Roman" w:hAnsi="Times New Roman" w:cs="Times New Roman"/>
        </w:rPr>
        <w:t>aclaratórios</w:t>
      </w:r>
      <w:proofErr w:type="spellEnd"/>
      <w:r w:rsidRPr="009734ED">
        <w:rPr>
          <w:rFonts w:ascii="Times New Roman" w:hAnsi="Times New Roman" w:cs="Times New Roman"/>
        </w:rPr>
        <w:t>, é a existência de fiscalização reiterada e de controle mecânico contínuo, não a nomenclatura da periodicidade.</w:t>
      </w:r>
    </w:p>
    <w:p w14:paraId="74937B27" w14:textId="2E363A99"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lastRenderedPageBreak/>
        <w:t xml:space="preserve">5. A VERDADEIRA EXTENSÃO DAS CONCLUSÕES PERICIAIS: DIFERENÇAS ESCRITURAIS NÃO EQUIVALEM A AQUISIÇÃO </w:t>
      </w:r>
      <w:r w:rsidRPr="00585096">
        <w:rPr>
          <w:rFonts w:ascii="Times New Roman" w:hAnsi="Times New Roman" w:cs="Times New Roman"/>
          <w:b/>
          <w:bCs/>
        </w:rPr>
        <w:tab/>
        <w:t>CLANDESTINA NEM A ICMS NÃO RECOLHIDO</w:t>
      </w:r>
    </w:p>
    <w:p w14:paraId="58E88CB0" w14:textId="7172B8E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É necessário precisar, com rigor, aquilo que a perícia efetivamente concluiu. O laudo encontrou diferenças entre os registros. Isso é fato. Mas o significado atribuído a essas diferenças pela sentença vai além da conclusão técnica expressa.</w:t>
      </w:r>
    </w:p>
    <w:p w14:paraId="0A7E2AC9" w14:textId="6CA320A0"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Ao responder ao quesito 7 do embargante, a perita declarou, no ID </w:t>
      </w:r>
      <w:r w:rsidR="00585096">
        <w:rPr>
          <w:rFonts w:ascii="Times New Roman" w:hAnsi="Times New Roman" w:cs="Times New Roman"/>
        </w:rPr>
        <w:t>...</w:t>
      </w:r>
      <w:r w:rsidRPr="009734ED">
        <w:rPr>
          <w:rFonts w:ascii="Times New Roman" w:hAnsi="Times New Roman" w:cs="Times New Roman"/>
        </w:rPr>
        <w:t>, após examinar notas fiscais de entrada, notas de saída e LMC:</w:t>
      </w:r>
    </w:p>
    <w:p w14:paraId="253C279B" w14:textId="76DFC443"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585096">
        <w:rPr>
          <w:rFonts w:ascii="Times New Roman" w:hAnsi="Times New Roman" w:cs="Times New Roman"/>
          <w:i/>
          <w:iCs/>
        </w:rPr>
        <w:t>a) Houve erros de contabilização da movimentação no LMC. b) Houve saída de combustível em quantidade maior que com nota fiscal. c) Houve saída de combustível em quantidade menor que com nota fiscal. d) Houve saída de combustível em quantidade maior da existente no estoque</w:t>
      </w:r>
      <w:r w:rsidRPr="009734ED">
        <w:rPr>
          <w:rFonts w:ascii="Times New Roman" w:hAnsi="Times New Roman" w:cs="Times New Roman"/>
        </w:rPr>
        <w:t xml:space="preserve">.”  Laudo Pericial – </w:t>
      </w:r>
      <w:r w:rsidR="00585096">
        <w:rPr>
          <w:rFonts w:ascii="Times New Roman" w:hAnsi="Times New Roman" w:cs="Times New Roman"/>
        </w:rPr>
        <w:t>...</w:t>
      </w:r>
    </w:p>
    <w:p w14:paraId="0B06E1B6" w14:textId="017938B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própria pluralidade dessas ocorrências, diferenças para mais e para menos, acompanhadas de 'erros de contabilização, recomenda cautela na conversão de incongruência escritural em fato material de sonegação. </w:t>
      </w:r>
    </w:p>
    <w:p w14:paraId="0436AA7B" w14:textId="28B5528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perícia não escreveu que encontrou fornecedor clandestino; não identificou entrada clandestina; não apontou tanque clandestino; não afirmou que o combustível excedente era de origem estranha à </w:t>
      </w:r>
      <w:r w:rsidR="00585096">
        <w:rPr>
          <w:rFonts w:ascii="Times New Roman" w:hAnsi="Times New Roman" w:cs="Times New Roman"/>
        </w:rPr>
        <w:t>...</w:t>
      </w:r>
      <w:r w:rsidRPr="009734ED">
        <w:rPr>
          <w:rFonts w:ascii="Times New Roman" w:hAnsi="Times New Roman" w:cs="Times New Roman"/>
        </w:rPr>
        <w:t>; e não concluiu que determinado volume vendido não havia sido alcançado pela retenção anterior do ICMS.</w:t>
      </w:r>
    </w:p>
    <w:p w14:paraId="12FEA00A" w14:textId="3EEB209E"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Ao contrário: quando a defesa formulou a pergunta exatamente decisiva — se, 'NA REALIDADE', o Posto havia vendido em </w:t>
      </w:r>
      <w:r w:rsidR="00585096">
        <w:rPr>
          <w:rFonts w:ascii="Times New Roman" w:hAnsi="Times New Roman" w:cs="Times New Roman"/>
        </w:rPr>
        <w:t>...</w:t>
      </w:r>
      <w:r w:rsidRPr="009734ED">
        <w:rPr>
          <w:rFonts w:ascii="Times New Roman" w:hAnsi="Times New Roman" w:cs="Times New Roman"/>
        </w:rPr>
        <w:t xml:space="preserve"> combustível sem que tivesse ocorrido recolhimento do ICMS pelo regime de substituição tributária — a perita não respondeu afirmativamente. Consignou apenas:</w:t>
      </w:r>
    </w:p>
    <w:p w14:paraId="4D4E4C37" w14:textId="6601028E"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w:t>
      </w:r>
      <w:r w:rsidRPr="00585096">
        <w:rPr>
          <w:rFonts w:ascii="Times New Roman" w:hAnsi="Times New Roman" w:cs="Times New Roman"/>
          <w:i/>
          <w:iCs/>
        </w:rPr>
        <w:t>Trata-se de matéria de mérito a ser apreciada pelo(a) Douto(a) Julgador(a).</w:t>
      </w:r>
      <w:r w:rsidRPr="009734ED">
        <w:rPr>
          <w:rFonts w:ascii="Times New Roman" w:hAnsi="Times New Roman" w:cs="Times New Roman"/>
        </w:rPr>
        <w:t xml:space="preserve">”  Laudo Pericial – </w:t>
      </w:r>
      <w:r w:rsidR="00585096">
        <w:rPr>
          <w:rFonts w:ascii="Times New Roman" w:hAnsi="Times New Roman" w:cs="Times New Roman"/>
        </w:rPr>
        <w:t>...</w:t>
      </w:r>
    </w:p>
    <w:p w14:paraId="2A49E87F" w14:textId="4FCBEF3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distinção é capital! </w:t>
      </w:r>
    </w:p>
    <w:p w14:paraId="082F6A8A" w14:textId="6CC5243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perícia comprovou inconsistências entre formas de registro; não comprovou, em uma só linha, que essas inconsistências correspondessem necessariamente a aquisição clandestina, circulação de combustível estranho à cadeia </w:t>
      </w:r>
      <w:r w:rsidR="00585096">
        <w:rPr>
          <w:rFonts w:ascii="Times New Roman" w:hAnsi="Times New Roman" w:cs="Times New Roman"/>
        </w:rPr>
        <w:t>...</w:t>
      </w:r>
      <w:r w:rsidRPr="009734ED">
        <w:rPr>
          <w:rFonts w:ascii="Times New Roman" w:hAnsi="Times New Roman" w:cs="Times New Roman"/>
        </w:rPr>
        <w:t xml:space="preserve"> ou efetiva ausência de recolhimento do ICMS. </w:t>
      </w:r>
    </w:p>
    <w:p w14:paraId="6D663D84" w14:textId="620B2ED1"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A sentença podia, naturalmente, extrair consequências jurídicas próprias; o que não pode é atribuir ao laudo a conclusão fática que o expert expressamente não formulou, sem construir a indispensável ponte argumentativa.</w:t>
      </w:r>
    </w:p>
    <w:p w14:paraId="3E17875D" w14:textId="16A56A42"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Também é preciso ressalvar, com fidelidade técnica, que o laudo não afirmou literalmente que todas as diferenças decorreram 'exclusivamente' do preenchimento equivocado das notas de saída. </w:t>
      </w:r>
    </w:p>
    <w:p w14:paraId="47B13A96" w14:textId="47A01868"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que os autos demonstram é mais preciso: a perícia constatou erros de contabilização e discrepâncias documentais; </w:t>
      </w:r>
      <w:r w:rsidR="00585096">
        <w:rPr>
          <w:rFonts w:ascii="Times New Roman" w:hAnsi="Times New Roman" w:cs="Times New Roman"/>
        </w:rPr>
        <w:t>...</w:t>
      </w:r>
      <w:r w:rsidRPr="009734ED">
        <w:rPr>
          <w:rFonts w:ascii="Times New Roman" w:hAnsi="Times New Roman" w:cs="Times New Roman"/>
        </w:rPr>
        <w:t xml:space="preserve"> explicou concretamente a forma equivocada como as notas eram </w:t>
      </w:r>
      <w:r w:rsidRPr="009734ED">
        <w:rPr>
          <w:rFonts w:ascii="Times New Roman" w:hAnsi="Times New Roman" w:cs="Times New Roman"/>
        </w:rPr>
        <w:lastRenderedPageBreak/>
        <w:t>emitidas; e nenhuma prova técnica apontou aquisição clandestina ou falta efetiva de retenção do ICMS como causa dessas diferenças. É exatamente essa lacuna causal que a sentença não enfrentou.</w:t>
      </w:r>
    </w:p>
    <w:p w14:paraId="75217491" w14:textId="1C907CF0"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6.</w:t>
      </w:r>
      <w:r w:rsidR="00585096" w:rsidRPr="00585096">
        <w:rPr>
          <w:rFonts w:ascii="Times New Roman" w:hAnsi="Times New Roman" w:cs="Times New Roman"/>
          <w:b/>
          <w:bCs/>
        </w:rPr>
        <w:t xml:space="preserve"> </w:t>
      </w:r>
      <w:r w:rsidRPr="00585096">
        <w:rPr>
          <w:rFonts w:ascii="Times New Roman" w:hAnsi="Times New Roman" w:cs="Times New Roman"/>
          <w:b/>
          <w:bCs/>
        </w:rPr>
        <w:t>DA OMISSÃO QUANTO AO ERRO DE EMISSÃO DAS NOTAS FISCAIS E À AUSÊNCIA DE DEMONSTRAÇÃO DO FATO GERADOR PRESUMIDO</w:t>
      </w:r>
    </w:p>
    <w:p w14:paraId="1F81C3FB" w14:textId="6E15B743"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tese nuclear dos embargos à execução jamais foi a inexistência de falha formal. Ao contrário, desde o início se reconheceu o equívoco de emissão das notas fiscais de saída. </w:t>
      </w:r>
    </w:p>
    <w:p w14:paraId="7E7929C8" w14:textId="5224686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A controvérsia sempre esteve em saber se esse defeito documental autorizava transformar uma irregularidade acessória em nova obrigação tributária principal, como se o combustível tivesse ingressado e circulado fora da cadeia de substituição tributária.</w:t>
      </w:r>
    </w:p>
    <w:p w14:paraId="3319C5FF" w14:textId="59C5C9A0"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 r. sentença é omissa nesse ponto essencial. Ela afirma que as notas de saída continham valores globais, sem discriminação de litros e espécie de combustível. Essa premissa coincide com o depoimento de Elci. </w:t>
      </w:r>
    </w:p>
    <w:p w14:paraId="2FAA8EA9" w14:textId="0D608C8D"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Mas a decisão não enfrenta a consequência jurídica da prova de que as aquisições eram da </w:t>
      </w:r>
      <w:r w:rsidR="00585096">
        <w:rPr>
          <w:rFonts w:ascii="Times New Roman" w:hAnsi="Times New Roman" w:cs="Times New Roman"/>
        </w:rPr>
        <w:t>...</w:t>
      </w:r>
      <w:r w:rsidRPr="009734ED">
        <w:rPr>
          <w:rFonts w:ascii="Times New Roman" w:hAnsi="Times New Roman" w:cs="Times New Roman"/>
        </w:rPr>
        <w:t xml:space="preserve">, que a origem física era controlada, que havia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e LMC, e que o ICMS das aquisições documentadas estava submetido à substituição tributária.</w:t>
      </w:r>
    </w:p>
    <w:p w14:paraId="6A5C3DBF" w14:textId="4BFCC408"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Não se pretende, aqui, negar que o descumprimento de obrigação acessória possa ensejar sanção própria. </w:t>
      </w:r>
    </w:p>
    <w:p w14:paraId="416E8746" w14:textId="3AF9335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que se exige é resposta jurisdicional ao ponto específico: por que um erro no preenchimento do documento de saída, quando confrontado com a prova de origem da mercadoria, controle físico e substituição tributária, seria suficiente para gerar novamente o imposto principal sobre uma suposta saída autônoma? </w:t>
      </w:r>
    </w:p>
    <w:p w14:paraId="1CD4B865" w14:textId="3A7E2F40"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Qual é a prova de que o combustível correspondente à diferença não era o mesmo combustível adquirido da </w:t>
      </w:r>
      <w:r w:rsidR="00585096">
        <w:rPr>
          <w:rFonts w:ascii="Times New Roman" w:hAnsi="Times New Roman" w:cs="Times New Roman"/>
        </w:rPr>
        <w:t>...</w:t>
      </w:r>
      <w:r w:rsidRPr="009734ED">
        <w:rPr>
          <w:rFonts w:ascii="Times New Roman" w:hAnsi="Times New Roman" w:cs="Times New Roman"/>
        </w:rPr>
        <w:t xml:space="preserve"> com retenção? </w:t>
      </w:r>
    </w:p>
    <w:p w14:paraId="3859998D" w14:textId="169A5B6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Onde está o fato material adicional que transforma erro de faturamento em aquisição ou circulação clandestina?</w:t>
      </w:r>
    </w:p>
    <w:p w14:paraId="187F99A6" w14:textId="36D4EA2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A ausência de resposta a essas perguntas é omissão sobre argumento apto a alterar a solução da causa, nos termos do art. 489, § 1º, IV, combinado com o art. 1.022, II, do CPC.</w:t>
      </w:r>
    </w:p>
    <w:p w14:paraId="72362E66" w14:textId="0A992942"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 xml:space="preserve">7. </w:t>
      </w:r>
      <w:r w:rsidR="00585096" w:rsidRPr="00585096">
        <w:rPr>
          <w:rFonts w:ascii="Times New Roman" w:hAnsi="Times New Roman" w:cs="Times New Roman"/>
          <w:b/>
          <w:bCs/>
        </w:rPr>
        <w:t xml:space="preserve"> </w:t>
      </w:r>
      <w:r w:rsidRPr="00585096">
        <w:rPr>
          <w:rFonts w:ascii="Times New Roman" w:hAnsi="Times New Roman" w:cs="Times New Roman"/>
          <w:b/>
          <w:bCs/>
        </w:rPr>
        <w:t>DA CONTRADIÇÃO NUCLEAR: A SENTENÇA RECONHECE OS FATOS QUE INFIRMAM A PREMISSA DE SONEGAÇÃO E, AO MESMO TEMPO, MANTÉM A EXAÇÃO FUNDADA NESSA PREMISSA</w:t>
      </w:r>
    </w:p>
    <w:p w14:paraId="224F3FC8" w14:textId="476EB4E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A exação objeto da execução fiscal nasceu da premissa de que existiram saídas de combustíveis sem o correspondente recolhimento do ICMS. Para que essa presunção se sustente, é necessário que a diferença quantitativa represente, materialmente, operação tributável não alcançada pelo recolhimento anterior.</w:t>
      </w:r>
    </w:p>
    <w:p w14:paraId="554EA695" w14:textId="7DA18049"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Entretanto, a própria r. sentença registra fatos diametralmente opostos à ideia de uma cadeia clandestina: reconhece aquisição junto à </w:t>
      </w:r>
      <w:r w:rsidR="00585096">
        <w:rPr>
          <w:rFonts w:ascii="Times New Roman" w:hAnsi="Times New Roman" w:cs="Times New Roman"/>
        </w:rPr>
        <w:t>...</w:t>
      </w:r>
      <w:r w:rsidRPr="009734ED">
        <w:rPr>
          <w:rFonts w:ascii="Times New Roman" w:hAnsi="Times New Roman" w:cs="Times New Roman"/>
        </w:rPr>
        <w:t xml:space="preserve">; reconhece o recolhimento por substituição </w:t>
      </w:r>
      <w:r w:rsidRPr="009734ED">
        <w:rPr>
          <w:rFonts w:ascii="Times New Roman" w:hAnsi="Times New Roman" w:cs="Times New Roman"/>
        </w:rPr>
        <w:lastRenderedPageBreak/>
        <w:t xml:space="preserve">tributária; reconhece fiscalização das bombas; reconhece bicos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de registro cumulativo; reconhece lançamento no LMC; reconhece que as testemunhas detalharam a rotina de controle; e não aponta uma única prova de entrada de combustível de terceiro.</w:t>
      </w:r>
    </w:p>
    <w:p w14:paraId="18A48059" w14:textId="37C364A9"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Apesar disso, concluiu que houve 'produtos que circularam sem documentação válida ou com divergência quantitativa de volume', classificando-os como 'operações autônomas irregulares praticadas pelo contribuinte varejista'. </w:t>
      </w:r>
    </w:p>
    <w:p w14:paraId="07A42F46" w14:textId="5DF96FD9"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É justamente aqui que se encontra o conflito interno: a conclusão pressupõe um ilícito material cuja base fática não é individualizada no julgado.</w:t>
      </w:r>
    </w:p>
    <w:p w14:paraId="2A49B91D" w14:textId="0E5C075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Não basta afirmar que houve 'falha substancial da escrita comercial'. É necessário dizer qual foi o ilícito material efetivamente praticado e qual prova o demonstra. O contribuinte adquiriu combustível de terceiro? A perícia diz que não encontrou qualquer nota nesse sentido. Manteve tanque clandestino? Os esclarecimentos dizem ser impossível, diante da estrutura e fiscalização do posto. Comercializou combustível que não passou pelos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A prova descreve 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como cumulativos e contínuos. Deixou de recolher ICMS que não fora retido pela </w:t>
      </w:r>
      <w:r w:rsidR="00585096">
        <w:rPr>
          <w:rFonts w:ascii="Times New Roman" w:hAnsi="Times New Roman" w:cs="Times New Roman"/>
        </w:rPr>
        <w:t>...</w:t>
      </w:r>
      <w:r w:rsidRPr="009734ED">
        <w:rPr>
          <w:rFonts w:ascii="Times New Roman" w:hAnsi="Times New Roman" w:cs="Times New Roman"/>
        </w:rPr>
        <w:t>? A perícia recusou-se a afirmar esse fato e reconheceu a substituição tributária.</w:t>
      </w:r>
    </w:p>
    <w:p w14:paraId="20FC5C13" w14:textId="7B922323"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A r. sentença, portanto, termina por penalizar o embargante como se tivesse praticado conduta material ilícita sem individualizar qual conduta foi essa e sem enfrentar os elementos que a própria decisão reconhece em sentido contrário. Esse é o exato ponto que demanda integração.</w:t>
      </w:r>
    </w:p>
    <w:p w14:paraId="0AB59B63" w14:textId="2DF7BA57"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8. DA NECESSIDADE DE INTEGRAÇÃO DO JULGADO E DA ATRIBUIÇÃO DE EFEITOS INFRINGENTES</w:t>
      </w:r>
    </w:p>
    <w:p w14:paraId="7416D8AA" w14:textId="13B477EC"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O saneamento dos vícios não possui caráter meramente acadêmico. </w:t>
      </w:r>
    </w:p>
    <w:p w14:paraId="2EC28E4A" w14:textId="1A5B93C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Se a decisão enfrentar integralmente as respostas periciais, o conteúdo do Laudo Complementar, a mecânica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–LMC e a prova oral, terá de verificar se subsiste base probatória para afirmar que as diferenças escriturais equivalem a operações autônomas tributáveis e não alcançadas pela substituição tributária.</w:t>
      </w:r>
    </w:p>
    <w:p w14:paraId="78D969F2" w14:textId="7777777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‘Por isso, os presentes embargos comportam efeitos infringentes. </w:t>
      </w:r>
    </w:p>
    <w:p w14:paraId="67B5D717" w14:textId="4640ED85"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A modificação do resultado, quando decorre logicamente da correção de omissão ou contradição, não desnatura os embargos de declaração. Aqui, a integração pretendida atinge a própria premissa fática que sustentou a improcedência: a suposta comprovação pericial de circulação tributável irregular.</w:t>
      </w:r>
    </w:p>
    <w:p w14:paraId="5B2474FF" w14:textId="0668E35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Reconhecido que a perícia não identificou fornecedor estranho à </w:t>
      </w:r>
      <w:r w:rsidR="00585096">
        <w:rPr>
          <w:rFonts w:ascii="Times New Roman" w:hAnsi="Times New Roman" w:cs="Times New Roman"/>
        </w:rPr>
        <w:t>...</w:t>
      </w:r>
      <w:r w:rsidRPr="009734ED">
        <w:rPr>
          <w:rFonts w:ascii="Times New Roman" w:hAnsi="Times New Roman" w:cs="Times New Roman"/>
        </w:rPr>
        <w:t xml:space="preserve">, não identificou aquisição clandestina, reconheceu a substituição tributária, registrou o controle pelos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e LMC e não concluiu pela efetiva falta de recolhimento do ICMS, a manutenção integral da CDA exige motivação específica que demonstre, por prova concreta, de onde provém e em que consiste a operação autônoma irregular. Ausente essa demonstração, a presunção não pode substituir o exame da prova judicial produzida sob contraditório.</w:t>
      </w:r>
    </w:p>
    <w:p w14:paraId="20A94496" w14:textId="12D4BD25"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9.</w:t>
      </w:r>
      <w:r w:rsidR="00585096" w:rsidRPr="00585096">
        <w:rPr>
          <w:rFonts w:ascii="Times New Roman" w:hAnsi="Times New Roman" w:cs="Times New Roman"/>
          <w:b/>
          <w:bCs/>
        </w:rPr>
        <w:t xml:space="preserve"> </w:t>
      </w:r>
      <w:r w:rsidRPr="00585096">
        <w:rPr>
          <w:rFonts w:ascii="Times New Roman" w:hAnsi="Times New Roman" w:cs="Times New Roman"/>
          <w:b/>
          <w:bCs/>
        </w:rPr>
        <w:t>DO PREQUESTIONAMENTO</w:t>
      </w:r>
    </w:p>
    <w:p w14:paraId="18B90231" w14:textId="7777777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lastRenderedPageBreak/>
        <w:t xml:space="preserve">Para todos os fins, requer-se manifestação expressa sobre os </w:t>
      </w:r>
      <w:proofErr w:type="spellStart"/>
      <w:r w:rsidRPr="009734ED">
        <w:rPr>
          <w:rFonts w:ascii="Times New Roman" w:hAnsi="Times New Roman" w:cs="Times New Roman"/>
        </w:rPr>
        <w:t>arts</w:t>
      </w:r>
      <w:proofErr w:type="spellEnd"/>
      <w:r w:rsidRPr="009734ED">
        <w:rPr>
          <w:rFonts w:ascii="Times New Roman" w:hAnsi="Times New Roman" w:cs="Times New Roman"/>
        </w:rPr>
        <w:t xml:space="preserve">. 10, 141, 371, 479, 489, § 1º, IV, 1.022, I e II, e 1.025 do Código de Processo Civil; </w:t>
      </w:r>
      <w:proofErr w:type="spellStart"/>
      <w:r w:rsidRPr="009734ED">
        <w:rPr>
          <w:rFonts w:ascii="Times New Roman" w:hAnsi="Times New Roman" w:cs="Times New Roman"/>
        </w:rPr>
        <w:t>arts</w:t>
      </w:r>
      <w:proofErr w:type="spellEnd"/>
      <w:r w:rsidRPr="009734ED">
        <w:rPr>
          <w:rFonts w:ascii="Times New Roman" w:hAnsi="Times New Roman" w:cs="Times New Roman"/>
        </w:rPr>
        <w:t>. 113, §§ 2º e 3º, 121, 128, 142 e 204 do Código Tributário Nacional; e art. 3º da Lei nº 6.830/1980, na medida em que o deslinde da controvérsia exige distinguir a presunção de certeza da CDA da prova judicial supervenientemente produzida e motivadamente valorada.</w:t>
      </w:r>
    </w:p>
    <w:p w14:paraId="30CBA95F" w14:textId="77777777" w:rsidR="009734ED" w:rsidRPr="00585096" w:rsidRDefault="009734ED" w:rsidP="009734ED">
      <w:pPr>
        <w:ind w:right="-568"/>
        <w:jc w:val="both"/>
        <w:rPr>
          <w:rFonts w:ascii="Times New Roman" w:hAnsi="Times New Roman" w:cs="Times New Roman"/>
          <w:b/>
          <w:bCs/>
        </w:rPr>
      </w:pPr>
      <w:r w:rsidRPr="00585096">
        <w:rPr>
          <w:rFonts w:ascii="Times New Roman" w:hAnsi="Times New Roman" w:cs="Times New Roman"/>
          <w:b/>
          <w:bCs/>
        </w:rPr>
        <w:t>10. PEDIDOS</w:t>
      </w:r>
    </w:p>
    <w:p w14:paraId="4A75E232" w14:textId="29F8E80F" w:rsidR="009734ED" w:rsidRPr="009734ED" w:rsidRDefault="009734ED" w:rsidP="009734ED">
      <w:pPr>
        <w:ind w:right="-568"/>
        <w:jc w:val="both"/>
        <w:rPr>
          <w:rFonts w:ascii="Times New Roman" w:hAnsi="Times New Roman" w:cs="Times New Roman"/>
        </w:rPr>
      </w:pPr>
      <w:proofErr w:type="spellStart"/>
      <w:r w:rsidRPr="00585096">
        <w:rPr>
          <w:rFonts w:ascii="Times New Roman" w:hAnsi="Times New Roman" w:cs="Times New Roman"/>
          <w:b/>
          <w:bCs/>
          <w:i/>
          <w:iCs/>
        </w:rPr>
        <w:t>Ex</w:t>
      </w:r>
      <w:proofErr w:type="spellEnd"/>
      <w:r w:rsidRPr="00585096">
        <w:rPr>
          <w:rFonts w:ascii="Times New Roman" w:hAnsi="Times New Roman" w:cs="Times New Roman"/>
          <w:b/>
          <w:bCs/>
          <w:i/>
          <w:iCs/>
        </w:rPr>
        <w:t xml:space="preserve"> </w:t>
      </w:r>
      <w:proofErr w:type="spellStart"/>
      <w:r w:rsidRPr="00585096">
        <w:rPr>
          <w:rFonts w:ascii="Times New Roman" w:hAnsi="Times New Roman" w:cs="Times New Roman"/>
          <w:b/>
          <w:bCs/>
          <w:i/>
          <w:iCs/>
        </w:rPr>
        <w:t>postis</w:t>
      </w:r>
      <w:proofErr w:type="spellEnd"/>
      <w:r w:rsidRPr="009734ED">
        <w:rPr>
          <w:rFonts w:ascii="Times New Roman" w:hAnsi="Times New Roman" w:cs="Times New Roman"/>
        </w:rPr>
        <w:t>, o embargante requer:</w:t>
      </w:r>
    </w:p>
    <w:p w14:paraId="1433F32A" w14:textId="1A2E1303" w:rsidR="009734ED" w:rsidRPr="009734ED" w:rsidRDefault="00585096" w:rsidP="009734ED">
      <w:pPr>
        <w:ind w:right="-568"/>
        <w:jc w:val="both"/>
        <w:rPr>
          <w:rFonts w:ascii="Times New Roman" w:hAnsi="Times New Roman" w:cs="Times New Roman"/>
        </w:rPr>
      </w:pPr>
      <w:r w:rsidRPr="00585096">
        <w:rPr>
          <w:rFonts w:ascii="Times New Roman" w:hAnsi="Times New Roman" w:cs="Times New Roman"/>
        </w:rPr>
        <w:t>a)</w:t>
      </w:r>
      <w:r>
        <w:rPr>
          <w:rFonts w:ascii="Times New Roman" w:hAnsi="Times New Roman" w:cs="Times New Roman"/>
        </w:rPr>
        <w:t xml:space="preserve"> </w:t>
      </w:r>
      <w:r w:rsidR="009734ED" w:rsidRPr="00585096">
        <w:rPr>
          <w:rFonts w:ascii="Times New Roman" w:hAnsi="Times New Roman" w:cs="Times New Roman"/>
        </w:rPr>
        <w:t xml:space="preserve">o CONHECIMENTO e ACOLHIMENTO dos presentes embargos de declaração, para que sejam sanadas as contradições internas e omissões apontadas, com pronunciamento expresso sobre as conclusões favoráveis do Laudo Pericial e do Laudo Pericial Complementar, notadamente a inexistência de aquisição de combustível de fornecedor diverso da </w:t>
      </w:r>
      <w:r>
        <w:rPr>
          <w:rFonts w:ascii="Times New Roman" w:hAnsi="Times New Roman" w:cs="Times New Roman"/>
        </w:rPr>
        <w:t>...</w:t>
      </w:r>
      <w:r w:rsidR="009734ED" w:rsidRPr="00585096">
        <w:rPr>
          <w:rFonts w:ascii="Times New Roman" w:hAnsi="Times New Roman" w:cs="Times New Roman"/>
        </w:rPr>
        <w:t>, a sujeição das aquisições ao regime de substituição tributária e a inexistência de conclusão pericial de efetiva falta de recolhimento do ICMS;</w:t>
      </w:r>
    </w:p>
    <w:p w14:paraId="4A9A44F0" w14:textId="24C7A944"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b) que o julgado enfrente expressamente o valor probatório dos </w:t>
      </w:r>
      <w:proofErr w:type="spellStart"/>
      <w:r w:rsidRPr="009734ED">
        <w:rPr>
          <w:rFonts w:ascii="Times New Roman" w:hAnsi="Times New Roman" w:cs="Times New Roman"/>
        </w:rPr>
        <w:t>encerrantes</w:t>
      </w:r>
      <w:proofErr w:type="spellEnd"/>
      <w:r w:rsidRPr="009734ED">
        <w:rPr>
          <w:rFonts w:ascii="Times New Roman" w:hAnsi="Times New Roman" w:cs="Times New Roman"/>
        </w:rPr>
        <w:t xml:space="preserve"> das bombas e sua correspondência com os lançamentos diários no LMC, bem como os esclarecimentos incorporados ao ID </w:t>
      </w:r>
      <w:r w:rsidR="00585096">
        <w:rPr>
          <w:rFonts w:ascii="Times New Roman" w:hAnsi="Times New Roman" w:cs="Times New Roman"/>
        </w:rPr>
        <w:t>...</w:t>
      </w:r>
      <w:r w:rsidRPr="009734ED">
        <w:rPr>
          <w:rFonts w:ascii="Times New Roman" w:hAnsi="Times New Roman" w:cs="Times New Roman"/>
        </w:rPr>
        <w:t xml:space="preserve"> e a prova oral registrada nos </w:t>
      </w:r>
      <w:proofErr w:type="spellStart"/>
      <w:r w:rsidRPr="009734ED">
        <w:rPr>
          <w:rFonts w:ascii="Times New Roman" w:hAnsi="Times New Roman" w:cs="Times New Roman"/>
        </w:rPr>
        <w:t>IDs</w:t>
      </w:r>
      <w:proofErr w:type="spellEnd"/>
      <w:r w:rsidRPr="009734ED">
        <w:rPr>
          <w:rFonts w:ascii="Times New Roman" w:hAnsi="Times New Roman" w:cs="Times New Roman"/>
        </w:rPr>
        <w:t xml:space="preserve"> </w:t>
      </w:r>
      <w:r w:rsidR="00585096">
        <w:rPr>
          <w:rFonts w:ascii="Times New Roman" w:hAnsi="Times New Roman" w:cs="Times New Roman"/>
        </w:rPr>
        <w:t>...</w:t>
      </w:r>
      <w:r w:rsidRPr="009734ED">
        <w:rPr>
          <w:rFonts w:ascii="Times New Roman" w:hAnsi="Times New Roman" w:cs="Times New Roman"/>
        </w:rPr>
        <w:t>;</w:t>
      </w:r>
    </w:p>
    <w:p w14:paraId="6E934A2B" w14:textId="1FBA3386"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 xml:space="preserve">c) que seja explicitado qual fato material e qual prova concreta autorizam a conclusão de que houve aquisição clandestina, circulação de combustível estranho à cadeia </w:t>
      </w:r>
      <w:r w:rsidR="00585096">
        <w:rPr>
          <w:rFonts w:ascii="Times New Roman" w:hAnsi="Times New Roman" w:cs="Times New Roman"/>
        </w:rPr>
        <w:t>...</w:t>
      </w:r>
      <w:r w:rsidRPr="009734ED">
        <w:rPr>
          <w:rFonts w:ascii="Times New Roman" w:hAnsi="Times New Roman" w:cs="Times New Roman"/>
        </w:rPr>
        <w:t xml:space="preserve"> ou operação autônoma não alcançada pelo recolhimento anterior por substituição tributária, uma vez que tais conclusões não constam do laudo pericial;</w:t>
      </w:r>
    </w:p>
    <w:p w14:paraId="182184A6" w14:textId="33526977"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d)</w:t>
      </w:r>
      <w:r w:rsidR="00585096">
        <w:rPr>
          <w:rFonts w:ascii="Times New Roman" w:hAnsi="Times New Roman" w:cs="Times New Roman"/>
        </w:rPr>
        <w:t xml:space="preserve"> </w:t>
      </w:r>
      <w:r w:rsidRPr="009734ED">
        <w:rPr>
          <w:rFonts w:ascii="Times New Roman" w:hAnsi="Times New Roman" w:cs="Times New Roman"/>
        </w:rPr>
        <w:t>que seja enfrentada a tese de que o equívoco de preenchimento das notas fiscais de saída, reconhecido pela própria funcionária que as emitia, constitui irregularidade documental distinta da demonstração do fato gerador do imposto principal novamente exigido;</w:t>
      </w:r>
    </w:p>
    <w:p w14:paraId="58EA89CD" w14:textId="10BE1359"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e)</w:t>
      </w:r>
      <w:r w:rsidR="00585096">
        <w:rPr>
          <w:rFonts w:ascii="Times New Roman" w:hAnsi="Times New Roman" w:cs="Times New Roman"/>
        </w:rPr>
        <w:t xml:space="preserve"> </w:t>
      </w:r>
      <w:r w:rsidRPr="009734ED">
        <w:rPr>
          <w:rFonts w:ascii="Times New Roman" w:hAnsi="Times New Roman" w:cs="Times New Roman"/>
        </w:rPr>
        <w:t>sanados os vícios, sejam atribuídos efeitos infringentes aos embargos para reconhecer a insuficiência da premissa probatória adotada na sentença e, por consequência, julgar procedentes os embargos à execução fiscal, com a desconstituição da exigência impugnada, ou, subsidiariamente, promover o decote das parcelas cuja exigibilidade não esteja concretamente demonstrada;</w:t>
      </w:r>
    </w:p>
    <w:p w14:paraId="4F2ACEB0" w14:textId="76778FAA" w:rsidR="009734ED" w:rsidRPr="009734ED" w:rsidRDefault="009734ED" w:rsidP="009734ED">
      <w:pPr>
        <w:ind w:right="-568"/>
        <w:jc w:val="both"/>
        <w:rPr>
          <w:rFonts w:ascii="Times New Roman" w:hAnsi="Times New Roman" w:cs="Times New Roman"/>
        </w:rPr>
      </w:pPr>
      <w:r w:rsidRPr="009734ED">
        <w:rPr>
          <w:rFonts w:ascii="Times New Roman" w:hAnsi="Times New Roman" w:cs="Times New Roman"/>
        </w:rPr>
        <w:t>f) subsidiariamente, caso Vossa Excelência entenda pela manutenção do resultado, que o faça após manifestação explícita e individualizada sobre todos os pontos ora suscitados, inclusive para fins do art. 1.025 do CPC.</w:t>
      </w:r>
    </w:p>
    <w:p w14:paraId="38481985" w14:textId="71798CE4" w:rsidR="009734ED" w:rsidRPr="009734ED" w:rsidRDefault="009734ED" w:rsidP="00585096">
      <w:pPr>
        <w:spacing w:after="0" w:line="240" w:lineRule="auto"/>
        <w:ind w:right="-567"/>
        <w:jc w:val="center"/>
        <w:rPr>
          <w:rFonts w:ascii="Times New Roman" w:hAnsi="Times New Roman" w:cs="Times New Roman"/>
        </w:rPr>
      </w:pPr>
      <w:r w:rsidRPr="009734ED">
        <w:rPr>
          <w:rFonts w:ascii="Times New Roman" w:hAnsi="Times New Roman" w:cs="Times New Roman"/>
        </w:rPr>
        <w:t>P</w:t>
      </w:r>
      <w:r w:rsidR="00585096">
        <w:rPr>
          <w:rFonts w:ascii="Times New Roman" w:hAnsi="Times New Roman" w:cs="Times New Roman"/>
        </w:rPr>
        <w:t>ede</w:t>
      </w:r>
      <w:r w:rsidRPr="009734ED">
        <w:rPr>
          <w:rFonts w:ascii="Times New Roman" w:hAnsi="Times New Roman" w:cs="Times New Roman"/>
        </w:rPr>
        <w:t xml:space="preserve"> Deferimento.</w:t>
      </w:r>
    </w:p>
    <w:p w14:paraId="13B7F5F7" w14:textId="791EBD4E" w:rsidR="009734ED" w:rsidRDefault="00585096" w:rsidP="00585096">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6C63239A" w14:textId="12384E71" w:rsidR="00585096" w:rsidRPr="009734ED" w:rsidRDefault="00585096" w:rsidP="00585096">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585096" w:rsidRPr="009734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C2159"/>
    <w:multiLevelType w:val="hybridMultilevel"/>
    <w:tmpl w:val="112065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4120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ED"/>
    <w:rsid w:val="00585096"/>
    <w:rsid w:val="009734ED"/>
    <w:rsid w:val="00DE3A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E048"/>
  <w15:chartTrackingRefBased/>
  <w15:docId w15:val="{EDBD925C-3C8A-4739-969C-0AE68C116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734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734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734E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734E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734E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734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734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734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734E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734ED"/>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9734ED"/>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9734ED"/>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9734ED"/>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9734ED"/>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734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734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734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734ED"/>
    <w:rPr>
      <w:rFonts w:eastAsiaTheme="majorEastAsia" w:cstheme="majorBidi"/>
      <w:color w:val="272727" w:themeColor="text1" w:themeTint="D8"/>
    </w:rPr>
  </w:style>
  <w:style w:type="paragraph" w:styleId="Ttulo">
    <w:name w:val="Title"/>
    <w:basedOn w:val="Normal"/>
    <w:next w:val="Normal"/>
    <w:link w:val="TtuloChar"/>
    <w:uiPriority w:val="10"/>
    <w:qFormat/>
    <w:rsid w:val="00973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734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734E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734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734ED"/>
    <w:pPr>
      <w:spacing w:before="160"/>
      <w:jc w:val="center"/>
    </w:pPr>
    <w:rPr>
      <w:i/>
      <w:iCs/>
      <w:color w:val="404040" w:themeColor="text1" w:themeTint="BF"/>
    </w:rPr>
  </w:style>
  <w:style w:type="character" w:customStyle="1" w:styleId="CitaoChar">
    <w:name w:val="Citação Char"/>
    <w:basedOn w:val="Fontepargpadro"/>
    <w:link w:val="Citao"/>
    <w:uiPriority w:val="29"/>
    <w:rsid w:val="009734ED"/>
    <w:rPr>
      <w:i/>
      <w:iCs/>
      <w:color w:val="404040" w:themeColor="text1" w:themeTint="BF"/>
    </w:rPr>
  </w:style>
  <w:style w:type="paragraph" w:styleId="PargrafodaLista">
    <w:name w:val="List Paragraph"/>
    <w:basedOn w:val="Normal"/>
    <w:uiPriority w:val="34"/>
    <w:qFormat/>
    <w:rsid w:val="009734ED"/>
    <w:pPr>
      <w:ind w:left="720"/>
      <w:contextualSpacing/>
    </w:pPr>
  </w:style>
  <w:style w:type="character" w:styleId="nfaseIntensa">
    <w:name w:val="Intense Emphasis"/>
    <w:basedOn w:val="Fontepargpadro"/>
    <w:uiPriority w:val="21"/>
    <w:qFormat/>
    <w:rsid w:val="009734ED"/>
    <w:rPr>
      <w:i/>
      <w:iCs/>
      <w:color w:val="2F5496" w:themeColor="accent1" w:themeShade="BF"/>
    </w:rPr>
  </w:style>
  <w:style w:type="paragraph" w:styleId="CitaoIntensa">
    <w:name w:val="Intense Quote"/>
    <w:basedOn w:val="Normal"/>
    <w:next w:val="Normal"/>
    <w:link w:val="CitaoIntensaChar"/>
    <w:uiPriority w:val="30"/>
    <w:qFormat/>
    <w:rsid w:val="009734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734ED"/>
    <w:rPr>
      <w:i/>
      <w:iCs/>
      <w:color w:val="2F5496" w:themeColor="accent1" w:themeShade="BF"/>
    </w:rPr>
  </w:style>
  <w:style w:type="character" w:styleId="RefernciaIntensa">
    <w:name w:val="Intense Reference"/>
    <w:basedOn w:val="Fontepargpadro"/>
    <w:uiPriority w:val="32"/>
    <w:qFormat/>
    <w:rsid w:val="009734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3693</Words>
  <Characters>19948</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2026-10-05T20:41:00Z</dcterms:created>
  <dcterms:modified xsi:type="dcterms:W3CDTF">2026-10-05T21:00:00Z</dcterms:modified>
</cp:coreProperties>
</file>