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733A" w14:textId="77777777" w:rsidR="003E2408" w:rsidRPr="003E2408" w:rsidRDefault="003E2408" w:rsidP="003E2408">
      <w:pPr>
        <w:spacing w:after="0" w:line="240" w:lineRule="auto"/>
        <w:ind w:right="-568"/>
        <w:jc w:val="center"/>
        <w:rPr>
          <w:rFonts w:ascii="Arial Black" w:hAnsi="Arial Black" w:cs="Times New Roman"/>
        </w:rPr>
      </w:pPr>
      <w:r w:rsidRPr="003E2408">
        <w:rPr>
          <w:rFonts w:ascii="Arial Black" w:hAnsi="Arial Black" w:cs="Times New Roman"/>
        </w:rPr>
        <w:t>MODELO DE PETIÇÃO</w:t>
      </w:r>
    </w:p>
    <w:p w14:paraId="14BB7068" w14:textId="4E9A70A9" w:rsidR="003E2408" w:rsidRPr="003E2408" w:rsidRDefault="003E2408" w:rsidP="003E2408">
      <w:pPr>
        <w:spacing w:after="0" w:line="240" w:lineRule="auto"/>
        <w:ind w:right="-568"/>
        <w:jc w:val="center"/>
        <w:rPr>
          <w:rFonts w:ascii="Arial Black" w:hAnsi="Arial Black" w:cs="Times New Roman"/>
        </w:rPr>
      </w:pPr>
      <w:r w:rsidRPr="003E2408">
        <w:rPr>
          <w:rFonts w:ascii="Arial Black" w:hAnsi="Arial Black" w:cs="Times New Roman"/>
        </w:rPr>
        <w:t>ERRO MATERIAL NA EMENTA DO ACÓRDÃO.</w:t>
      </w:r>
    </w:p>
    <w:p w14:paraId="75D414D4" w14:textId="732868B2" w:rsidR="003E2408" w:rsidRPr="003E2408" w:rsidRDefault="003E2408" w:rsidP="003E2408">
      <w:pPr>
        <w:spacing w:after="0" w:line="240" w:lineRule="auto"/>
        <w:ind w:right="-568"/>
        <w:jc w:val="center"/>
        <w:rPr>
          <w:rFonts w:ascii="Arial Black" w:hAnsi="Arial Black" w:cs="Times New Roman"/>
        </w:rPr>
      </w:pPr>
      <w:r w:rsidRPr="003E2408">
        <w:rPr>
          <w:rFonts w:ascii="Arial Black" w:hAnsi="Arial Black" w:cs="Times New Roman"/>
        </w:rPr>
        <w:t>CONCLUSÃO EQUIVO</w:t>
      </w:r>
      <w:r>
        <w:rPr>
          <w:rFonts w:ascii="Arial Black" w:hAnsi="Arial Black" w:cs="Times New Roman"/>
        </w:rPr>
        <w:t>C</w:t>
      </w:r>
      <w:r w:rsidRPr="003E2408">
        <w:rPr>
          <w:rFonts w:ascii="Arial Black" w:hAnsi="Arial Black" w:cs="Times New Roman"/>
        </w:rPr>
        <w:t>ADA. CORREÇÃO.</w:t>
      </w:r>
    </w:p>
    <w:p w14:paraId="642FFB0E" w14:textId="77777777" w:rsidR="003E2408" w:rsidRPr="003E2408" w:rsidRDefault="003E2408" w:rsidP="003E2408">
      <w:pPr>
        <w:spacing w:after="0" w:line="240" w:lineRule="auto"/>
        <w:ind w:right="-568"/>
        <w:jc w:val="center"/>
        <w:rPr>
          <w:rFonts w:ascii="Arial Black" w:hAnsi="Arial Black" w:cs="Times New Roman"/>
        </w:rPr>
      </w:pPr>
      <w:r w:rsidRPr="003E2408">
        <w:rPr>
          <w:rFonts w:ascii="Arial Black" w:hAnsi="Arial Black" w:cs="Times New Roman"/>
        </w:rPr>
        <w:t>EMBARGOS DE DECLARAÇÃO</w:t>
      </w:r>
    </w:p>
    <w:p w14:paraId="1FBF339C" w14:textId="77777777" w:rsidR="003E2408" w:rsidRPr="003E2408" w:rsidRDefault="003E2408" w:rsidP="003E2408">
      <w:pPr>
        <w:spacing w:after="0" w:line="240" w:lineRule="auto"/>
        <w:ind w:right="-568"/>
        <w:jc w:val="right"/>
        <w:rPr>
          <w:rFonts w:ascii="Arial Black" w:hAnsi="Arial Black" w:cs="Times New Roman"/>
        </w:rPr>
      </w:pPr>
      <w:proofErr w:type="spellStart"/>
      <w:r w:rsidRPr="003E2408">
        <w:rPr>
          <w:rFonts w:ascii="Arial Black" w:hAnsi="Arial Black" w:cs="Times New Roman"/>
        </w:rPr>
        <w:t>Rénan</w:t>
      </w:r>
      <w:proofErr w:type="spellEnd"/>
      <w:r w:rsidRPr="003E2408">
        <w:rPr>
          <w:rFonts w:ascii="Arial Black" w:hAnsi="Arial Black" w:cs="Times New Roman"/>
        </w:rPr>
        <w:t xml:space="preserve"> </w:t>
      </w:r>
      <w:proofErr w:type="spellStart"/>
      <w:r w:rsidRPr="003E2408">
        <w:rPr>
          <w:rFonts w:ascii="Arial Black" w:hAnsi="Arial Black" w:cs="Times New Roman"/>
        </w:rPr>
        <w:t>Kfuri</w:t>
      </w:r>
      <w:proofErr w:type="spellEnd"/>
      <w:r w:rsidRPr="003E2408">
        <w:rPr>
          <w:rFonts w:ascii="Arial Black" w:hAnsi="Arial Black" w:cs="Times New Roman"/>
        </w:rPr>
        <w:t xml:space="preserve"> Lopes</w:t>
      </w:r>
    </w:p>
    <w:p w14:paraId="052BB441" w14:textId="77777777" w:rsidR="003E2408" w:rsidRPr="003E2408" w:rsidRDefault="003E2408" w:rsidP="003E2408">
      <w:pPr>
        <w:ind w:right="-568"/>
        <w:jc w:val="both"/>
        <w:rPr>
          <w:rFonts w:ascii="Times New Roman" w:hAnsi="Times New Roman" w:cs="Times New Roman"/>
        </w:rPr>
      </w:pPr>
    </w:p>
    <w:p w14:paraId="512D73E7" w14:textId="3C810E4B" w:rsidR="003E2408" w:rsidRDefault="003E2408" w:rsidP="003E2408">
      <w:pPr>
        <w:ind w:right="-568"/>
        <w:jc w:val="both"/>
        <w:rPr>
          <w:rFonts w:ascii="Times New Roman" w:hAnsi="Times New Roman" w:cs="Times New Roman"/>
        </w:rPr>
      </w:pPr>
      <w:r w:rsidRPr="003E2408">
        <w:rPr>
          <w:rFonts w:ascii="Times New Roman" w:hAnsi="Times New Roman" w:cs="Times New Roman"/>
        </w:rPr>
        <w:t>E</w:t>
      </w:r>
      <w:r>
        <w:rPr>
          <w:rFonts w:ascii="Times New Roman" w:hAnsi="Times New Roman" w:cs="Times New Roman"/>
        </w:rPr>
        <w:t>xma. Sra. Des. ... – DD Rel. do Agravo de Instrumento n. ... - ... ª Câmara Cível do TJ...</w:t>
      </w:r>
    </w:p>
    <w:p w14:paraId="0C9F0C51" w14:textId="2B773360" w:rsidR="003E2408" w:rsidRPr="003E2408" w:rsidRDefault="003E2408" w:rsidP="003E2408">
      <w:pPr>
        <w:ind w:right="-568"/>
        <w:jc w:val="both"/>
        <w:rPr>
          <w:rFonts w:ascii="Times New Roman" w:hAnsi="Times New Roman" w:cs="Times New Roman"/>
        </w:rPr>
      </w:pPr>
      <w:r>
        <w:rPr>
          <w:rFonts w:ascii="Times New Roman" w:hAnsi="Times New Roman" w:cs="Times New Roman"/>
        </w:rPr>
        <w:t>(nome)</w:t>
      </w:r>
      <w:r w:rsidRPr="003E2408">
        <w:rPr>
          <w:rFonts w:ascii="Times New Roman" w:hAnsi="Times New Roman" w:cs="Times New Roman"/>
        </w:rPr>
        <w:t xml:space="preserve">, por seus advogados </w:t>
      </w:r>
      <w:r w:rsidRPr="003E2408">
        <w:rPr>
          <w:rFonts w:ascii="Times New Roman" w:hAnsi="Times New Roman" w:cs="Times New Roman"/>
          <w:i/>
          <w:iCs/>
        </w:rPr>
        <w:t xml:space="preserve">in fine </w:t>
      </w:r>
      <w:r w:rsidRPr="003E2408">
        <w:rPr>
          <w:rFonts w:ascii="Times New Roman" w:hAnsi="Times New Roman" w:cs="Times New Roman"/>
        </w:rPr>
        <w:t xml:space="preserve">assinados, nos autos do agravo de instrumento epigrafado, interposto </w:t>
      </w:r>
      <w:r>
        <w:rPr>
          <w:rFonts w:ascii="Times New Roman" w:hAnsi="Times New Roman" w:cs="Times New Roman"/>
        </w:rPr>
        <w:t>...</w:t>
      </w:r>
      <w:r w:rsidRPr="003E2408">
        <w:rPr>
          <w:rFonts w:ascii="Times New Roman" w:hAnsi="Times New Roman" w:cs="Times New Roman"/>
        </w:rPr>
        <w:t xml:space="preserve"> E OUTROS, vem, respeitosamente, aviar os presentes embargos de declaração [erro material], pelas razões de direito adiante articuladas:</w:t>
      </w:r>
    </w:p>
    <w:p w14:paraId="706A287D" w14:textId="16FAC19E"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São cabíveis os presentes embargos de declaração, uma vez que o v. acórdão apresenta contradição interna e erro material, especialmente no que se refere à ementa do acórdão no item 5. DAS RAZÕES DE DECIDIR, que afirma o acolhimento da preliminar de incompetência absoluta.</w:t>
      </w:r>
    </w:p>
    <w:p w14:paraId="24ADE29C" w14:textId="2CE298C6"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O v. acórdão embargado consignou na ementa e no item das razões de decidir o seguinte: “</w:t>
      </w:r>
      <w:r w:rsidRPr="003E2408">
        <w:rPr>
          <w:rFonts w:ascii="Times New Roman" w:hAnsi="Times New Roman" w:cs="Times New Roman"/>
          <w:i/>
          <w:iCs/>
        </w:rPr>
        <w:t>Acolhimento da preliminar de incompetência absoluta</w:t>
      </w:r>
      <w:r w:rsidRPr="003E2408">
        <w:rPr>
          <w:rFonts w:ascii="Times New Roman" w:hAnsi="Times New Roman" w:cs="Times New Roman"/>
        </w:rPr>
        <w:t>...”.</w:t>
      </w:r>
    </w:p>
    <w:p w14:paraId="21DB9C0D" w14:textId="0C0BBD9F"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Todavia, data vênia, essa conclusão escrita não corresponde ao resultado do julgamento colegiado, sendo frontalmente contraditória com a parte dispositiva e com os votos vencedores.</w:t>
      </w:r>
    </w:p>
    <w:p w14:paraId="376DA2A8" w14:textId="3976407F"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Com efeito, conforme consta expressamente do v, acórdão:</w:t>
      </w:r>
    </w:p>
    <w:p w14:paraId="0405E200" w14:textId="4FD72FB8"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w:t>
      </w:r>
      <w:r>
        <w:rPr>
          <w:rFonts w:ascii="Times New Roman" w:hAnsi="Times New Roman" w:cs="Times New Roman"/>
        </w:rPr>
        <w:t xml:space="preserve"> </w:t>
      </w:r>
      <w:proofErr w:type="gramStart"/>
      <w:r w:rsidRPr="003E2408">
        <w:rPr>
          <w:rFonts w:ascii="Times New Roman" w:hAnsi="Times New Roman" w:cs="Times New Roman"/>
        </w:rPr>
        <w:t>que</w:t>
      </w:r>
      <w:proofErr w:type="gramEnd"/>
      <w:r w:rsidRPr="003E2408">
        <w:rPr>
          <w:rFonts w:ascii="Times New Roman" w:hAnsi="Times New Roman" w:cs="Times New Roman"/>
        </w:rPr>
        <w:t xml:space="preserve"> a Relatora, Des. </w:t>
      </w:r>
      <w:r>
        <w:rPr>
          <w:rFonts w:ascii="Times New Roman" w:hAnsi="Times New Roman" w:cs="Times New Roman"/>
        </w:rPr>
        <w:t>...</w:t>
      </w:r>
      <w:r w:rsidRPr="003E2408">
        <w:rPr>
          <w:rFonts w:ascii="Times New Roman" w:hAnsi="Times New Roman" w:cs="Times New Roman"/>
        </w:rPr>
        <w:t xml:space="preserve">, votou pelo acolhimento da preliminar de incompetência, reconhecendo a nulidade da decisão e determinando a remessa ao Juízo do Inventário; </w:t>
      </w:r>
    </w:p>
    <w:p w14:paraId="70BBC634" w14:textId="79075FE7"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w:t>
      </w:r>
      <w:r>
        <w:rPr>
          <w:rFonts w:ascii="Times New Roman" w:hAnsi="Times New Roman" w:cs="Times New Roman"/>
        </w:rPr>
        <w:t xml:space="preserve"> </w:t>
      </w:r>
      <w:proofErr w:type="gramStart"/>
      <w:r w:rsidRPr="003E2408">
        <w:rPr>
          <w:rFonts w:ascii="Times New Roman" w:hAnsi="Times New Roman" w:cs="Times New Roman"/>
        </w:rPr>
        <w:t>entretanto</w:t>
      </w:r>
      <w:proofErr w:type="gramEnd"/>
      <w:r w:rsidRPr="003E2408">
        <w:rPr>
          <w:rFonts w:ascii="Times New Roman" w:hAnsi="Times New Roman" w:cs="Times New Roman"/>
        </w:rPr>
        <w:t xml:space="preserve">, esse entendimento restou vencido, tendo os Desembargadores vogais, Des. </w:t>
      </w:r>
      <w:r>
        <w:rPr>
          <w:rFonts w:ascii="Times New Roman" w:hAnsi="Times New Roman" w:cs="Times New Roman"/>
        </w:rPr>
        <w:t>...</w:t>
      </w:r>
      <w:r w:rsidRPr="003E2408">
        <w:rPr>
          <w:rFonts w:ascii="Times New Roman" w:hAnsi="Times New Roman" w:cs="Times New Roman"/>
        </w:rPr>
        <w:t xml:space="preserve"> e Des. </w:t>
      </w:r>
      <w:r>
        <w:rPr>
          <w:rFonts w:ascii="Times New Roman" w:hAnsi="Times New Roman" w:cs="Times New Roman"/>
        </w:rPr>
        <w:t>...</w:t>
      </w:r>
      <w:r w:rsidRPr="003E2408">
        <w:rPr>
          <w:rFonts w:ascii="Times New Roman" w:hAnsi="Times New Roman" w:cs="Times New Roman"/>
        </w:rPr>
        <w:t>, divergido para:</w:t>
      </w:r>
    </w:p>
    <w:p w14:paraId="6EAFBF89" w14:textId="339AD688" w:rsidR="003E2408" w:rsidRPr="003E2408" w:rsidRDefault="003E2408" w:rsidP="003E2408">
      <w:pPr>
        <w:ind w:right="-568"/>
        <w:jc w:val="both"/>
        <w:rPr>
          <w:rFonts w:ascii="Times New Roman" w:hAnsi="Times New Roman" w:cs="Times New Roman"/>
        </w:rPr>
      </w:pPr>
      <w:r>
        <w:rPr>
          <w:rFonts w:ascii="Times New Roman" w:hAnsi="Times New Roman" w:cs="Times New Roman"/>
        </w:rPr>
        <w:t xml:space="preserve">- </w:t>
      </w:r>
      <w:proofErr w:type="gramStart"/>
      <w:r w:rsidRPr="003E2408">
        <w:rPr>
          <w:rFonts w:ascii="Times New Roman" w:hAnsi="Times New Roman" w:cs="Times New Roman"/>
        </w:rPr>
        <w:t>rejeitar/desacolher</w:t>
      </w:r>
      <w:proofErr w:type="gramEnd"/>
      <w:r w:rsidRPr="003E2408">
        <w:rPr>
          <w:rFonts w:ascii="Times New Roman" w:hAnsi="Times New Roman" w:cs="Times New Roman"/>
        </w:rPr>
        <w:t xml:space="preserve"> a preliminar de incompetência absoluta;</w:t>
      </w:r>
    </w:p>
    <w:p w14:paraId="6753D457" w14:textId="2983F7ED" w:rsidR="003E2408" w:rsidRPr="003E2408" w:rsidRDefault="003E2408" w:rsidP="003E2408">
      <w:pPr>
        <w:ind w:right="-568"/>
        <w:jc w:val="both"/>
        <w:rPr>
          <w:rFonts w:ascii="Times New Roman" w:hAnsi="Times New Roman" w:cs="Times New Roman"/>
        </w:rPr>
      </w:pPr>
      <w:r>
        <w:rPr>
          <w:rFonts w:ascii="Times New Roman" w:hAnsi="Times New Roman" w:cs="Times New Roman"/>
        </w:rPr>
        <w:t xml:space="preserve">- </w:t>
      </w:r>
      <w:proofErr w:type="gramStart"/>
      <w:r w:rsidRPr="003E2408">
        <w:rPr>
          <w:rFonts w:ascii="Times New Roman" w:hAnsi="Times New Roman" w:cs="Times New Roman"/>
        </w:rPr>
        <w:t>reconhecer</w:t>
      </w:r>
      <w:proofErr w:type="gramEnd"/>
      <w:r w:rsidRPr="003E2408">
        <w:rPr>
          <w:rFonts w:ascii="Times New Roman" w:hAnsi="Times New Roman" w:cs="Times New Roman"/>
        </w:rPr>
        <w:t xml:space="preserve"> a competência do Juízo de Família para apreciar a demanda, inclusive com a cumulação dos pedidos. </w:t>
      </w:r>
    </w:p>
    <w:p w14:paraId="00EAD446" w14:textId="6E0F00A4"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 xml:space="preserve">A Des. </w:t>
      </w:r>
      <w:r>
        <w:rPr>
          <w:rFonts w:ascii="Times New Roman" w:hAnsi="Times New Roman" w:cs="Times New Roman"/>
        </w:rPr>
        <w:t>...</w:t>
      </w:r>
      <w:r w:rsidRPr="003E2408">
        <w:rPr>
          <w:rFonts w:ascii="Times New Roman" w:hAnsi="Times New Roman" w:cs="Times New Roman"/>
        </w:rPr>
        <w:t xml:space="preserve"> fundamentou a divergência destacando, em síntese:</w:t>
      </w:r>
    </w:p>
    <w:p w14:paraId="4BDE271E" w14:textId="7F2F072E"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w:t>
      </w:r>
      <w:r>
        <w:rPr>
          <w:rFonts w:ascii="Times New Roman" w:hAnsi="Times New Roman" w:cs="Times New Roman"/>
        </w:rPr>
        <w:t xml:space="preserve"> </w:t>
      </w:r>
      <w:proofErr w:type="gramStart"/>
      <w:r w:rsidRPr="003E2408">
        <w:rPr>
          <w:rFonts w:ascii="Times New Roman" w:hAnsi="Times New Roman" w:cs="Times New Roman"/>
        </w:rPr>
        <w:t>a</w:t>
      </w:r>
      <w:proofErr w:type="gramEnd"/>
      <w:r w:rsidRPr="003E2408">
        <w:rPr>
          <w:rFonts w:ascii="Times New Roman" w:hAnsi="Times New Roman" w:cs="Times New Roman"/>
        </w:rPr>
        <w:t xml:space="preserve"> possibilidade de cumulação da ação de investigação de </w:t>
      </w:r>
      <w:r w:rsidRPr="003E2408">
        <w:rPr>
          <w:rFonts w:ascii="Times New Roman" w:hAnsi="Times New Roman" w:cs="Times New Roman"/>
        </w:rPr>
        <w:tab/>
        <w:t>paternidade com petição de herança;</w:t>
      </w:r>
    </w:p>
    <w:p w14:paraId="248F91C1" w14:textId="7E15FD2F"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w:t>
      </w:r>
      <w:r>
        <w:rPr>
          <w:rFonts w:ascii="Times New Roman" w:hAnsi="Times New Roman" w:cs="Times New Roman"/>
        </w:rPr>
        <w:t xml:space="preserve"> </w:t>
      </w:r>
      <w:proofErr w:type="gramStart"/>
      <w:r w:rsidRPr="003E2408">
        <w:rPr>
          <w:rFonts w:ascii="Times New Roman" w:hAnsi="Times New Roman" w:cs="Times New Roman"/>
        </w:rPr>
        <w:t>a</w:t>
      </w:r>
      <w:proofErr w:type="gramEnd"/>
      <w:r w:rsidRPr="003E2408">
        <w:rPr>
          <w:rFonts w:ascii="Times New Roman" w:hAnsi="Times New Roman" w:cs="Times New Roman"/>
        </w:rPr>
        <w:t xml:space="preserve"> inexistência de competência absoluta exclusiva do juízo do inventário;</w:t>
      </w:r>
    </w:p>
    <w:p w14:paraId="32D74E9D" w14:textId="30443DA5"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w:t>
      </w:r>
      <w:proofErr w:type="gramStart"/>
      <w:r w:rsidRPr="003E2408">
        <w:rPr>
          <w:rFonts w:ascii="Times New Roman" w:hAnsi="Times New Roman" w:cs="Times New Roman"/>
        </w:rPr>
        <w:t>a</w:t>
      </w:r>
      <w:proofErr w:type="gramEnd"/>
      <w:r w:rsidRPr="003E2408">
        <w:rPr>
          <w:rFonts w:ascii="Times New Roman" w:hAnsi="Times New Roman" w:cs="Times New Roman"/>
        </w:rPr>
        <w:t xml:space="preserve"> admissibilidade da competência para apreciação e julgamento pelo juízo de família, inclusive quanto a questões patrimoniais decorrentes da relação de estado. </w:t>
      </w:r>
    </w:p>
    <w:p w14:paraId="7B414E02" w14:textId="7CC3774F"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 xml:space="preserve">E o Des. </w:t>
      </w:r>
      <w:r>
        <w:rPr>
          <w:rFonts w:ascii="Times New Roman" w:hAnsi="Times New Roman" w:cs="Times New Roman"/>
        </w:rPr>
        <w:t>...</w:t>
      </w:r>
      <w:r w:rsidRPr="003E2408">
        <w:rPr>
          <w:rFonts w:ascii="Times New Roman" w:hAnsi="Times New Roman" w:cs="Times New Roman"/>
        </w:rPr>
        <w:t xml:space="preserve">, por sua vez, acompanhou integralmente a divergência, consolidando a maioria no sentido da competência do juízo de família. </w:t>
      </w:r>
    </w:p>
    <w:p w14:paraId="18FDE135" w14:textId="71C517E5"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lastRenderedPageBreak/>
        <w:t>A própria súmula do acórdão concluiu pelo resultado efetivo do julgamento ao afirmar: “</w:t>
      </w:r>
      <w:r w:rsidRPr="003E2408">
        <w:rPr>
          <w:rFonts w:ascii="Times New Roman" w:hAnsi="Times New Roman" w:cs="Times New Roman"/>
          <w:i/>
          <w:iCs/>
        </w:rPr>
        <w:t>REJEITARAM PRELIMINARES SUSCITADAS E NEGARAM PROVIMENTO AO RECURSO</w:t>
      </w:r>
      <w:r w:rsidRPr="003E2408">
        <w:rPr>
          <w:rFonts w:ascii="Times New Roman" w:hAnsi="Times New Roman" w:cs="Times New Roman"/>
        </w:rPr>
        <w:t>”.</w:t>
      </w:r>
    </w:p>
    <w:p w14:paraId="6E8A3F14" w14:textId="31329252"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Ou seja, por maioria, a preliminar de incompetência absoluta foi rejeitada, e não acolhida.</w:t>
      </w:r>
    </w:p>
    <w:p w14:paraId="2A0DDBD4" w14:textId="40CDE973"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Diante disso, resta evidente a necessidade de correção da ementa e do item 5 por erro material, vez que flagrante a contradição interna (i) entre a fundamentação [item 5 e ementa]; (</w:t>
      </w:r>
      <w:proofErr w:type="spellStart"/>
      <w:r w:rsidRPr="003E2408">
        <w:rPr>
          <w:rFonts w:ascii="Times New Roman" w:hAnsi="Times New Roman" w:cs="Times New Roman"/>
        </w:rPr>
        <w:t>ii</w:t>
      </w:r>
      <w:proofErr w:type="spellEnd"/>
      <w:r w:rsidRPr="003E2408">
        <w:rPr>
          <w:rFonts w:ascii="Times New Roman" w:hAnsi="Times New Roman" w:cs="Times New Roman"/>
        </w:rPr>
        <w:t>) o resultado do julgamento [dispositivo e votos vencedores]; (</w:t>
      </w:r>
      <w:proofErr w:type="spellStart"/>
      <w:r w:rsidRPr="003E2408">
        <w:rPr>
          <w:rFonts w:ascii="Times New Roman" w:hAnsi="Times New Roman" w:cs="Times New Roman"/>
        </w:rPr>
        <w:t>iii</w:t>
      </w:r>
      <w:proofErr w:type="spellEnd"/>
      <w:r w:rsidRPr="003E2408">
        <w:rPr>
          <w:rFonts w:ascii="Times New Roman" w:hAnsi="Times New Roman" w:cs="Times New Roman"/>
        </w:rPr>
        <w:t>) o erro material, ao registrara a acolhida da preliminar que, na realidade, foi rejeitada por maioria</w:t>
      </w:r>
      <w:r>
        <w:rPr>
          <w:rStyle w:val="Refdenotaderodap"/>
          <w:rFonts w:ascii="Times New Roman" w:hAnsi="Times New Roman" w:cs="Times New Roman"/>
        </w:rPr>
        <w:footnoteReference w:id="1"/>
      </w:r>
      <w:r w:rsidRPr="003E2408">
        <w:rPr>
          <w:rFonts w:ascii="Times New Roman" w:hAnsi="Times New Roman" w:cs="Times New Roman"/>
        </w:rPr>
        <w:t xml:space="preserve">. </w:t>
      </w:r>
    </w:p>
    <w:p w14:paraId="3ECB97B4" w14:textId="108A6719"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Essas inconsistências comprometeram a exatidão do julgado e haverão de ser corrigidas, para evitar equívocos interpretativos.</w:t>
      </w:r>
    </w:p>
    <w:p w14:paraId="6BBFB2AD" w14:textId="65DCFBB0" w:rsidR="003E2408" w:rsidRPr="003E2408" w:rsidRDefault="003E2408" w:rsidP="003E2408">
      <w:pPr>
        <w:ind w:right="-568"/>
        <w:jc w:val="both"/>
        <w:rPr>
          <w:rFonts w:ascii="Times New Roman" w:hAnsi="Times New Roman" w:cs="Times New Roman"/>
        </w:rPr>
      </w:pPr>
      <w:proofErr w:type="spellStart"/>
      <w:r w:rsidRPr="003E2408">
        <w:rPr>
          <w:rFonts w:ascii="Times New Roman" w:hAnsi="Times New Roman" w:cs="Times New Roman"/>
          <w:b/>
          <w:bCs/>
          <w:i/>
          <w:iCs/>
        </w:rPr>
        <w:t>Ex</w:t>
      </w:r>
      <w:proofErr w:type="spellEnd"/>
      <w:r w:rsidRPr="003E2408">
        <w:rPr>
          <w:rFonts w:ascii="Times New Roman" w:hAnsi="Times New Roman" w:cs="Times New Roman"/>
          <w:b/>
          <w:bCs/>
          <w:i/>
          <w:iCs/>
        </w:rPr>
        <w:t xml:space="preserve"> positis</w:t>
      </w:r>
      <w:r w:rsidRPr="003E2408">
        <w:rPr>
          <w:rFonts w:ascii="Times New Roman" w:hAnsi="Times New Roman" w:cs="Times New Roman"/>
        </w:rPr>
        <w:t>, a embargante requer:</w:t>
      </w:r>
    </w:p>
    <w:p w14:paraId="2C286CAA" w14:textId="69B07237"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a) o conhecimento e acolhimento dos presentes embargos de declaração, para sanar a contradição e o erro material;</w:t>
      </w:r>
    </w:p>
    <w:p w14:paraId="25DD6E1B" w14:textId="080F390A"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b)</w:t>
      </w:r>
      <w:r>
        <w:rPr>
          <w:rFonts w:ascii="Times New Roman" w:hAnsi="Times New Roman" w:cs="Times New Roman"/>
        </w:rPr>
        <w:t xml:space="preserve"> </w:t>
      </w:r>
      <w:r w:rsidRPr="003E2408">
        <w:rPr>
          <w:rFonts w:ascii="Times New Roman" w:hAnsi="Times New Roman" w:cs="Times New Roman"/>
        </w:rPr>
        <w:t>seja corrigida a ementa do acórdão, para refletir o real resultado do julgamento;</w:t>
      </w:r>
    </w:p>
    <w:p w14:paraId="37025BE1" w14:textId="0BB391E7"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 xml:space="preserve"> seja retificado o item 5 das razões de decidir, substituindo-se o indevido</w:t>
      </w:r>
      <w:r>
        <w:rPr>
          <w:rFonts w:ascii="Times New Roman" w:hAnsi="Times New Roman" w:cs="Times New Roman"/>
        </w:rPr>
        <w:t xml:space="preserve"> </w:t>
      </w:r>
      <w:r w:rsidRPr="003E2408">
        <w:rPr>
          <w:rFonts w:ascii="Times New Roman" w:hAnsi="Times New Roman" w:cs="Times New Roman"/>
        </w:rPr>
        <w:t>“</w:t>
      </w:r>
      <w:r w:rsidRPr="003E2408">
        <w:rPr>
          <w:rFonts w:ascii="Times New Roman" w:hAnsi="Times New Roman" w:cs="Times New Roman"/>
          <w:i/>
          <w:iCs/>
        </w:rPr>
        <w:t>acolhimento da preliminar de incompetência absoluta</w:t>
      </w:r>
      <w:r w:rsidRPr="003E2408">
        <w:rPr>
          <w:rFonts w:ascii="Times New Roman" w:hAnsi="Times New Roman" w:cs="Times New Roman"/>
        </w:rPr>
        <w:t>” por sua correta rejeição por</w:t>
      </w:r>
      <w:r>
        <w:rPr>
          <w:rFonts w:ascii="Times New Roman" w:hAnsi="Times New Roman" w:cs="Times New Roman"/>
        </w:rPr>
        <w:t xml:space="preserve"> </w:t>
      </w:r>
      <w:r w:rsidRPr="003E2408">
        <w:rPr>
          <w:rFonts w:ascii="Times New Roman" w:hAnsi="Times New Roman" w:cs="Times New Roman"/>
        </w:rPr>
        <w:t>maioria;</w:t>
      </w:r>
    </w:p>
    <w:p w14:paraId="33C50BAB" w14:textId="09BAD23B" w:rsidR="003E2408" w:rsidRPr="003E2408" w:rsidRDefault="003E2408" w:rsidP="003E2408">
      <w:pPr>
        <w:ind w:right="-568"/>
        <w:jc w:val="both"/>
        <w:rPr>
          <w:rFonts w:ascii="Times New Roman" w:hAnsi="Times New Roman" w:cs="Times New Roman"/>
        </w:rPr>
      </w:pPr>
      <w:r w:rsidRPr="003E2408">
        <w:rPr>
          <w:rFonts w:ascii="Times New Roman" w:hAnsi="Times New Roman" w:cs="Times New Roman"/>
        </w:rPr>
        <w:t>conste expressamente que o voto da Relatora foi vencido quanto à preliminar de incompetência, prevalecidos os votos dos Desembargadores vogais, que reconheceram a competência do Juízo de Família.</w:t>
      </w:r>
    </w:p>
    <w:p w14:paraId="118E3B55" w14:textId="128FEDC7" w:rsidR="003E2408" w:rsidRPr="003E2408" w:rsidRDefault="003E2408" w:rsidP="003E2408">
      <w:pPr>
        <w:spacing w:after="0" w:line="240" w:lineRule="auto"/>
        <w:ind w:right="-568"/>
        <w:jc w:val="center"/>
        <w:rPr>
          <w:rFonts w:ascii="Times New Roman" w:hAnsi="Times New Roman" w:cs="Times New Roman"/>
        </w:rPr>
      </w:pPr>
      <w:r w:rsidRPr="003E2408">
        <w:rPr>
          <w:rFonts w:ascii="Times New Roman" w:hAnsi="Times New Roman" w:cs="Times New Roman"/>
        </w:rPr>
        <w:t>P</w:t>
      </w:r>
      <w:r>
        <w:rPr>
          <w:rFonts w:ascii="Times New Roman" w:hAnsi="Times New Roman" w:cs="Times New Roman"/>
        </w:rPr>
        <w:t>ede</w:t>
      </w:r>
      <w:r w:rsidRPr="003E2408">
        <w:rPr>
          <w:rFonts w:ascii="Times New Roman" w:hAnsi="Times New Roman" w:cs="Times New Roman"/>
        </w:rPr>
        <w:t xml:space="preserve"> Deferimento.</w:t>
      </w:r>
    </w:p>
    <w:p w14:paraId="7C0CB074" w14:textId="7FF207E9" w:rsidR="003E2408" w:rsidRDefault="003E2408" w:rsidP="003E2408">
      <w:pPr>
        <w:spacing w:after="0" w:line="240" w:lineRule="auto"/>
        <w:ind w:right="-568"/>
        <w:jc w:val="center"/>
        <w:rPr>
          <w:rFonts w:ascii="Times New Roman" w:hAnsi="Times New Roman" w:cs="Times New Roman"/>
        </w:rPr>
      </w:pPr>
      <w:r>
        <w:rPr>
          <w:rFonts w:ascii="Times New Roman" w:hAnsi="Times New Roman" w:cs="Times New Roman"/>
        </w:rPr>
        <w:t>(Local e data)</w:t>
      </w:r>
    </w:p>
    <w:p w14:paraId="75A65606" w14:textId="7D128BA2" w:rsidR="003E2408" w:rsidRPr="003E2408" w:rsidRDefault="003E2408" w:rsidP="003E2408">
      <w:pPr>
        <w:spacing w:after="0" w:line="240" w:lineRule="auto"/>
        <w:ind w:right="-568"/>
        <w:jc w:val="center"/>
        <w:rPr>
          <w:rFonts w:ascii="Times New Roman" w:hAnsi="Times New Roman" w:cs="Times New Roman"/>
        </w:rPr>
      </w:pPr>
      <w:r>
        <w:rPr>
          <w:rFonts w:ascii="Times New Roman" w:hAnsi="Times New Roman" w:cs="Times New Roman"/>
        </w:rPr>
        <w:t>(Assinatura e OAB do Advogado)</w:t>
      </w:r>
    </w:p>
    <w:sectPr w:rsidR="003E2408" w:rsidRPr="003E24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501D" w14:textId="77777777" w:rsidR="000F32FE" w:rsidRDefault="000F32FE" w:rsidP="003E2408">
      <w:pPr>
        <w:spacing w:after="0" w:line="240" w:lineRule="auto"/>
      </w:pPr>
      <w:r>
        <w:separator/>
      </w:r>
    </w:p>
  </w:endnote>
  <w:endnote w:type="continuationSeparator" w:id="0">
    <w:p w14:paraId="0ADB761C" w14:textId="77777777" w:rsidR="000F32FE" w:rsidRDefault="000F32FE" w:rsidP="003E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4AA9" w14:textId="77777777" w:rsidR="000F32FE" w:rsidRDefault="000F32FE" w:rsidP="003E2408">
      <w:pPr>
        <w:spacing w:after="0" w:line="240" w:lineRule="auto"/>
      </w:pPr>
      <w:r>
        <w:separator/>
      </w:r>
    </w:p>
  </w:footnote>
  <w:footnote w:type="continuationSeparator" w:id="0">
    <w:p w14:paraId="319A9AB6" w14:textId="77777777" w:rsidR="000F32FE" w:rsidRDefault="000F32FE" w:rsidP="003E2408">
      <w:pPr>
        <w:spacing w:after="0" w:line="240" w:lineRule="auto"/>
      </w:pPr>
      <w:r>
        <w:continuationSeparator/>
      </w:r>
    </w:p>
  </w:footnote>
  <w:footnote w:id="1">
    <w:p w14:paraId="3681AC3B" w14:textId="3E83A7D6" w:rsidR="003E2408" w:rsidRPr="003E2408" w:rsidRDefault="003E2408" w:rsidP="003E2408">
      <w:pPr>
        <w:pStyle w:val="Textodenotaderodap"/>
        <w:ind w:right="-568"/>
        <w:jc w:val="both"/>
        <w:rPr>
          <w:rFonts w:ascii="Times New Roman" w:hAnsi="Times New Roman" w:cs="Times New Roman"/>
        </w:rPr>
      </w:pPr>
      <w:r w:rsidRPr="003E2408">
        <w:rPr>
          <w:rStyle w:val="Refdenotaderodap"/>
          <w:rFonts w:ascii="Times New Roman" w:hAnsi="Times New Roman" w:cs="Times New Roman"/>
        </w:rPr>
        <w:footnoteRef/>
      </w:r>
      <w:r w:rsidRPr="003E2408">
        <w:rPr>
          <w:rFonts w:ascii="Times New Roman" w:hAnsi="Times New Roman" w:cs="Times New Roman"/>
        </w:rPr>
        <w:t xml:space="preserve"> </w:t>
      </w:r>
      <w:r w:rsidRPr="003E2408">
        <w:rPr>
          <w:rFonts w:ascii="Times New Roman" w:hAnsi="Times New Roman" w:cs="Times New Roman"/>
        </w:rPr>
        <w:t xml:space="preserve">PROCESSUAL CIVIL. EMBARGOS DE DECLARAÇÃO. ERRO MATERIAL VERIFICADO. EMENTA ALHEIA AOS </w:t>
      </w:r>
      <w:proofErr w:type="gramStart"/>
      <w:r w:rsidRPr="003E2408">
        <w:rPr>
          <w:rFonts w:ascii="Times New Roman" w:hAnsi="Times New Roman" w:cs="Times New Roman"/>
        </w:rPr>
        <w:t>AUTOS .</w:t>
      </w:r>
      <w:proofErr w:type="gramEnd"/>
      <w:r w:rsidRPr="003E2408">
        <w:rPr>
          <w:rFonts w:ascii="Times New Roman" w:hAnsi="Times New Roman" w:cs="Times New Roman"/>
        </w:rPr>
        <w:t xml:space="preserve"> NOVA PUBLICAÇÃO DA EMENTA/ACORDÃO. ACOLHIMENTO DOS EMBARGOS SEM EFEITOS INFRINGENTES. 1. Os Embargos Declaratórios são cabíveis para a modificação do julgado que se apresenta omisso, contraditório ou obscuro, bem como para sanar possível erro material existente no julgado. 2. Em análise detida do decisum embargado, constato que assiste razão à parte embargante, no tocante à ocorrência de erro material na publicação da Ementa/Acórdão... Diante de tal erro, torna-se necessária nova publicação da Ementa/Acórdão. 4. Embargos de Declaração acolhidos, sem efeitos infringentes, para corrigir erro material [STJ, </w:t>
      </w:r>
      <w:proofErr w:type="spellStart"/>
      <w:r w:rsidRPr="003E2408">
        <w:rPr>
          <w:rFonts w:ascii="Times New Roman" w:hAnsi="Times New Roman" w:cs="Times New Roman"/>
        </w:rPr>
        <w:t>EDcl</w:t>
      </w:r>
      <w:proofErr w:type="spellEnd"/>
      <w:r w:rsidRPr="003E2408">
        <w:rPr>
          <w:rFonts w:ascii="Times New Roman" w:hAnsi="Times New Roman" w:cs="Times New Roman"/>
        </w:rPr>
        <w:t xml:space="preserve"> no </w:t>
      </w:r>
      <w:proofErr w:type="spellStart"/>
      <w:r w:rsidRPr="003E2408">
        <w:rPr>
          <w:rFonts w:ascii="Times New Roman" w:hAnsi="Times New Roman" w:cs="Times New Roman"/>
        </w:rPr>
        <w:t>AgInt</w:t>
      </w:r>
      <w:proofErr w:type="spellEnd"/>
      <w:r w:rsidRPr="003E2408">
        <w:rPr>
          <w:rFonts w:ascii="Times New Roman" w:hAnsi="Times New Roman" w:cs="Times New Roman"/>
        </w:rPr>
        <w:t xml:space="preserve"> no REsp 1906991/PE SEGUNDA TURMA, </w:t>
      </w:r>
      <w:proofErr w:type="spellStart"/>
      <w:r w:rsidRPr="003E2408">
        <w:rPr>
          <w:rFonts w:ascii="Times New Roman" w:hAnsi="Times New Roman" w:cs="Times New Roman"/>
        </w:rPr>
        <w:t>DJe</w:t>
      </w:r>
      <w:proofErr w:type="spellEnd"/>
      <w:r w:rsidRPr="003E2408">
        <w:rPr>
          <w:rFonts w:ascii="Times New Roman" w:hAnsi="Times New Roman" w:cs="Times New Roman"/>
        </w:rPr>
        <w:t xml:space="preserve"> 24/06/2022].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08"/>
    <w:rsid w:val="000F32FE"/>
    <w:rsid w:val="003E2408"/>
    <w:rsid w:val="00D3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760D"/>
  <w15:chartTrackingRefBased/>
  <w15:docId w15:val="{A8EC1187-DF28-4AF9-BB71-3D16FBBB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2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E2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E24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E24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E24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E24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24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24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240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240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E240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E240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E240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E240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E24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24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24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2408"/>
    <w:rPr>
      <w:rFonts w:eastAsiaTheme="majorEastAsia" w:cstheme="majorBidi"/>
      <w:color w:val="272727" w:themeColor="text1" w:themeTint="D8"/>
    </w:rPr>
  </w:style>
  <w:style w:type="paragraph" w:styleId="Ttulo">
    <w:name w:val="Title"/>
    <w:basedOn w:val="Normal"/>
    <w:next w:val="Normal"/>
    <w:link w:val="TtuloChar"/>
    <w:uiPriority w:val="10"/>
    <w:qFormat/>
    <w:rsid w:val="003E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24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240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24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2408"/>
    <w:pPr>
      <w:spacing w:before="160"/>
      <w:jc w:val="center"/>
    </w:pPr>
    <w:rPr>
      <w:i/>
      <w:iCs/>
      <w:color w:val="404040" w:themeColor="text1" w:themeTint="BF"/>
    </w:rPr>
  </w:style>
  <w:style w:type="character" w:customStyle="1" w:styleId="CitaoChar">
    <w:name w:val="Citação Char"/>
    <w:basedOn w:val="Fontepargpadro"/>
    <w:link w:val="Citao"/>
    <w:uiPriority w:val="29"/>
    <w:rsid w:val="003E2408"/>
    <w:rPr>
      <w:i/>
      <w:iCs/>
      <w:color w:val="404040" w:themeColor="text1" w:themeTint="BF"/>
    </w:rPr>
  </w:style>
  <w:style w:type="paragraph" w:styleId="PargrafodaLista">
    <w:name w:val="List Paragraph"/>
    <w:basedOn w:val="Normal"/>
    <w:uiPriority w:val="34"/>
    <w:qFormat/>
    <w:rsid w:val="003E2408"/>
    <w:pPr>
      <w:ind w:left="720"/>
      <w:contextualSpacing/>
    </w:pPr>
  </w:style>
  <w:style w:type="character" w:styleId="nfaseIntensa">
    <w:name w:val="Intense Emphasis"/>
    <w:basedOn w:val="Fontepargpadro"/>
    <w:uiPriority w:val="21"/>
    <w:qFormat/>
    <w:rsid w:val="003E2408"/>
    <w:rPr>
      <w:i/>
      <w:iCs/>
      <w:color w:val="2F5496" w:themeColor="accent1" w:themeShade="BF"/>
    </w:rPr>
  </w:style>
  <w:style w:type="paragraph" w:styleId="CitaoIntensa">
    <w:name w:val="Intense Quote"/>
    <w:basedOn w:val="Normal"/>
    <w:next w:val="Normal"/>
    <w:link w:val="CitaoIntensaChar"/>
    <w:uiPriority w:val="30"/>
    <w:qFormat/>
    <w:rsid w:val="003E2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E2408"/>
    <w:rPr>
      <w:i/>
      <w:iCs/>
      <w:color w:val="2F5496" w:themeColor="accent1" w:themeShade="BF"/>
    </w:rPr>
  </w:style>
  <w:style w:type="character" w:styleId="RefernciaIntensa">
    <w:name w:val="Intense Reference"/>
    <w:basedOn w:val="Fontepargpadro"/>
    <w:uiPriority w:val="32"/>
    <w:qFormat/>
    <w:rsid w:val="003E2408"/>
    <w:rPr>
      <w:b/>
      <w:bCs/>
      <w:smallCaps/>
      <w:color w:val="2F5496" w:themeColor="accent1" w:themeShade="BF"/>
      <w:spacing w:val="5"/>
    </w:rPr>
  </w:style>
  <w:style w:type="paragraph" w:styleId="Textodenotaderodap">
    <w:name w:val="footnote text"/>
    <w:basedOn w:val="Normal"/>
    <w:link w:val="TextodenotaderodapChar"/>
    <w:uiPriority w:val="99"/>
    <w:unhideWhenUsed/>
    <w:rsid w:val="003E24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E2408"/>
    <w:rPr>
      <w:sz w:val="20"/>
      <w:szCs w:val="20"/>
    </w:rPr>
  </w:style>
  <w:style w:type="character" w:styleId="Refdenotaderodap">
    <w:name w:val="footnote reference"/>
    <w:basedOn w:val="Fontepargpadro"/>
    <w:uiPriority w:val="99"/>
    <w:semiHidden/>
    <w:unhideWhenUsed/>
    <w:rsid w:val="003E2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73F2-D69F-4E79-A90F-94B9543D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547</Words>
  <Characters>2955</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Gieseke</dc:creator>
  <cp:keywords/>
  <dc:description/>
  <cp:lastModifiedBy>Christiane Gieseke</cp:lastModifiedBy>
  <cp:revision>1</cp:revision>
  <dcterms:created xsi:type="dcterms:W3CDTF">2026-05-05T18:34:00Z</dcterms:created>
  <dcterms:modified xsi:type="dcterms:W3CDTF">2026-05-05T18:41:00Z</dcterms:modified>
</cp:coreProperties>
</file>