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632C3" w14:textId="77777777" w:rsidR="0015497E" w:rsidRPr="0015497E" w:rsidRDefault="0015497E" w:rsidP="0015497E">
      <w:pPr>
        <w:ind w:right="-568"/>
        <w:jc w:val="both"/>
        <w:rPr>
          <w:rFonts w:ascii="Times New Roman" w:hAnsi="Times New Roman" w:cs="Times New Roman"/>
        </w:rPr>
      </w:pPr>
    </w:p>
    <w:p w14:paraId="51D63FD3" w14:textId="77777777" w:rsidR="0015497E" w:rsidRPr="0015497E" w:rsidRDefault="0015497E" w:rsidP="0015497E">
      <w:pPr>
        <w:spacing w:after="0" w:line="240" w:lineRule="auto"/>
        <w:ind w:right="-567"/>
        <w:jc w:val="center"/>
        <w:rPr>
          <w:rFonts w:ascii="Arial Black" w:hAnsi="Arial Black" w:cs="Times New Roman"/>
        </w:rPr>
      </w:pPr>
      <w:r w:rsidRPr="0015497E">
        <w:rPr>
          <w:rFonts w:ascii="Arial Black" w:hAnsi="Arial Black" w:cs="Times New Roman"/>
        </w:rPr>
        <w:t>MODELO DE PETIÇÃO</w:t>
      </w:r>
    </w:p>
    <w:p w14:paraId="235B6B74" w14:textId="77777777" w:rsidR="0015497E" w:rsidRPr="0015497E" w:rsidRDefault="0015497E" w:rsidP="0015497E">
      <w:pPr>
        <w:spacing w:after="0" w:line="240" w:lineRule="auto"/>
        <w:ind w:right="-567"/>
        <w:jc w:val="center"/>
        <w:rPr>
          <w:rFonts w:ascii="Arial Black" w:hAnsi="Arial Black" w:cs="Times New Roman"/>
        </w:rPr>
      </w:pPr>
      <w:r w:rsidRPr="0015497E">
        <w:rPr>
          <w:rFonts w:ascii="Arial Black" w:hAnsi="Arial Black" w:cs="Times New Roman"/>
        </w:rPr>
        <w:t>EMBARGOS DE TERCEIRO. MEAÇÃO. CÔNJUGE.</w:t>
      </w:r>
    </w:p>
    <w:p w14:paraId="053606E7" w14:textId="77777777" w:rsidR="0015497E" w:rsidRPr="0015497E" w:rsidRDefault="0015497E" w:rsidP="0015497E">
      <w:pPr>
        <w:spacing w:after="0" w:line="240" w:lineRule="auto"/>
        <w:ind w:right="-567"/>
        <w:jc w:val="center"/>
        <w:rPr>
          <w:rFonts w:ascii="Arial Black" w:hAnsi="Arial Black" w:cs="Times New Roman"/>
        </w:rPr>
      </w:pPr>
      <w:r w:rsidRPr="0015497E">
        <w:rPr>
          <w:rFonts w:ascii="Arial Black" w:hAnsi="Arial Black" w:cs="Times New Roman"/>
        </w:rPr>
        <w:t>COMUNHÃO UNIVERSAL DE BENS. PROVA DOCUMENTAL.</w:t>
      </w:r>
    </w:p>
    <w:p w14:paraId="04B38385" w14:textId="77777777" w:rsidR="0015497E" w:rsidRPr="0015497E" w:rsidRDefault="0015497E" w:rsidP="0015497E">
      <w:pPr>
        <w:spacing w:after="0" w:line="240" w:lineRule="auto"/>
        <w:ind w:right="-567"/>
        <w:jc w:val="center"/>
        <w:rPr>
          <w:rFonts w:ascii="Arial Black" w:hAnsi="Arial Black" w:cs="Times New Roman"/>
        </w:rPr>
      </w:pPr>
      <w:r w:rsidRPr="0015497E">
        <w:rPr>
          <w:rFonts w:ascii="Arial Black" w:hAnsi="Arial Black" w:cs="Times New Roman"/>
        </w:rPr>
        <w:t>RECONHECIMENTO PROCEDÊNCIA. JULGAMENTO ANTECIPADO.</w:t>
      </w:r>
    </w:p>
    <w:p w14:paraId="75C9303F" w14:textId="77777777" w:rsidR="0015497E" w:rsidRPr="0015497E" w:rsidRDefault="0015497E" w:rsidP="0015497E">
      <w:pPr>
        <w:spacing w:after="0" w:line="240" w:lineRule="auto"/>
        <w:ind w:right="-567"/>
        <w:jc w:val="center"/>
        <w:rPr>
          <w:rFonts w:ascii="Arial Black" w:hAnsi="Arial Black" w:cs="Times New Roman"/>
        </w:rPr>
      </w:pPr>
      <w:r w:rsidRPr="0015497E">
        <w:rPr>
          <w:rFonts w:ascii="Arial Black" w:hAnsi="Arial Black" w:cs="Times New Roman"/>
        </w:rPr>
        <w:t>PETIÇÃO</w:t>
      </w:r>
    </w:p>
    <w:p w14:paraId="424CE429" w14:textId="77777777" w:rsidR="0015497E" w:rsidRPr="0015497E" w:rsidRDefault="0015497E" w:rsidP="0015497E">
      <w:pPr>
        <w:spacing w:after="0" w:line="240" w:lineRule="auto"/>
        <w:ind w:right="-567"/>
        <w:jc w:val="right"/>
        <w:rPr>
          <w:rFonts w:ascii="Arial Black" w:hAnsi="Arial Black" w:cs="Times New Roman"/>
        </w:rPr>
      </w:pPr>
      <w:proofErr w:type="spellStart"/>
      <w:r w:rsidRPr="0015497E">
        <w:rPr>
          <w:rFonts w:ascii="Arial Black" w:hAnsi="Arial Black" w:cs="Times New Roman"/>
        </w:rPr>
        <w:t>Rénan</w:t>
      </w:r>
      <w:proofErr w:type="spellEnd"/>
      <w:r w:rsidRPr="0015497E">
        <w:rPr>
          <w:rFonts w:ascii="Arial Black" w:hAnsi="Arial Black" w:cs="Times New Roman"/>
        </w:rPr>
        <w:t xml:space="preserve"> </w:t>
      </w:r>
      <w:proofErr w:type="spellStart"/>
      <w:r w:rsidRPr="0015497E">
        <w:rPr>
          <w:rFonts w:ascii="Arial Black" w:hAnsi="Arial Black" w:cs="Times New Roman"/>
        </w:rPr>
        <w:t>Kfuri</w:t>
      </w:r>
      <w:proofErr w:type="spellEnd"/>
      <w:r w:rsidRPr="0015497E">
        <w:rPr>
          <w:rFonts w:ascii="Arial Black" w:hAnsi="Arial Black" w:cs="Times New Roman"/>
        </w:rPr>
        <w:t xml:space="preserve"> Lopes</w:t>
      </w:r>
    </w:p>
    <w:p w14:paraId="52B5715D" w14:textId="77777777" w:rsidR="0015497E" w:rsidRPr="0015497E" w:rsidRDefault="0015497E" w:rsidP="0015497E">
      <w:pPr>
        <w:ind w:right="-568"/>
        <w:jc w:val="both"/>
        <w:rPr>
          <w:rFonts w:ascii="Times New Roman" w:hAnsi="Times New Roman" w:cs="Times New Roman"/>
        </w:rPr>
      </w:pPr>
    </w:p>
    <w:p w14:paraId="2078D394" w14:textId="77777777" w:rsidR="0015497E" w:rsidRDefault="0015497E" w:rsidP="0015497E">
      <w:pPr>
        <w:ind w:right="-568"/>
        <w:jc w:val="both"/>
        <w:rPr>
          <w:rFonts w:ascii="Times New Roman" w:hAnsi="Times New Roman" w:cs="Times New Roman"/>
        </w:rPr>
      </w:pPr>
      <w:r w:rsidRPr="0015497E">
        <w:rPr>
          <w:rFonts w:ascii="Times New Roman" w:hAnsi="Times New Roman" w:cs="Times New Roman"/>
        </w:rPr>
        <w:t>E</w:t>
      </w:r>
      <w:r>
        <w:rPr>
          <w:rFonts w:ascii="Times New Roman" w:hAnsi="Times New Roman" w:cs="Times New Roman"/>
        </w:rPr>
        <w:t>xmo. Sr. Juiz Federal da ... Vara de Execução Fiscal, Extrajudicial e JEF Adjunto da Subseção Judiciária de ...</w:t>
      </w:r>
    </w:p>
    <w:p w14:paraId="6F2F8999" w14:textId="18620F95" w:rsidR="0015497E" w:rsidRPr="0015497E" w:rsidRDefault="0015497E" w:rsidP="0015497E">
      <w:pPr>
        <w:ind w:right="-568"/>
        <w:jc w:val="both"/>
        <w:rPr>
          <w:rFonts w:ascii="Times New Roman" w:hAnsi="Times New Roman" w:cs="Times New Roman"/>
        </w:rPr>
      </w:pPr>
      <w:proofErr w:type="spellStart"/>
      <w:r w:rsidRPr="0015497E">
        <w:rPr>
          <w:rFonts w:ascii="Times New Roman" w:hAnsi="Times New Roman" w:cs="Times New Roman"/>
        </w:rPr>
        <w:t>ePROC</w:t>
      </w:r>
      <w:proofErr w:type="spellEnd"/>
      <w:r w:rsidRPr="0015497E">
        <w:rPr>
          <w:rFonts w:ascii="Times New Roman" w:hAnsi="Times New Roman" w:cs="Times New Roman"/>
        </w:rPr>
        <w:t xml:space="preserve"> n. </w:t>
      </w:r>
      <w:r>
        <w:rPr>
          <w:rFonts w:ascii="Times New Roman" w:hAnsi="Times New Roman" w:cs="Times New Roman"/>
        </w:rPr>
        <w:t>...</w:t>
      </w:r>
    </w:p>
    <w:p w14:paraId="7805F916" w14:textId="6BB877E4" w:rsidR="0015497E" w:rsidRPr="0015497E" w:rsidRDefault="0015497E" w:rsidP="0015497E">
      <w:pPr>
        <w:ind w:right="-568"/>
        <w:jc w:val="both"/>
        <w:rPr>
          <w:rFonts w:ascii="Times New Roman" w:hAnsi="Times New Roman" w:cs="Times New Roman"/>
        </w:rPr>
      </w:pPr>
      <w:r>
        <w:rPr>
          <w:rFonts w:ascii="Times New Roman" w:hAnsi="Times New Roman" w:cs="Times New Roman"/>
        </w:rPr>
        <w:t>(nome)</w:t>
      </w:r>
      <w:r w:rsidRPr="0015497E">
        <w:rPr>
          <w:rFonts w:ascii="Times New Roman" w:hAnsi="Times New Roman" w:cs="Times New Roman"/>
        </w:rPr>
        <w:t xml:space="preserve">, embargante, por seus advogados </w:t>
      </w:r>
      <w:r w:rsidRPr="0015497E">
        <w:rPr>
          <w:rFonts w:ascii="Times New Roman" w:hAnsi="Times New Roman" w:cs="Times New Roman"/>
          <w:i/>
          <w:iCs/>
        </w:rPr>
        <w:t>in fine</w:t>
      </w:r>
      <w:r w:rsidRPr="0015497E">
        <w:rPr>
          <w:rFonts w:ascii="Times New Roman" w:hAnsi="Times New Roman" w:cs="Times New Roman"/>
        </w:rPr>
        <w:t xml:space="preserve"> assinados, nos autos dos “</w:t>
      </w:r>
      <w:r w:rsidRPr="0015497E">
        <w:rPr>
          <w:rFonts w:ascii="Times New Roman" w:hAnsi="Times New Roman" w:cs="Times New Roman"/>
          <w:i/>
          <w:iCs/>
        </w:rPr>
        <w:t>Embargos de Terceiro</w:t>
      </w:r>
      <w:r w:rsidRPr="0015497E">
        <w:rPr>
          <w:rFonts w:ascii="Times New Roman" w:hAnsi="Times New Roman" w:cs="Times New Roman"/>
        </w:rPr>
        <w:t>” que move em face da FUNDAÇÃO NACIONAL DE SAÚDE- FUNASA, embargada, vem, respeitosamente, aduzir sua petição derradeira, pelos seguintes fundamentos de direito:</w:t>
      </w:r>
    </w:p>
    <w:p w14:paraId="1831AD31" w14:textId="07A219E6" w:rsidR="0015497E" w:rsidRPr="0015497E" w:rsidRDefault="0015497E" w:rsidP="0015497E">
      <w:pPr>
        <w:ind w:right="-568"/>
        <w:jc w:val="both"/>
        <w:rPr>
          <w:rFonts w:ascii="Times New Roman" w:hAnsi="Times New Roman" w:cs="Times New Roman"/>
          <w:b/>
          <w:bCs/>
        </w:rPr>
      </w:pPr>
      <w:r w:rsidRPr="0015497E">
        <w:rPr>
          <w:rFonts w:ascii="Times New Roman" w:hAnsi="Times New Roman" w:cs="Times New Roman"/>
          <w:b/>
          <w:bCs/>
        </w:rPr>
        <w:t xml:space="preserve"> I-</w:t>
      </w:r>
      <w:r w:rsidRPr="0015497E">
        <w:rPr>
          <w:rFonts w:ascii="Times New Roman" w:hAnsi="Times New Roman" w:cs="Times New Roman"/>
          <w:b/>
          <w:bCs/>
        </w:rPr>
        <w:t xml:space="preserve"> </w:t>
      </w:r>
      <w:r w:rsidRPr="0015497E">
        <w:rPr>
          <w:rFonts w:ascii="Times New Roman" w:hAnsi="Times New Roman" w:cs="Times New Roman"/>
          <w:b/>
          <w:bCs/>
        </w:rPr>
        <w:t>RELATÓRIO</w:t>
      </w:r>
    </w:p>
    <w:p w14:paraId="44CDEF5E" w14:textId="1D7BFE80"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 xml:space="preserve">Trata-se de Embargos de Terceiro ajuizados por </w:t>
      </w:r>
      <w:r>
        <w:rPr>
          <w:rFonts w:ascii="Times New Roman" w:hAnsi="Times New Roman" w:cs="Times New Roman"/>
        </w:rPr>
        <w:t>...</w:t>
      </w:r>
      <w:r w:rsidRPr="0015497E">
        <w:rPr>
          <w:rFonts w:ascii="Times New Roman" w:hAnsi="Times New Roman" w:cs="Times New Roman"/>
        </w:rPr>
        <w:t xml:space="preserve"> em face da FUNDAÇÃO NACIONAL DE SAÚDE — FUNASA, com o objetivo de resguardar sua meação sobre imóveis penhorados nos autos da Execução Fiscal n. </w:t>
      </w:r>
      <w:r>
        <w:rPr>
          <w:rFonts w:ascii="Times New Roman" w:hAnsi="Times New Roman" w:cs="Times New Roman"/>
        </w:rPr>
        <w:t>...</w:t>
      </w:r>
      <w:r w:rsidRPr="0015497E">
        <w:rPr>
          <w:rFonts w:ascii="Times New Roman" w:hAnsi="Times New Roman" w:cs="Times New Roman"/>
        </w:rPr>
        <w:t xml:space="preserve">, promovida exclusivamente contra seu cônjuge, </w:t>
      </w:r>
      <w:r>
        <w:rPr>
          <w:rFonts w:ascii="Times New Roman" w:hAnsi="Times New Roman" w:cs="Times New Roman"/>
        </w:rPr>
        <w:t>...</w:t>
      </w:r>
    </w:p>
    <w:p w14:paraId="51B36B70" w14:textId="330C9181"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 xml:space="preserve">A autora demonstrou, desde a petição inicial, ser casada com o executado desde </w:t>
      </w:r>
      <w:r>
        <w:rPr>
          <w:rFonts w:ascii="Times New Roman" w:hAnsi="Times New Roman" w:cs="Times New Roman"/>
        </w:rPr>
        <w:t>...</w:t>
      </w:r>
      <w:r w:rsidRPr="0015497E">
        <w:rPr>
          <w:rFonts w:ascii="Times New Roman" w:hAnsi="Times New Roman" w:cs="Times New Roman"/>
        </w:rPr>
        <w:t>, sob o regime da comunhão universal de bens, circunstância que lhe confere direito próprio, autônomo e juridicamente protegido sobre metade do patrimônio comum do casal.</w:t>
      </w:r>
    </w:p>
    <w:p w14:paraId="4CA0C046" w14:textId="0436E2C0"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constrição determinada na execução fiscal atingiu os seguintes imóveis:</w:t>
      </w:r>
    </w:p>
    <w:p w14:paraId="024CF9EA" w14:textId="51CD205D"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 xml:space="preserve">i) Matrícula n. </w:t>
      </w:r>
      <w:r>
        <w:rPr>
          <w:rFonts w:ascii="Times New Roman" w:hAnsi="Times New Roman" w:cs="Times New Roman"/>
        </w:rPr>
        <w:t>...</w:t>
      </w:r>
      <w:r w:rsidRPr="0015497E">
        <w:rPr>
          <w:rFonts w:ascii="Times New Roman" w:hAnsi="Times New Roman" w:cs="Times New Roman"/>
        </w:rPr>
        <w:t xml:space="preserve">, do CRI de </w:t>
      </w:r>
      <w:r>
        <w:rPr>
          <w:rFonts w:ascii="Times New Roman" w:hAnsi="Times New Roman" w:cs="Times New Roman"/>
        </w:rPr>
        <w:t>...</w:t>
      </w:r>
      <w:r w:rsidRPr="0015497E">
        <w:rPr>
          <w:rFonts w:ascii="Times New Roman" w:hAnsi="Times New Roman" w:cs="Times New Roman"/>
        </w:rPr>
        <w:t xml:space="preserve">, correspondente a </w:t>
      </w:r>
      <w:r>
        <w:rPr>
          <w:rFonts w:ascii="Times New Roman" w:hAnsi="Times New Roman" w:cs="Times New Roman"/>
        </w:rPr>
        <w:t>...</w:t>
      </w:r>
      <w:r w:rsidRPr="0015497E">
        <w:rPr>
          <w:rFonts w:ascii="Times New Roman" w:hAnsi="Times New Roman" w:cs="Times New Roman"/>
        </w:rPr>
        <w:t>% do imóvel;</w:t>
      </w:r>
    </w:p>
    <w:p w14:paraId="5E1C32BD" w14:textId="18CF127F" w:rsidR="0015497E" w:rsidRPr="0015497E" w:rsidRDefault="0015497E" w:rsidP="0015497E">
      <w:pPr>
        <w:ind w:right="-568"/>
        <w:jc w:val="both"/>
        <w:rPr>
          <w:rFonts w:ascii="Times New Roman" w:hAnsi="Times New Roman" w:cs="Times New Roman"/>
        </w:rPr>
      </w:pPr>
      <w:proofErr w:type="spellStart"/>
      <w:r w:rsidRPr="0015497E">
        <w:rPr>
          <w:rFonts w:ascii="Times New Roman" w:hAnsi="Times New Roman" w:cs="Times New Roman"/>
        </w:rPr>
        <w:t>ii</w:t>
      </w:r>
      <w:proofErr w:type="spellEnd"/>
      <w:r w:rsidRPr="0015497E">
        <w:rPr>
          <w:rFonts w:ascii="Times New Roman" w:hAnsi="Times New Roman" w:cs="Times New Roman"/>
        </w:rPr>
        <w:t xml:space="preserve">) Matrícula n. </w:t>
      </w:r>
      <w:r>
        <w:rPr>
          <w:rFonts w:ascii="Times New Roman" w:hAnsi="Times New Roman" w:cs="Times New Roman"/>
        </w:rPr>
        <w:t>...</w:t>
      </w:r>
      <w:r w:rsidRPr="0015497E">
        <w:rPr>
          <w:rFonts w:ascii="Times New Roman" w:hAnsi="Times New Roman" w:cs="Times New Roman"/>
        </w:rPr>
        <w:t xml:space="preserve">, do CRI de </w:t>
      </w:r>
      <w:r>
        <w:rPr>
          <w:rFonts w:ascii="Times New Roman" w:hAnsi="Times New Roman" w:cs="Times New Roman"/>
        </w:rPr>
        <w:t>...</w:t>
      </w:r>
      <w:r w:rsidRPr="0015497E">
        <w:rPr>
          <w:rFonts w:ascii="Times New Roman" w:hAnsi="Times New Roman" w:cs="Times New Roman"/>
        </w:rPr>
        <w:t>/</w:t>
      </w:r>
      <w:r>
        <w:rPr>
          <w:rFonts w:ascii="Times New Roman" w:hAnsi="Times New Roman" w:cs="Times New Roman"/>
        </w:rPr>
        <w:t>...</w:t>
      </w:r>
      <w:r w:rsidRPr="0015497E">
        <w:rPr>
          <w:rFonts w:ascii="Times New Roman" w:hAnsi="Times New Roman" w:cs="Times New Roman"/>
        </w:rPr>
        <w:t>;</w:t>
      </w:r>
    </w:p>
    <w:p w14:paraId="7AD3675B" w14:textId="65B76CF1" w:rsidR="0015497E" w:rsidRPr="0015497E" w:rsidRDefault="0015497E" w:rsidP="0015497E">
      <w:pPr>
        <w:ind w:right="-568"/>
        <w:jc w:val="both"/>
        <w:rPr>
          <w:rFonts w:ascii="Times New Roman" w:hAnsi="Times New Roman" w:cs="Times New Roman"/>
        </w:rPr>
      </w:pPr>
      <w:proofErr w:type="spellStart"/>
      <w:r w:rsidRPr="0015497E">
        <w:rPr>
          <w:rFonts w:ascii="Times New Roman" w:hAnsi="Times New Roman" w:cs="Times New Roman"/>
        </w:rPr>
        <w:t>iii</w:t>
      </w:r>
      <w:proofErr w:type="spellEnd"/>
      <w:r w:rsidRPr="0015497E">
        <w:rPr>
          <w:rFonts w:ascii="Times New Roman" w:hAnsi="Times New Roman" w:cs="Times New Roman"/>
        </w:rPr>
        <w:t xml:space="preserve">) Matrículas </w:t>
      </w:r>
      <w:proofErr w:type="spellStart"/>
      <w:r w:rsidRPr="0015497E">
        <w:rPr>
          <w:rFonts w:ascii="Times New Roman" w:hAnsi="Times New Roman" w:cs="Times New Roman"/>
        </w:rPr>
        <w:t>ns</w:t>
      </w:r>
      <w:proofErr w:type="spellEnd"/>
      <w:r w:rsidRPr="0015497E">
        <w:rPr>
          <w:rFonts w:ascii="Times New Roman" w:hAnsi="Times New Roman" w:cs="Times New Roman"/>
        </w:rPr>
        <w:t xml:space="preserve">. </w:t>
      </w:r>
      <w:r>
        <w:rPr>
          <w:rFonts w:ascii="Times New Roman" w:hAnsi="Times New Roman" w:cs="Times New Roman"/>
        </w:rPr>
        <w:t>...</w:t>
      </w:r>
      <w:r w:rsidRPr="0015497E">
        <w:rPr>
          <w:rFonts w:ascii="Times New Roman" w:hAnsi="Times New Roman" w:cs="Times New Roman"/>
        </w:rPr>
        <w:t xml:space="preserve">, </w:t>
      </w:r>
      <w:r>
        <w:rPr>
          <w:rFonts w:ascii="Times New Roman" w:hAnsi="Times New Roman" w:cs="Times New Roman"/>
        </w:rPr>
        <w:t>...</w:t>
      </w:r>
      <w:r w:rsidRPr="0015497E">
        <w:rPr>
          <w:rFonts w:ascii="Times New Roman" w:hAnsi="Times New Roman" w:cs="Times New Roman"/>
        </w:rPr>
        <w:t xml:space="preserve"> e </w:t>
      </w:r>
      <w:r>
        <w:rPr>
          <w:rFonts w:ascii="Times New Roman" w:hAnsi="Times New Roman" w:cs="Times New Roman"/>
        </w:rPr>
        <w:t>...</w:t>
      </w:r>
      <w:r w:rsidRPr="0015497E">
        <w:rPr>
          <w:rFonts w:ascii="Times New Roman" w:hAnsi="Times New Roman" w:cs="Times New Roman"/>
        </w:rPr>
        <w:t xml:space="preserve">, do CRI de </w:t>
      </w:r>
      <w:r>
        <w:rPr>
          <w:rFonts w:ascii="Times New Roman" w:hAnsi="Times New Roman" w:cs="Times New Roman"/>
        </w:rPr>
        <w:t>...</w:t>
      </w:r>
    </w:p>
    <w:p w14:paraId="45758138" w14:textId="48DB4898"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inicial sustentou, em síntese, que a autora não integrou a relação processual executiva, não participou dos fatos administrativos que originaram a Certidão de Dívida Ativa, não foi condenada pelo Tribunal de Contas da União, não auferiu benefício pessoal ou familiar com o fato gerador da dívida e, por isso, não pode ter sua meação submetida à expropriação judicial para pagamento de débito imputado exclusivamente ao seu cônjuge.</w:t>
      </w:r>
    </w:p>
    <w:p w14:paraId="0FF0D70C" w14:textId="77777777" w:rsidR="0015497E" w:rsidRDefault="0015497E" w:rsidP="0015497E">
      <w:pPr>
        <w:ind w:right="-568"/>
        <w:jc w:val="both"/>
        <w:rPr>
          <w:rFonts w:ascii="Times New Roman" w:hAnsi="Times New Roman" w:cs="Times New Roman"/>
        </w:rPr>
      </w:pPr>
      <w:r w:rsidRPr="0015497E">
        <w:rPr>
          <w:rFonts w:ascii="Times New Roman" w:hAnsi="Times New Roman" w:cs="Times New Roman"/>
        </w:rPr>
        <w:t xml:space="preserve">A autora/embargante instruiu a inicial com documentação robusta, suficiente e diretamente relacionada aos fatos constitutivos do seu direito: certidão de casamento, documentos relativos à execução fiscal, matrículas imobiliárias, decisões proferidas na execução, documentos da ação civil pública correlata, acórdão do </w:t>
      </w:r>
      <w:r>
        <w:rPr>
          <w:rFonts w:ascii="Times New Roman" w:hAnsi="Times New Roman" w:cs="Times New Roman"/>
        </w:rPr>
        <w:t>...</w:t>
      </w:r>
      <w:r w:rsidRPr="0015497E">
        <w:rPr>
          <w:rFonts w:ascii="Times New Roman" w:hAnsi="Times New Roman" w:cs="Times New Roman"/>
        </w:rPr>
        <w:t>, além da prova documental pertinente ao pedido de gratuidade de justiça.</w:t>
      </w:r>
    </w:p>
    <w:p w14:paraId="5E5F4883" w14:textId="1BB87F1A"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lastRenderedPageBreak/>
        <w:t>Recebida a inicial, este Juízo reconheceu a adequação da via eleita, deferiu a gratuidade judiciária e determinou a suspensão da execução fiscal em relação aos bens objeto destes embargos, nos termos do art. 678 do CPC.</w:t>
      </w:r>
    </w:p>
    <w:p w14:paraId="740C0322" w14:textId="2576AF98"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Citada, a FUNASA apresentou contestação.</w:t>
      </w:r>
    </w:p>
    <w:p w14:paraId="59DE8144" w14:textId="553B119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Contudo, a contestação não negou o ponto central da demanda: o direito de meação da autora.</w:t>
      </w:r>
    </w:p>
    <w:p w14:paraId="711ABA9B" w14:textId="561EB09C"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Ao contrário, a própria FUNASA acabou por reconhecer a existência desse direito, limitando-se a sustentar que a meação deveria ser preservada sobre o produto de eventual alienação judicial, nos termos do art. 843 do CPC. Ou seja: a ré não controverteu a qualidade jurídica da autora como cônjuge meeira, nem negou sua titularidade patrimonial sobre metade dos bens constritos.</w:t>
      </w:r>
    </w:p>
    <w:p w14:paraId="26397A84" w14:textId="726A39F2"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Também não houve impugnação específica à documentação apresentada na inicial, nem demonstração de que a dívida exequenda tenha revertido em benefício da autora, do casal ou da entidade familiar.</w:t>
      </w:r>
    </w:p>
    <w:p w14:paraId="424A5085" w14:textId="703DDA9E"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impugnação à contestação, por sua vez, demonstrou que a defesa da FUNASA deslocou o debate para matéria que sequer constituía controvérsia real, pois a própria inicial já havia reconhecido, subsidiariamente, a disciplina do art. 843 do CPC para a hipótese de bens indivisíveis, desde que resguardada integralmente a meação da autora.</w:t>
      </w:r>
    </w:p>
    <w:p w14:paraId="14AD9225" w14:textId="58D7F201"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É o necessário relatório.</w:t>
      </w:r>
    </w:p>
    <w:p w14:paraId="61CC4F0F" w14:textId="1977C4E7" w:rsidR="0015497E" w:rsidRPr="0015497E" w:rsidRDefault="0015497E" w:rsidP="0015497E">
      <w:pPr>
        <w:ind w:right="-568"/>
        <w:jc w:val="both"/>
        <w:rPr>
          <w:rFonts w:ascii="Times New Roman" w:hAnsi="Times New Roman" w:cs="Times New Roman"/>
          <w:b/>
          <w:bCs/>
        </w:rPr>
      </w:pPr>
      <w:r w:rsidRPr="0015497E">
        <w:rPr>
          <w:rFonts w:ascii="Times New Roman" w:hAnsi="Times New Roman" w:cs="Times New Roman"/>
          <w:b/>
          <w:bCs/>
        </w:rPr>
        <w:t>II-</w:t>
      </w:r>
      <w:r w:rsidRPr="0015497E">
        <w:rPr>
          <w:rFonts w:ascii="Times New Roman" w:hAnsi="Times New Roman" w:cs="Times New Roman"/>
          <w:b/>
          <w:bCs/>
        </w:rPr>
        <w:t xml:space="preserve"> </w:t>
      </w:r>
      <w:r w:rsidRPr="0015497E">
        <w:rPr>
          <w:rFonts w:ascii="Times New Roman" w:hAnsi="Times New Roman" w:cs="Times New Roman"/>
          <w:b/>
          <w:bCs/>
        </w:rPr>
        <w:t>FUNDAMENTAÇÃO</w:t>
      </w:r>
    </w:p>
    <w:p w14:paraId="7601E66F" w14:textId="2984F48D" w:rsidR="0015497E" w:rsidRPr="0015497E" w:rsidRDefault="0015497E" w:rsidP="0015497E">
      <w:pPr>
        <w:ind w:right="-568"/>
        <w:jc w:val="both"/>
        <w:rPr>
          <w:rFonts w:ascii="Times New Roman" w:hAnsi="Times New Roman" w:cs="Times New Roman"/>
          <w:b/>
          <w:bCs/>
        </w:rPr>
      </w:pPr>
      <w:r w:rsidRPr="0015497E">
        <w:rPr>
          <w:rFonts w:ascii="Times New Roman" w:hAnsi="Times New Roman" w:cs="Times New Roman"/>
          <w:b/>
          <w:bCs/>
        </w:rPr>
        <w:t>II.1-</w:t>
      </w:r>
      <w:r w:rsidRPr="0015497E">
        <w:rPr>
          <w:rFonts w:ascii="Times New Roman" w:hAnsi="Times New Roman" w:cs="Times New Roman"/>
          <w:b/>
          <w:bCs/>
        </w:rPr>
        <w:t xml:space="preserve"> </w:t>
      </w:r>
      <w:r w:rsidRPr="0015497E">
        <w:rPr>
          <w:rFonts w:ascii="Times New Roman" w:hAnsi="Times New Roman" w:cs="Times New Roman"/>
          <w:b/>
          <w:bCs/>
        </w:rPr>
        <w:t>A CAUSA ESTÁ MADURA PARA JULGAMENTO ANTECIPADO</w:t>
      </w:r>
    </w:p>
    <w:p w14:paraId="63DA3FAE" w14:textId="237C591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controvérsia posta nos autos é eminentemente documental e jurídica.</w:t>
      </w:r>
      <w:r>
        <w:rPr>
          <w:rFonts w:ascii="Times New Roman" w:hAnsi="Times New Roman" w:cs="Times New Roman"/>
        </w:rPr>
        <w:t xml:space="preserve"> </w:t>
      </w:r>
      <w:r w:rsidRPr="0015497E">
        <w:rPr>
          <w:rFonts w:ascii="Times New Roman" w:hAnsi="Times New Roman" w:cs="Times New Roman"/>
        </w:rPr>
        <w:t>Não há necessidade de dilação probatória.</w:t>
      </w:r>
    </w:p>
    <w:p w14:paraId="46C9E2C8" w14:textId="7777777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autora comprovou documentalmente: a) sua condição de cônjuge do executado; b) o regime de comunhão universal de bens; c) a incidência da penhora sobre imóveis integrantes do patrimônio comum; d) a origem da dívida exequenda, imputada exclusivamente ao marido; e) a inexistência de prova de proveito econômico em favor do casal; e f) a ausência de impugnação específica da FUNASA sobre esses fatos centrais.</w:t>
      </w:r>
    </w:p>
    <w:p w14:paraId="31E5C68C" w14:textId="5EE04166"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 xml:space="preserve">Nos termos do art. 355, I, do CPC, o julgamento antecipado do mérito é </w:t>
      </w:r>
      <w:proofErr w:type="gramStart"/>
      <w:r w:rsidRPr="0015497E">
        <w:rPr>
          <w:rFonts w:ascii="Times New Roman" w:hAnsi="Times New Roman" w:cs="Times New Roman"/>
        </w:rPr>
        <w:t>medida</w:t>
      </w:r>
      <w:proofErr w:type="gramEnd"/>
      <w:r w:rsidRPr="0015497E">
        <w:rPr>
          <w:rFonts w:ascii="Times New Roman" w:hAnsi="Times New Roman" w:cs="Times New Roman"/>
        </w:rPr>
        <w:t xml:space="preserve"> de rigor quando não houver necessidade de produção de outras provas.</w:t>
      </w:r>
      <w:r>
        <w:rPr>
          <w:rFonts w:ascii="Times New Roman" w:hAnsi="Times New Roman" w:cs="Times New Roman"/>
        </w:rPr>
        <w:t xml:space="preserve"> </w:t>
      </w:r>
      <w:r w:rsidRPr="0015497E">
        <w:rPr>
          <w:rFonts w:ascii="Times New Roman" w:hAnsi="Times New Roman" w:cs="Times New Roman"/>
        </w:rPr>
        <w:t>E, no caso concreto, não há.</w:t>
      </w:r>
    </w:p>
    <w:p w14:paraId="33979021" w14:textId="301E935F"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prova documental já produzida é suficiente para formar o convencimento judicial, sendo desnecessária a prática de atos instrutórios que apenas retardariam a solução de uma causa cuja matéria já se encontra plenamente delimitada.</w:t>
      </w:r>
    </w:p>
    <w:p w14:paraId="5881203F" w14:textId="77777777" w:rsidR="0015497E" w:rsidRPr="0015497E" w:rsidRDefault="0015497E" w:rsidP="0015497E">
      <w:pPr>
        <w:ind w:right="-568"/>
        <w:jc w:val="both"/>
        <w:rPr>
          <w:rFonts w:ascii="Times New Roman" w:hAnsi="Times New Roman" w:cs="Times New Roman"/>
          <w:b/>
          <w:bCs/>
        </w:rPr>
      </w:pPr>
      <w:r w:rsidRPr="0015497E">
        <w:rPr>
          <w:rFonts w:ascii="Times New Roman" w:hAnsi="Times New Roman" w:cs="Times New Roman"/>
          <w:b/>
          <w:bCs/>
        </w:rPr>
        <w:t xml:space="preserve"> II.2 - CABIMENTO DOS EMBARGOS DE TERCEIRO E LEGITIMIDADE ATIVA DA AUTORA</w:t>
      </w:r>
    </w:p>
    <w:p w14:paraId="6CBEFE0E" w14:textId="20086F0B"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lastRenderedPageBreak/>
        <w:t>Os embargos de terceiro são cabíveis sempre que alguém, não sendo parte no processo, sofrer constrição ou ameaça de constrição sobre bens que possua ou sobre os quais tenha direito incompatível com o ato constritivo, conforme dispõe o art. 674 do CPC.</w:t>
      </w:r>
    </w:p>
    <w:p w14:paraId="1F7FF5A0" w14:textId="07F6EB71"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O § 2º, inciso I, do mesmo dispositivo é ainda mais específico ao considerar terceiro, para fins de oposição de embargos, o cônjuge ou companheiro que defende a posse de bens próprios ou de sua meação.</w:t>
      </w:r>
      <w:r>
        <w:rPr>
          <w:rFonts w:ascii="Times New Roman" w:hAnsi="Times New Roman" w:cs="Times New Roman"/>
        </w:rPr>
        <w:t xml:space="preserve"> </w:t>
      </w:r>
      <w:proofErr w:type="gramStart"/>
      <w:r w:rsidRPr="0015497E">
        <w:rPr>
          <w:rFonts w:ascii="Times New Roman" w:hAnsi="Times New Roman" w:cs="Times New Roman"/>
        </w:rPr>
        <w:t>A</w:t>
      </w:r>
      <w:proofErr w:type="gramEnd"/>
      <w:r w:rsidRPr="0015497E">
        <w:rPr>
          <w:rFonts w:ascii="Times New Roman" w:hAnsi="Times New Roman" w:cs="Times New Roman"/>
        </w:rPr>
        <w:t xml:space="preserve"> autora não figura no polo passivo da execução fiscal.</w:t>
      </w:r>
    </w:p>
    <w:p w14:paraId="683DB2F3" w14:textId="2B8427C8"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dívida é exigida exclusivamente de seu marido.</w:t>
      </w:r>
    </w:p>
    <w:p w14:paraId="0375F233" w14:textId="26B301FA"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Ainda assim, sua esfera patrimonial foi atingida por penhora lançada sobre bens comuns do casal.</w:t>
      </w:r>
    </w:p>
    <w:p w14:paraId="50FF7FA2" w14:textId="3CE0E63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Logo, a legitimidade ativa é manifesta, tanto pela literalidade do art. 674, § 2º, I, do CPC, quanto pela orientação consolidada da Súmula 134 do STJ, segundo a qual, embora intimado da penhora em imóvel do casal, o cônjuge do executado pode opor embargos de terceiro para defesa de sua meação.</w:t>
      </w:r>
    </w:p>
    <w:p w14:paraId="74D047E2" w14:textId="7777777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 xml:space="preserve"> II.3- A CONTESTAÇÃO NÃO NEGA O DIREITO DE MEAÇÃO DA AUTORA</w:t>
      </w:r>
    </w:p>
    <w:p w14:paraId="7562A7BA" w14:textId="1AEC9C75"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O ponto decisivo destes autos é simples: a FUNASA não negou o direito de meação da autora.</w:t>
      </w:r>
    </w:p>
    <w:p w14:paraId="22BB213B" w14:textId="023AEB21"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contestação (i) não afirmou que a autora não é casada com o executado; (</w:t>
      </w:r>
      <w:proofErr w:type="spellStart"/>
      <w:r w:rsidRPr="0015497E">
        <w:rPr>
          <w:rFonts w:ascii="Times New Roman" w:hAnsi="Times New Roman" w:cs="Times New Roman"/>
        </w:rPr>
        <w:t>ii</w:t>
      </w:r>
      <w:proofErr w:type="spellEnd"/>
      <w:r w:rsidRPr="0015497E">
        <w:rPr>
          <w:rFonts w:ascii="Times New Roman" w:hAnsi="Times New Roman" w:cs="Times New Roman"/>
        </w:rPr>
        <w:t>) não negou o regime de comunhão universal de bens; (</w:t>
      </w:r>
      <w:proofErr w:type="spellStart"/>
      <w:r w:rsidRPr="0015497E">
        <w:rPr>
          <w:rFonts w:ascii="Times New Roman" w:hAnsi="Times New Roman" w:cs="Times New Roman"/>
        </w:rPr>
        <w:t>iii</w:t>
      </w:r>
      <w:proofErr w:type="spellEnd"/>
      <w:r w:rsidRPr="0015497E">
        <w:rPr>
          <w:rFonts w:ascii="Times New Roman" w:hAnsi="Times New Roman" w:cs="Times New Roman"/>
        </w:rPr>
        <w:t xml:space="preserve"> )não impugnou a certidão de casamento; (</w:t>
      </w:r>
      <w:proofErr w:type="spellStart"/>
      <w:r w:rsidRPr="0015497E">
        <w:rPr>
          <w:rFonts w:ascii="Times New Roman" w:hAnsi="Times New Roman" w:cs="Times New Roman"/>
        </w:rPr>
        <w:t>iv</w:t>
      </w:r>
      <w:proofErr w:type="spellEnd"/>
      <w:r w:rsidRPr="0015497E">
        <w:rPr>
          <w:rFonts w:ascii="Times New Roman" w:hAnsi="Times New Roman" w:cs="Times New Roman"/>
        </w:rPr>
        <w:t>) não refutou as matrículas imobiliárias; (v)não demonstrou que a autora tenha participado dos fatos que originaram o título executivo; (vi) não apontou qualquer prova de que a dívida tenha revertido em benefício da entidade familiar; (</w:t>
      </w:r>
      <w:proofErr w:type="spellStart"/>
      <w:r w:rsidRPr="0015497E">
        <w:rPr>
          <w:rFonts w:ascii="Times New Roman" w:hAnsi="Times New Roman" w:cs="Times New Roman"/>
        </w:rPr>
        <w:t>vii</w:t>
      </w:r>
      <w:proofErr w:type="spellEnd"/>
      <w:r w:rsidRPr="0015497E">
        <w:rPr>
          <w:rFonts w:ascii="Times New Roman" w:hAnsi="Times New Roman" w:cs="Times New Roman"/>
        </w:rPr>
        <w:t>) não demonstrou enriquecimento ilícito da autora e (</w:t>
      </w:r>
      <w:proofErr w:type="spellStart"/>
      <w:r w:rsidRPr="0015497E">
        <w:rPr>
          <w:rFonts w:ascii="Times New Roman" w:hAnsi="Times New Roman" w:cs="Times New Roman"/>
        </w:rPr>
        <w:t>viii</w:t>
      </w:r>
      <w:proofErr w:type="spellEnd"/>
      <w:r w:rsidRPr="0015497E">
        <w:rPr>
          <w:rFonts w:ascii="Times New Roman" w:hAnsi="Times New Roman" w:cs="Times New Roman"/>
        </w:rPr>
        <w:t>)não comprovou incremento patrimonial do casal decorrente do fato administrativo apurado pelo TCU.</w:t>
      </w:r>
    </w:p>
    <w:p w14:paraId="326C48ED" w14:textId="295B146D"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Ao contrário, a própria defesa admite, em sua linha argumentativa, que há direito de meação, sustentando apenas que ele deveria recair sobre o produto de eventual alienação judicial.</w:t>
      </w:r>
    </w:p>
    <w:p w14:paraId="68476AAB" w14:textId="262B5F5C"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Portanto, a contestação não enfrenta o núcleo da causa de pedir.</w:t>
      </w:r>
    </w:p>
    <w:p w14:paraId="62F09EED" w14:textId="68F61B05"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defesa não combate o direito material da autora à preservação da meação. Apenas pretende que a execução prossiga sobre a totalidade dos imóveis, com posterior reserva de valores. Isso, entretanto, não afasta a procedência dos embargos. Apenas confirma que o direito de meação existe e deve ser judicialmente reconhecido.</w:t>
      </w:r>
    </w:p>
    <w:p w14:paraId="3A1F889B" w14:textId="371302E1"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FUNASA pode divergir quanto à forma de operacionalização da proteção da meação; o que não pode é transformar essa divergência procedimental em negativa do próprio direito substancial da autora.</w:t>
      </w:r>
    </w:p>
    <w:p w14:paraId="66C86A16" w14:textId="77777777" w:rsidR="0015497E" w:rsidRPr="0015497E" w:rsidRDefault="0015497E" w:rsidP="0015497E">
      <w:pPr>
        <w:ind w:right="-568"/>
        <w:jc w:val="both"/>
        <w:rPr>
          <w:rFonts w:ascii="Times New Roman" w:hAnsi="Times New Roman" w:cs="Times New Roman"/>
          <w:b/>
          <w:bCs/>
        </w:rPr>
      </w:pPr>
      <w:r w:rsidRPr="0015497E">
        <w:rPr>
          <w:rFonts w:ascii="Times New Roman" w:hAnsi="Times New Roman" w:cs="Times New Roman"/>
          <w:b/>
          <w:bCs/>
        </w:rPr>
        <w:t xml:space="preserve"> II.4-AUSÊNCIA DE IMPUGNAÇÃO ESPECÍFICA E PRESUNÇÃO DE VERACIDADE DOS FATOS CONSTITUTIVOS DO DIREITO DA AUTORA</w:t>
      </w:r>
    </w:p>
    <w:p w14:paraId="319ACEA5" w14:textId="6F62547E"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Nos termos do art. 341 do CPC, incumbe ao réu manifestar-se precisamente sobre as alegações de fato constantes da petição inicial, presumindo-se verdadeiras as não impugnadas.</w:t>
      </w:r>
    </w:p>
    <w:p w14:paraId="798FD779" w14:textId="2A504F0D"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lastRenderedPageBreak/>
        <w:t>A contestação apresentada pela FUNASA não cumpriu esse ônus processual.</w:t>
      </w:r>
    </w:p>
    <w:p w14:paraId="1FB1CFE2" w14:textId="65F56124"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Noutro lado, autora afirmou, com base documental, que:</w:t>
      </w:r>
    </w:p>
    <w:p w14:paraId="027D1FD7" w14:textId="019E1EBD"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 xml:space="preserve">a) é casada com </w:t>
      </w:r>
      <w:r>
        <w:rPr>
          <w:rFonts w:ascii="Times New Roman" w:hAnsi="Times New Roman" w:cs="Times New Roman"/>
        </w:rPr>
        <w:t>...</w:t>
      </w:r>
      <w:r w:rsidRPr="0015497E">
        <w:rPr>
          <w:rFonts w:ascii="Times New Roman" w:hAnsi="Times New Roman" w:cs="Times New Roman"/>
        </w:rPr>
        <w:t xml:space="preserve"> desde </w:t>
      </w:r>
      <w:r>
        <w:rPr>
          <w:rFonts w:ascii="Times New Roman" w:hAnsi="Times New Roman" w:cs="Times New Roman"/>
        </w:rPr>
        <w:t>...</w:t>
      </w:r>
      <w:r w:rsidRPr="0015497E">
        <w:rPr>
          <w:rFonts w:ascii="Times New Roman" w:hAnsi="Times New Roman" w:cs="Times New Roman"/>
        </w:rPr>
        <w:t>, sob o regime da comunhão universal de bens;</w:t>
      </w:r>
    </w:p>
    <w:p w14:paraId="1B31B366" w14:textId="2A0DDE80"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b) os imóveis constritos integram o patrimônio comum do casal;</w:t>
      </w:r>
    </w:p>
    <w:p w14:paraId="375B61FD" w14:textId="19268EC2"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c) a execução fiscal decorre de obrigação imputada exclusivamente ao cônjuge varão</w:t>
      </w:r>
    </w:p>
    <w:p w14:paraId="501CAC1D" w14:textId="773F67A3"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d) a autora não participou do fato gerador da dívida;</w:t>
      </w:r>
    </w:p>
    <w:p w14:paraId="64481EE8" w14:textId="5677DD23"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e) a dívida não reverteu em benefício do casal;</w:t>
      </w:r>
    </w:p>
    <w:p w14:paraId="6B6ED5B9" w14:textId="4F6B6A8B"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f) não houve desvio de verbas, apropriação de recursos ou enriquecimento ilícito do executado, conforme elementos já destacados na inicial;</w:t>
      </w:r>
    </w:p>
    <w:p w14:paraId="19066989" w14:textId="66E346BD"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g) parte dos imóveis já integrava o patrimônio do casal antes dos fatos administrativos que originaram a cobrança;</w:t>
      </w:r>
    </w:p>
    <w:p w14:paraId="260B7D65" w14:textId="7777777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h) a meação da autora não pode ser expropriada para satisfação de dívida pessoal do cônjuge executado.</w:t>
      </w:r>
    </w:p>
    <w:p w14:paraId="35D188CF" w14:textId="381D9E3F"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Esses pontos não foram impugnados de forma precisa, técnica e individualizada. Como dito e reprisado, por necessidade, a FUNASA limitou-se a defender a possibilidade de alienação integral de bem indivisível, com reserva da quota-parte da meeira. Essa tese, porém, não desconstitui os fatos constitutivos narrados na inicial, tampouco afasta a conclusão de que a autora possui direito à preservação de sua meação.</w:t>
      </w:r>
    </w:p>
    <w:p w14:paraId="651E7DAB" w14:textId="634CABB4"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 xml:space="preserve">A consequência processual é objetiva: os fatos não impugnados tornam-se incontroversos, nos termos dos </w:t>
      </w:r>
      <w:proofErr w:type="spellStart"/>
      <w:r w:rsidRPr="0015497E">
        <w:rPr>
          <w:rFonts w:ascii="Times New Roman" w:hAnsi="Times New Roman" w:cs="Times New Roman"/>
        </w:rPr>
        <w:t>arts</w:t>
      </w:r>
      <w:proofErr w:type="spellEnd"/>
      <w:r w:rsidRPr="0015497E">
        <w:rPr>
          <w:rFonts w:ascii="Times New Roman" w:hAnsi="Times New Roman" w:cs="Times New Roman"/>
        </w:rPr>
        <w:t>. 341 e 374, III, do CPC.</w:t>
      </w:r>
    </w:p>
    <w:p w14:paraId="5C659A7B" w14:textId="0F6409E9"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E, sendo incontroversa a condição de meeira da autora, bem como ausente qualquer demonstração de proveito familiar decorrente da dívida, a procedência dos embargos é medida que se impõe.</w:t>
      </w:r>
    </w:p>
    <w:p w14:paraId="296AE1E8" w14:textId="77777777" w:rsidR="0015497E" w:rsidRPr="0015497E" w:rsidRDefault="0015497E" w:rsidP="0015497E">
      <w:pPr>
        <w:ind w:right="-568"/>
        <w:jc w:val="both"/>
        <w:rPr>
          <w:rFonts w:ascii="Times New Roman" w:hAnsi="Times New Roman" w:cs="Times New Roman"/>
          <w:b/>
          <w:bCs/>
        </w:rPr>
      </w:pPr>
      <w:r w:rsidRPr="0015497E">
        <w:rPr>
          <w:rFonts w:ascii="Times New Roman" w:hAnsi="Times New Roman" w:cs="Times New Roman"/>
          <w:b/>
          <w:bCs/>
        </w:rPr>
        <w:t>II.5- A PROVA DOCUMENTAL DA AUTORA É ROBUSTA E NÃO FOI CONTRARIADA</w:t>
      </w:r>
    </w:p>
    <w:p w14:paraId="0AC50A62" w14:textId="61E8CD51"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inicial não se apoiou em alegações genéricas.</w:t>
      </w:r>
      <w:r>
        <w:rPr>
          <w:rFonts w:ascii="Times New Roman" w:hAnsi="Times New Roman" w:cs="Times New Roman"/>
        </w:rPr>
        <w:t xml:space="preserve"> </w:t>
      </w:r>
      <w:r w:rsidRPr="0015497E">
        <w:rPr>
          <w:rFonts w:ascii="Times New Roman" w:hAnsi="Times New Roman" w:cs="Times New Roman"/>
        </w:rPr>
        <w:t xml:space="preserve">Ao contrário, foi instruída com prova documental suficientemente apta a demonstrar todos os pressupostos do direito invocado. A certidão de casamento comprova a relação conjugal e o regime da comunhão universal de bens. As matrículas imobiliárias demonstram a natureza dos bens atingidos pela constrição. As peças da execução fiscal comprovam que a dívida é exigida exclusivamente de </w:t>
      </w:r>
      <w:r>
        <w:rPr>
          <w:rFonts w:ascii="Times New Roman" w:hAnsi="Times New Roman" w:cs="Times New Roman"/>
        </w:rPr>
        <w:t>...</w:t>
      </w:r>
    </w:p>
    <w:p w14:paraId="392B0C65" w14:textId="607FC746"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 xml:space="preserve">Os documentos oriundos da ação civil pública e o acórdão do </w:t>
      </w:r>
      <w:r>
        <w:rPr>
          <w:rFonts w:ascii="Times New Roman" w:hAnsi="Times New Roman" w:cs="Times New Roman"/>
        </w:rPr>
        <w:t>...</w:t>
      </w:r>
      <w:r w:rsidRPr="0015497E">
        <w:rPr>
          <w:rFonts w:ascii="Times New Roman" w:hAnsi="Times New Roman" w:cs="Times New Roman"/>
        </w:rPr>
        <w:t>evidenciam que não houve reconhecimento de apropriação de valores, enriquecimento ilícito ou locupletamento pessoal.</w:t>
      </w:r>
    </w:p>
    <w:p w14:paraId="43874606" w14:textId="210CB215"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As informações cronológicas relativas aos imóveis indicam que determinados bens já integravam o acervo patrimonial do casal antes dos fatos que deram origem à execução fiscal, o que reforça a ausência de nexo causal entre a dívida e a formação do patrimônio comum.</w:t>
      </w:r>
    </w:p>
    <w:p w14:paraId="16FD4CAA" w14:textId="7F188772"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lastRenderedPageBreak/>
        <w:t>Nada disso foi infirmado pela FUNASA, não há nos autos contraprova, documento novo, demonstração de benefício familiar e muito menos demonstração de benefício familiar.</w:t>
      </w:r>
    </w:p>
    <w:p w14:paraId="66428196" w14:textId="6B112CFA"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Excelência, não há prova de que a autora tenha recebido, direta ou indiretamente, vantagem econômica oriunda dos fatos imputados ao executado. A prova documental da autora permaneceu íntegra, hígida e não contrariada.</w:t>
      </w:r>
    </w:p>
    <w:p w14:paraId="483C908E" w14:textId="0AA00EF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Em processo civil, prova documental robusta e não impugnada especificamente não pode ser tratada como mera narrativa unilateral. Ao revés, converte-se em base segura para julgamento imediato da lide.</w:t>
      </w:r>
    </w:p>
    <w:p w14:paraId="568279E4" w14:textId="77777777" w:rsidR="0015497E" w:rsidRPr="0015497E" w:rsidRDefault="0015497E" w:rsidP="0015497E">
      <w:pPr>
        <w:ind w:right="-568"/>
        <w:jc w:val="both"/>
        <w:rPr>
          <w:rFonts w:ascii="Times New Roman" w:hAnsi="Times New Roman" w:cs="Times New Roman"/>
          <w:b/>
          <w:bCs/>
        </w:rPr>
      </w:pPr>
      <w:r w:rsidRPr="0015497E">
        <w:rPr>
          <w:rFonts w:ascii="Times New Roman" w:hAnsi="Times New Roman" w:cs="Times New Roman"/>
          <w:b/>
          <w:bCs/>
        </w:rPr>
        <w:t>II.6- A MEAÇÃO DA AUTORA NÃO RESPONDE POR DÍVIDA PESSOAL DO CÔNJUGE SEM PROVA DE BENEFÍCIO FAMILIAR</w:t>
      </w:r>
    </w:p>
    <w:p w14:paraId="668B05A7" w14:textId="396AE004"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controvérsia deve ser examinada à luz da Súmula 251 do STJ: “</w:t>
      </w:r>
      <w:r w:rsidRPr="0015497E">
        <w:rPr>
          <w:rFonts w:ascii="Times New Roman" w:hAnsi="Times New Roman" w:cs="Times New Roman"/>
          <w:i/>
          <w:iCs/>
        </w:rPr>
        <w:t>A meação só responde pelo ato ilícito quando o credor, na execução fiscal, provar que o enriquecimento dele resultante aproveitou ao casal</w:t>
      </w:r>
      <w:r w:rsidRPr="0015497E">
        <w:rPr>
          <w:rFonts w:ascii="Times New Roman" w:hAnsi="Times New Roman" w:cs="Times New Roman"/>
        </w:rPr>
        <w:t>.”</w:t>
      </w:r>
    </w:p>
    <w:p w14:paraId="7CDD01A3" w14:textId="5420BB7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orientação é clara: não basta que haja casamento, regime de comunhão universal ou que o bem seja comum. Para que a meação do cônjuge alheio ao débito seja atingida, é indispensável prova de que o produto do ato ilícito ou da dívida tenha revertido em benefício do casal.</w:t>
      </w:r>
    </w:p>
    <w:p w14:paraId="26CBC71B" w14:textId="31E95396"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E esse ônus é do credor. No caso, a FUNASA não produziu essa prova.</w:t>
      </w:r>
      <w:r>
        <w:rPr>
          <w:rFonts w:ascii="Times New Roman" w:hAnsi="Times New Roman" w:cs="Times New Roman"/>
        </w:rPr>
        <w:t xml:space="preserve"> </w:t>
      </w:r>
      <w:r w:rsidRPr="0015497E">
        <w:rPr>
          <w:rFonts w:ascii="Times New Roman" w:hAnsi="Times New Roman" w:cs="Times New Roman"/>
        </w:rPr>
        <w:t>Nem sequer alegou fato concreto apto a demonstrar que a autora tenha sido beneficiada.</w:t>
      </w:r>
    </w:p>
    <w:p w14:paraId="529BA8B3" w14:textId="5F387496"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execução fiscal apensada decorreu de apuração administrativa envolvendo atos praticados pelo executado no exercício de função pública. Trata-se, portanto, de obrigação vinculada à atuação pessoal do cônjuge varão, em contexto administrativo-funcional, sem qualquer demonstração de repercussão patrimonial favorável à família.</w:t>
      </w:r>
    </w:p>
    <w:p w14:paraId="7EB15409" w14:textId="13DD8931"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responsabilidade patrimonial não se transmite automaticamente ao cônjuge. O casamento não converte a esposa em garantidora universal de dívidas pessoais do marido. A comunhão universal de bens não autoriza a expropriação da meação do cônjuge inocente quando ausente prova de benefício familiar.</w:t>
      </w:r>
    </w:p>
    <w:p w14:paraId="77281498" w14:textId="4CDCDA03"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Admitir o contrário equivaleria a instaurar responsabilidade patrimonial objetiva da autora por fato que não praticou, por processo do qual não participou e por dívida que não contraiu.</w:t>
      </w:r>
    </w:p>
    <w:p w14:paraId="57AAF9BD" w14:textId="740B091D" w:rsidR="0015497E" w:rsidRPr="0015497E" w:rsidRDefault="0015497E" w:rsidP="0015497E">
      <w:pPr>
        <w:ind w:right="-568"/>
        <w:jc w:val="both"/>
        <w:rPr>
          <w:rFonts w:ascii="Times New Roman" w:hAnsi="Times New Roman" w:cs="Times New Roman"/>
          <w:b/>
          <w:bCs/>
        </w:rPr>
      </w:pPr>
      <w:r w:rsidRPr="0015497E">
        <w:rPr>
          <w:rFonts w:ascii="Times New Roman" w:hAnsi="Times New Roman" w:cs="Times New Roman"/>
          <w:b/>
          <w:bCs/>
        </w:rPr>
        <w:t>II.7-</w:t>
      </w:r>
      <w:r w:rsidRPr="0015497E">
        <w:rPr>
          <w:rFonts w:ascii="Times New Roman" w:hAnsi="Times New Roman" w:cs="Times New Roman"/>
          <w:b/>
          <w:bCs/>
        </w:rPr>
        <w:t xml:space="preserve"> </w:t>
      </w:r>
      <w:r w:rsidRPr="0015497E">
        <w:rPr>
          <w:rFonts w:ascii="Times New Roman" w:hAnsi="Times New Roman" w:cs="Times New Roman"/>
          <w:b/>
          <w:bCs/>
        </w:rPr>
        <w:t>A TESE DEFENSIVA DO ART. 843 DO CPC NÃO AFASTA A PROCEDÊNCIA DOS EMBARGOS</w:t>
      </w:r>
    </w:p>
    <w:p w14:paraId="0B614EC0" w14:textId="42548C6F"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FUNASA sustentou, em contestação, a possibilidade de alienação integral de bem indivisível, com reserva da meação sobre o produto da venda.</w:t>
      </w:r>
      <w:r>
        <w:rPr>
          <w:rFonts w:ascii="Times New Roman" w:hAnsi="Times New Roman" w:cs="Times New Roman"/>
        </w:rPr>
        <w:t xml:space="preserve"> </w:t>
      </w:r>
      <w:r w:rsidRPr="0015497E">
        <w:rPr>
          <w:rFonts w:ascii="Times New Roman" w:hAnsi="Times New Roman" w:cs="Times New Roman"/>
        </w:rPr>
        <w:t>O argumento não conduz à improcedência.</w:t>
      </w:r>
    </w:p>
    <w:p w14:paraId="1ADEE150" w14:textId="409C551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Primeiro, porque a própria inicial já havia tratado subsidiariamente da incidência do art. 843 do CPC, para a hipótese de bens indivisíveis.</w:t>
      </w:r>
    </w:p>
    <w:p w14:paraId="007F67E9" w14:textId="77777777" w:rsidR="0015497E" w:rsidRDefault="0015497E" w:rsidP="0015497E">
      <w:pPr>
        <w:ind w:right="-568"/>
        <w:jc w:val="both"/>
        <w:rPr>
          <w:rFonts w:ascii="Times New Roman" w:hAnsi="Times New Roman" w:cs="Times New Roman"/>
        </w:rPr>
      </w:pPr>
      <w:r w:rsidRPr="0015497E">
        <w:rPr>
          <w:rFonts w:ascii="Times New Roman" w:hAnsi="Times New Roman" w:cs="Times New Roman"/>
        </w:rPr>
        <w:t>Segundo, porque o art. 843 do CPC não nega o direito de meação; ele o pressupõe.</w:t>
      </w:r>
    </w:p>
    <w:p w14:paraId="783770A8" w14:textId="7D06949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lastRenderedPageBreak/>
        <w:t>Terceiro, porque a aplicação do art. 843 somente pode ocorrer de modo a assegurar, previamente e de forma integral, a quota-parte pertencente ao cônjuge alheio à execução, inclusive com observância da preferência legal e da garantia de que a meação não seja esvaziada por alienação judicial em valor inferior ao necessário à sua recomposição.</w:t>
      </w:r>
    </w:p>
    <w:p w14:paraId="02076D80" w14:textId="32C1FD48"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Assim, o debate sobre a alienação de bem indivisível não é fundamento para rejeitar os embargos.</w:t>
      </w:r>
    </w:p>
    <w:p w14:paraId="15052DD1" w14:textId="571E905E"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Ao contrário, apenas confirma que, reconhecida a meação, a constrição deve ser limitada ao patrimônio do executado, preservando-se a fração ideal da autora ou, se inviável a divisão física do bem, reservando-se a ela a quantia correspondente à sua quota-parte, nos exatos termos do art. 843 do CPC.</w:t>
      </w:r>
    </w:p>
    <w:p w14:paraId="02BB618D" w14:textId="4A9549FD"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Portanto, ainda que se admita, em tese, a alienação judicial de bem indivisível, isso jamais autoriza a penhora irrestrita e a expropriação indistinta do patrimônio da autora.</w:t>
      </w:r>
    </w:p>
    <w:p w14:paraId="7300CB21" w14:textId="45BE3BDB"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O que se deve reconhecer, por sentença, é a procedência dos embargos para resguardar a meação, disciplinando-se, se necessário, a forma de preservação desse direito na execução fiscal.</w:t>
      </w:r>
    </w:p>
    <w:p w14:paraId="007D9F96" w14:textId="7D92CF1C" w:rsidR="0015497E" w:rsidRPr="0015497E" w:rsidRDefault="0015497E" w:rsidP="0015497E">
      <w:pPr>
        <w:ind w:right="-568"/>
        <w:jc w:val="both"/>
        <w:rPr>
          <w:rFonts w:ascii="Times New Roman" w:hAnsi="Times New Roman" w:cs="Times New Roman"/>
          <w:b/>
          <w:bCs/>
        </w:rPr>
      </w:pPr>
      <w:r w:rsidRPr="0015497E">
        <w:rPr>
          <w:rFonts w:ascii="Times New Roman" w:hAnsi="Times New Roman" w:cs="Times New Roman"/>
          <w:b/>
          <w:bCs/>
        </w:rPr>
        <w:t>II.8-</w:t>
      </w:r>
      <w:r w:rsidRPr="0015497E">
        <w:rPr>
          <w:rFonts w:ascii="Times New Roman" w:hAnsi="Times New Roman" w:cs="Times New Roman"/>
          <w:b/>
          <w:bCs/>
        </w:rPr>
        <w:t xml:space="preserve"> </w:t>
      </w:r>
      <w:r w:rsidRPr="0015497E">
        <w:rPr>
          <w:rFonts w:ascii="Times New Roman" w:hAnsi="Times New Roman" w:cs="Times New Roman"/>
          <w:b/>
          <w:bCs/>
        </w:rPr>
        <w:t>MANUTENÇÃO DA GRATUIDADE JUDICIÁRIA</w:t>
      </w:r>
    </w:p>
    <w:p w14:paraId="6E5FF4DD" w14:textId="04204DED"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FUNASA também impugnou a gratuidade de justiça concedida à autora.</w:t>
      </w:r>
    </w:p>
    <w:p w14:paraId="5B656572" w14:textId="665A2E2C"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insurgência, contudo, foi construída sobre premissas genéricas.</w:t>
      </w:r>
    </w:p>
    <w:p w14:paraId="60A62363" w14:textId="2CAA4D3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existência de patrimônio imobiliário comum, especialmente objeto de constrição judicial e desprovido de liquidez imediata, não demonstra capacidade financeira para custeio do processo.</w:t>
      </w:r>
    </w:p>
    <w:p w14:paraId="3817F786" w14:textId="1C60FACB"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Patrimônio não é liquidez. Imóvel penhorado não é disponibilidade financeira. Meação discutida judicialmente não equivale a renda livre.</w:t>
      </w:r>
    </w:p>
    <w:p w14:paraId="5FAB1892" w14:textId="4F81FFFB"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 autora é pessoa idosa, aposentada, com renda comprovada documentalmente e sem demonstração de disponibilidade financeira apta a afastar a presunção legal de hipossuficiência prevista no art. 99, § 3º, do CPC.</w:t>
      </w:r>
    </w:p>
    <w:p w14:paraId="785886A9" w14:textId="2B783DD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Além disso, a FUNASA não trouxe prova concreta de suficiência econômica. Limitou-se a afirmar que a autora seria coproprietária de bens, sem demonstrar renda líquida, frutos, aluguéis, aplicações financeiras, disponibilidade bancária ou qualquer elemento objetivo apto a infirmar a declaração e a documentação trazidas, no</w:t>
      </w:r>
      <w:r w:rsidR="00BC125A">
        <w:rPr>
          <w:rFonts w:ascii="Times New Roman" w:hAnsi="Times New Roman" w:cs="Times New Roman"/>
        </w:rPr>
        <w:t>s</w:t>
      </w:r>
      <w:r w:rsidRPr="0015497E">
        <w:rPr>
          <w:rFonts w:ascii="Times New Roman" w:hAnsi="Times New Roman" w:cs="Times New Roman"/>
        </w:rPr>
        <w:t xml:space="preserve"> autos.</w:t>
      </w:r>
    </w:p>
    <w:p w14:paraId="21EA9502" w14:textId="1408AD47"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Assim, ausentes elementos concretos que afastem os pressupostos legais da benesse, deve ser mantida a gratuidade de justiça já deferida.</w:t>
      </w:r>
    </w:p>
    <w:p w14:paraId="3F6342C5" w14:textId="77777777" w:rsidR="0015497E" w:rsidRPr="00BC125A" w:rsidRDefault="0015497E" w:rsidP="0015497E">
      <w:pPr>
        <w:ind w:right="-568"/>
        <w:jc w:val="both"/>
        <w:rPr>
          <w:rFonts w:ascii="Times New Roman" w:hAnsi="Times New Roman" w:cs="Times New Roman"/>
          <w:b/>
          <w:bCs/>
        </w:rPr>
      </w:pPr>
      <w:r w:rsidRPr="00BC125A">
        <w:rPr>
          <w:rFonts w:ascii="Times New Roman" w:hAnsi="Times New Roman" w:cs="Times New Roman"/>
          <w:b/>
          <w:bCs/>
        </w:rPr>
        <w:t>III- PEDIDOS</w:t>
      </w:r>
    </w:p>
    <w:p w14:paraId="1875DC75" w14:textId="2320A968" w:rsidR="0015497E" w:rsidRPr="0015497E" w:rsidRDefault="0015497E" w:rsidP="0015497E">
      <w:pPr>
        <w:ind w:right="-568"/>
        <w:jc w:val="both"/>
        <w:rPr>
          <w:rFonts w:ascii="Times New Roman" w:hAnsi="Times New Roman" w:cs="Times New Roman"/>
        </w:rPr>
      </w:pPr>
      <w:proofErr w:type="spellStart"/>
      <w:r w:rsidRPr="00BC125A">
        <w:rPr>
          <w:rFonts w:ascii="Times New Roman" w:hAnsi="Times New Roman" w:cs="Times New Roman"/>
          <w:b/>
          <w:bCs/>
          <w:i/>
          <w:iCs/>
        </w:rPr>
        <w:t>Ex</w:t>
      </w:r>
      <w:proofErr w:type="spellEnd"/>
      <w:r w:rsidRPr="00BC125A">
        <w:rPr>
          <w:rFonts w:ascii="Times New Roman" w:hAnsi="Times New Roman" w:cs="Times New Roman"/>
          <w:b/>
          <w:bCs/>
          <w:i/>
          <w:iCs/>
        </w:rPr>
        <w:t xml:space="preserve"> positis</w:t>
      </w:r>
      <w:r w:rsidRPr="0015497E">
        <w:rPr>
          <w:rFonts w:ascii="Times New Roman" w:hAnsi="Times New Roman" w:cs="Times New Roman"/>
        </w:rPr>
        <w:t>, a embargante requer:</w:t>
      </w:r>
    </w:p>
    <w:p w14:paraId="50D0F83B" w14:textId="0AF50B13" w:rsidR="0015497E" w:rsidRPr="0015497E" w:rsidRDefault="00BC125A" w:rsidP="0015497E">
      <w:pPr>
        <w:ind w:right="-568"/>
        <w:jc w:val="both"/>
        <w:rPr>
          <w:rFonts w:ascii="Times New Roman" w:hAnsi="Times New Roman" w:cs="Times New Roman"/>
        </w:rPr>
      </w:pPr>
      <w:r w:rsidRPr="00BC125A">
        <w:rPr>
          <w:rFonts w:ascii="Times New Roman" w:hAnsi="Times New Roman" w:cs="Times New Roman"/>
        </w:rPr>
        <w:t>a)</w:t>
      </w:r>
      <w:r>
        <w:rPr>
          <w:rFonts w:ascii="Times New Roman" w:hAnsi="Times New Roman" w:cs="Times New Roman"/>
        </w:rPr>
        <w:t xml:space="preserve"> </w:t>
      </w:r>
      <w:r w:rsidR="0015497E" w:rsidRPr="00BC125A">
        <w:rPr>
          <w:rFonts w:ascii="Times New Roman" w:hAnsi="Times New Roman" w:cs="Times New Roman"/>
        </w:rPr>
        <w:t xml:space="preserve">sejam julgados TOTALMENTE PROCEDENTES os presentes embargos de terceiro, para reconhecer o direito de meação da autora sobre os imóveis penhorados nos autos da Execução Fiscal n. </w:t>
      </w:r>
      <w:r>
        <w:rPr>
          <w:rFonts w:ascii="Times New Roman" w:hAnsi="Times New Roman" w:cs="Times New Roman"/>
        </w:rPr>
        <w:t>...</w:t>
      </w:r>
      <w:r w:rsidR="0015497E" w:rsidRPr="00BC125A">
        <w:rPr>
          <w:rFonts w:ascii="Times New Roman" w:hAnsi="Times New Roman" w:cs="Times New Roman"/>
        </w:rPr>
        <w:t xml:space="preserve">; determinada a exclusão da fração ideal pertencente à autora dos efeitos da penhora, </w:t>
      </w:r>
      <w:r w:rsidR="0015497E" w:rsidRPr="00BC125A">
        <w:rPr>
          <w:rFonts w:ascii="Times New Roman" w:hAnsi="Times New Roman" w:cs="Times New Roman"/>
        </w:rPr>
        <w:lastRenderedPageBreak/>
        <w:t>constrição, avaliação, alienação, adjudicação, arrematação ou qualquer outro ato expropriatório e mantida a gratuidade de justiça já deferida à autora,</w:t>
      </w:r>
    </w:p>
    <w:p w14:paraId="6DC54FF6" w14:textId="287CFBCC"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b)</w:t>
      </w:r>
      <w:r w:rsidR="00BC125A">
        <w:rPr>
          <w:rFonts w:ascii="Times New Roman" w:hAnsi="Times New Roman" w:cs="Times New Roman"/>
        </w:rPr>
        <w:t xml:space="preserve"> </w:t>
      </w:r>
      <w:r w:rsidRPr="0015497E">
        <w:rPr>
          <w:rFonts w:ascii="Times New Roman" w:hAnsi="Times New Roman" w:cs="Times New Roman"/>
        </w:rPr>
        <w:t>subsidiariamente, caso se entenda pela possibilidade de alienação de bem indivisível, que seja expressamente assegurada a aplicação do art. 843 do CPC, com reserva integral da quota-parte da autora, correspondente à sua meação, observada a preferência legal e vedado qualquer ato que importe esvaziamento econômico de seu direito;</w:t>
      </w:r>
    </w:p>
    <w:p w14:paraId="2CBCA046" w14:textId="3E6EE34A"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c) seja a FUNASA condenada ao pagamento das custas processuais e honorários advocatícios sucumbenciais no percentual de 20% do valor da causa atualizada [CPC, art. 85, § 2º];</w:t>
      </w:r>
    </w:p>
    <w:p w14:paraId="29C41A1D" w14:textId="373ABC68" w:rsidR="0015497E" w:rsidRPr="0015497E" w:rsidRDefault="0015497E" w:rsidP="0015497E">
      <w:pPr>
        <w:ind w:right="-568"/>
        <w:jc w:val="both"/>
        <w:rPr>
          <w:rFonts w:ascii="Times New Roman" w:hAnsi="Times New Roman" w:cs="Times New Roman"/>
        </w:rPr>
      </w:pPr>
      <w:r w:rsidRPr="0015497E">
        <w:rPr>
          <w:rFonts w:ascii="Times New Roman" w:hAnsi="Times New Roman" w:cs="Times New Roman"/>
        </w:rPr>
        <w:t>d)</w:t>
      </w:r>
      <w:r w:rsidR="00BC125A">
        <w:rPr>
          <w:rFonts w:ascii="Times New Roman" w:hAnsi="Times New Roman" w:cs="Times New Roman"/>
        </w:rPr>
        <w:t xml:space="preserve"> </w:t>
      </w:r>
      <w:r w:rsidRPr="0015497E">
        <w:rPr>
          <w:rFonts w:ascii="Times New Roman" w:hAnsi="Times New Roman" w:cs="Times New Roman"/>
        </w:rPr>
        <w:t>seja comunicada a decisão/sentença aos autos da execução fiscal originária, para que se observe, imediatamente, a preservação da meação da autora.</w:t>
      </w:r>
    </w:p>
    <w:p w14:paraId="632A93F7" w14:textId="17F47AE3" w:rsidR="0015497E" w:rsidRDefault="0015497E" w:rsidP="00BC125A">
      <w:pPr>
        <w:spacing w:after="0" w:line="240" w:lineRule="auto"/>
        <w:ind w:right="-567"/>
        <w:jc w:val="center"/>
        <w:rPr>
          <w:rFonts w:ascii="Times New Roman" w:hAnsi="Times New Roman" w:cs="Times New Roman"/>
        </w:rPr>
      </w:pPr>
      <w:r w:rsidRPr="0015497E">
        <w:rPr>
          <w:rFonts w:ascii="Times New Roman" w:hAnsi="Times New Roman" w:cs="Times New Roman"/>
        </w:rPr>
        <w:t>P</w:t>
      </w:r>
      <w:r w:rsidR="00BC125A">
        <w:rPr>
          <w:rFonts w:ascii="Times New Roman" w:hAnsi="Times New Roman" w:cs="Times New Roman"/>
        </w:rPr>
        <w:t>ede</w:t>
      </w:r>
      <w:r w:rsidRPr="0015497E">
        <w:rPr>
          <w:rFonts w:ascii="Times New Roman" w:hAnsi="Times New Roman" w:cs="Times New Roman"/>
        </w:rPr>
        <w:t xml:space="preserve"> Deferimento.</w:t>
      </w:r>
    </w:p>
    <w:p w14:paraId="413047FE" w14:textId="5D5297BB" w:rsidR="00BC125A" w:rsidRDefault="00BC125A" w:rsidP="00BC125A">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7234B251" w14:textId="0DED0DBA" w:rsidR="00BC125A" w:rsidRDefault="00BC125A" w:rsidP="00BC125A">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p w14:paraId="188DB16D" w14:textId="5F896673" w:rsidR="0015497E" w:rsidRPr="0015497E" w:rsidRDefault="0015497E" w:rsidP="0015497E">
      <w:pPr>
        <w:ind w:right="-568"/>
        <w:jc w:val="both"/>
        <w:rPr>
          <w:rFonts w:ascii="Times New Roman" w:hAnsi="Times New Roman" w:cs="Times New Roman"/>
        </w:rPr>
      </w:pPr>
    </w:p>
    <w:sectPr w:rsidR="0015497E" w:rsidRPr="0015497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84BB0"/>
    <w:multiLevelType w:val="hybridMultilevel"/>
    <w:tmpl w:val="E8582BC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07915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97E"/>
    <w:rsid w:val="0015497E"/>
    <w:rsid w:val="00B66692"/>
    <w:rsid w:val="00BC125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C72DE"/>
  <w15:chartTrackingRefBased/>
  <w15:docId w15:val="{4209BD06-7A9F-49BA-8798-19BA3329B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549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1549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15497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15497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15497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15497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5497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5497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5497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5497E"/>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15497E"/>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15497E"/>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15497E"/>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15497E"/>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15497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5497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5497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5497E"/>
    <w:rPr>
      <w:rFonts w:eastAsiaTheme="majorEastAsia" w:cstheme="majorBidi"/>
      <w:color w:val="272727" w:themeColor="text1" w:themeTint="D8"/>
    </w:rPr>
  </w:style>
  <w:style w:type="paragraph" w:styleId="Ttulo">
    <w:name w:val="Title"/>
    <w:basedOn w:val="Normal"/>
    <w:next w:val="Normal"/>
    <w:link w:val="TtuloChar"/>
    <w:uiPriority w:val="10"/>
    <w:qFormat/>
    <w:rsid w:val="001549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549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5497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5497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5497E"/>
    <w:pPr>
      <w:spacing w:before="160"/>
      <w:jc w:val="center"/>
    </w:pPr>
    <w:rPr>
      <w:i/>
      <w:iCs/>
      <w:color w:val="404040" w:themeColor="text1" w:themeTint="BF"/>
    </w:rPr>
  </w:style>
  <w:style w:type="character" w:customStyle="1" w:styleId="CitaoChar">
    <w:name w:val="Citação Char"/>
    <w:basedOn w:val="Fontepargpadro"/>
    <w:link w:val="Citao"/>
    <w:uiPriority w:val="29"/>
    <w:rsid w:val="0015497E"/>
    <w:rPr>
      <w:i/>
      <w:iCs/>
      <w:color w:val="404040" w:themeColor="text1" w:themeTint="BF"/>
    </w:rPr>
  </w:style>
  <w:style w:type="paragraph" w:styleId="PargrafodaLista">
    <w:name w:val="List Paragraph"/>
    <w:basedOn w:val="Normal"/>
    <w:uiPriority w:val="34"/>
    <w:qFormat/>
    <w:rsid w:val="0015497E"/>
    <w:pPr>
      <w:ind w:left="720"/>
      <w:contextualSpacing/>
    </w:pPr>
  </w:style>
  <w:style w:type="character" w:styleId="nfaseIntensa">
    <w:name w:val="Intense Emphasis"/>
    <w:basedOn w:val="Fontepargpadro"/>
    <w:uiPriority w:val="21"/>
    <w:qFormat/>
    <w:rsid w:val="0015497E"/>
    <w:rPr>
      <w:i/>
      <w:iCs/>
      <w:color w:val="2F5496" w:themeColor="accent1" w:themeShade="BF"/>
    </w:rPr>
  </w:style>
  <w:style w:type="paragraph" w:styleId="CitaoIntensa">
    <w:name w:val="Intense Quote"/>
    <w:basedOn w:val="Normal"/>
    <w:next w:val="Normal"/>
    <w:link w:val="CitaoIntensaChar"/>
    <w:uiPriority w:val="30"/>
    <w:qFormat/>
    <w:rsid w:val="001549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15497E"/>
    <w:rPr>
      <w:i/>
      <w:iCs/>
      <w:color w:val="2F5496" w:themeColor="accent1" w:themeShade="BF"/>
    </w:rPr>
  </w:style>
  <w:style w:type="character" w:styleId="RefernciaIntensa">
    <w:name w:val="Intense Reference"/>
    <w:basedOn w:val="Fontepargpadro"/>
    <w:uiPriority w:val="32"/>
    <w:qFormat/>
    <w:rsid w:val="001549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2469</Words>
  <Characters>13338</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2026-10-02T18:53:00Z</dcterms:created>
  <dcterms:modified xsi:type="dcterms:W3CDTF">2026-10-02T19:07:00Z</dcterms:modified>
</cp:coreProperties>
</file>