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49166" w14:textId="77777777" w:rsidR="00C677E6" w:rsidRPr="00C677E6" w:rsidRDefault="00C677E6" w:rsidP="00C677E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677E6">
        <w:rPr>
          <w:rFonts w:ascii="Arial Black" w:hAnsi="Arial Black" w:cs="Times New Roman"/>
        </w:rPr>
        <w:t>MODELO DE PETIÇÃO</w:t>
      </w:r>
    </w:p>
    <w:p w14:paraId="2D4CD1E5" w14:textId="0E1D9914" w:rsidR="00C677E6" w:rsidRPr="00C677E6" w:rsidRDefault="00C677E6" w:rsidP="00C677E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677E6">
        <w:rPr>
          <w:rFonts w:ascii="Arial Black" w:hAnsi="Arial Black" w:cs="Times New Roman"/>
        </w:rPr>
        <w:t>EMBARGOS DE TERCEIRO.</w:t>
      </w:r>
      <w:r>
        <w:rPr>
          <w:rFonts w:ascii="Arial Black" w:hAnsi="Arial Black" w:cs="Times New Roman"/>
        </w:rPr>
        <w:t xml:space="preserve"> </w:t>
      </w:r>
      <w:r w:rsidRPr="00C677E6">
        <w:rPr>
          <w:rFonts w:ascii="Arial Black" w:hAnsi="Arial Black" w:cs="Times New Roman"/>
        </w:rPr>
        <w:t>GRATUIDADE DA JUSTIÇA. PRESUNÇÃO DA VERACIDADE.</w:t>
      </w:r>
      <w:r>
        <w:rPr>
          <w:rFonts w:ascii="Arial Black" w:hAnsi="Arial Black" w:cs="Times New Roman"/>
        </w:rPr>
        <w:t xml:space="preserve"> </w:t>
      </w:r>
      <w:r w:rsidRPr="00C677E6">
        <w:rPr>
          <w:rFonts w:ascii="Arial Black" w:hAnsi="Arial Black" w:cs="Times New Roman"/>
        </w:rPr>
        <w:t>AUSÊNCIA DE IMPUGNAÇÃO ESPECÍFICA [CPC,</w:t>
      </w:r>
      <w:r>
        <w:rPr>
          <w:rFonts w:ascii="Arial Black" w:hAnsi="Arial Black" w:cs="Times New Roman"/>
        </w:rPr>
        <w:t xml:space="preserve"> </w:t>
      </w:r>
      <w:r w:rsidRPr="00C677E6">
        <w:rPr>
          <w:rFonts w:ascii="Arial Black" w:hAnsi="Arial Black" w:cs="Times New Roman"/>
        </w:rPr>
        <w:t>ART. 341].</w:t>
      </w:r>
      <w:r>
        <w:rPr>
          <w:rFonts w:ascii="Arial Black" w:hAnsi="Arial Black" w:cs="Times New Roman"/>
        </w:rPr>
        <w:t xml:space="preserve"> </w:t>
      </w:r>
      <w:r w:rsidRPr="00C677E6">
        <w:rPr>
          <w:rFonts w:ascii="Arial Black" w:hAnsi="Arial Black" w:cs="Times New Roman"/>
        </w:rPr>
        <w:t>PRESUNÇÃO DE VERACIDADE DOS FATOS</w:t>
      </w:r>
      <w:r>
        <w:rPr>
          <w:rFonts w:ascii="Arial Black" w:hAnsi="Arial Black" w:cs="Times New Roman"/>
        </w:rPr>
        <w:t xml:space="preserve"> </w:t>
      </w:r>
      <w:r w:rsidRPr="00C677E6">
        <w:rPr>
          <w:rFonts w:ascii="Arial Black" w:hAnsi="Arial Black" w:cs="Times New Roman"/>
        </w:rPr>
        <w:t>CONSTITUTIVOS DO DIREITO À MEAÇÃO. JULGAM</w:t>
      </w:r>
      <w:r>
        <w:rPr>
          <w:rFonts w:ascii="Arial Black" w:hAnsi="Arial Black" w:cs="Times New Roman"/>
        </w:rPr>
        <w:t>E</w:t>
      </w:r>
      <w:r w:rsidRPr="00C677E6">
        <w:rPr>
          <w:rFonts w:ascii="Arial Black" w:hAnsi="Arial Black" w:cs="Times New Roman"/>
        </w:rPr>
        <w:t>NTO</w:t>
      </w:r>
      <w:r>
        <w:rPr>
          <w:rFonts w:ascii="Arial Black" w:hAnsi="Arial Black" w:cs="Times New Roman"/>
        </w:rPr>
        <w:t xml:space="preserve"> </w:t>
      </w:r>
      <w:r w:rsidRPr="00C677E6">
        <w:rPr>
          <w:rFonts w:ascii="Arial Black" w:hAnsi="Arial Black" w:cs="Times New Roman"/>
        </w:rPr>
        <w:t>ANTECIPADO. PETIÇÃO</w:t>
      </w:r>
    </w:p>
    <w:p w14:paraId="771D0BBD" w14:textId="77777777" w:rsidR="00C677E6" w:rsidRPr="00C677E6" w:rsidRDefault="00C677E6" w:rsidP="00C677E6">
      <w:pPr>
        <w:spacing w:after="0" w:line="240" w:lineRule="auto"/>
        <w:ind w:right="-567"/>
        <w:jc w:val="right"/>
        <w:rPr>
          <w:rFonts w:ascii="Times New Roman" w:hAnsi="Times New Roman" w:cs="Times New Roman"/>
        </w:rPr>
      </w:pPr>
      <w:proofErr w:type="spellStart"/>
      <w:r w:rsidRPr="00C677E6">
        <w:rPr>
          <w:rFonts w:ascii="Arial Black" w:hAnsi="Arial Black" w:cs="Times New Roman"/>
        </w:rPr>
        <w:t>Rénan</w:t>
      </w:r>
      <w:proofErr w:type="spellEnd"/>
      <w:r w:rsidRPr="00C677E6">
        <w:rPr>
          <w:rFonts w:ascii="Arial Black" w:hAnsi="Arial Black" w:cs="Times New Roman"/>
        </w:rPr>
        <w:t xml:space="preserve"> </w:t>
      </w:r>
      <w:proofErr w:type="spellStart"/>
      <w:r w:rsidRPr="00C677E6">
        <w:rPr>
          <w:rFonts w:ascii="Arial Black" w:hAnsi="Arial Black" w:cs="Times New Roman"/>
        </w:rPr>
        <w:t>Kfuri</w:t>
      </w:r>
      <w:proofErr w:type="spellEnd"/>
      <w:r w:rsidRPr="00C677E6">
        <w:rPr>
          <w:rFonts w:ascii="Arial Black" w:hAnsi="Arial Black" w:cs="Times New Roman"/>
        </w:rPr>
        <w:t xml:space="preserve"> Lopes</w:t>
      </w:r>
    </w:p>
    <w:p w14:paraId="305851CA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</w:p>
    <w:p w14:paraId="1E25E6EA" w14:textId="53914BAD" w:rsid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Federal da ... Vara de Execução Fiscal, Extrajudicial e JEF Adjunto da Subseção Judiciária de ...</w:t>
      </w:r>
    </w:p>
    <w:p w14:paraId="68DE48C2" w14:textId="18CB41A3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C677E6">
        <w:rPr>
          <w:rFonts w:ascii="Times New Roman" w:hAnsi="Times New Roman" w:cs="Times New Roman"/>
        </w:rPr>
        <w:t>ePROC</w:t>
      </w:r>
      <w:proofErr w:type="spellEnd"/>
      <w:r w:rsidRPr="00C677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2E271644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- </w:t>
      </w:r>
      <w:proofErr w:type="gramStart"/>
      <w:r w:rsidRPr="00C677E6">
        <w:rPr>
          <w:rFonts w:ascii="Times New Roman" w:hAnsi="Times New Roman" w:cs="Times New Roman"/>
        </w:rPr>
        <w:t>matéria</w:t>
      </w:r>
      <w:proofErr w:type="gramEnd"/>
      <w:r w:rsidRPr="00C677E6">
        <w:rPr>
          <w:rFonts w:ascii="Times New Roman" w:hAnsi="Times New Roman" w:cs="Times New Roman"/>
        </w:rPr>
        <w:t xml:space="preserve"> de fundo exclusivamente de direito -</w:t>
      </w:r>
    </w:p>
    <w:p w14:paraId="2C8DF224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- </w:t>
      </w:r>
      <w:proofErr w:type="gramStart"/>
      <w:r w:rsidRPr="00C677E6">
        <w:rPr>
          <w:rFonts w:ascii="Times New Roman" w:hAnsi="Times New Roman" w:cs="Times New Roman"/>
        </w:rPr>
        <w:t>procedência</w:t>
      </w:r>
      <w:proofErr w:type="gramEnd"/>
      <w:r w:rsidRPr="00C677E6">
        <w:rPr>
          <w:rFonts w:ascii="Times New Roman" w:hAnsi="Times New Roman" w:cs="Times New Roman"/>
        </w:rPr>
        <w:t xml:space="preserve"> da ação -</w:t>
      </w:r>
    </w:p>
    <w:p w14:paraId="3FB037F7" w14:textId="36DB9FAE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C677E6">
        <w:rPr>
          <w:rFonts w:ascii="Times New Roman" w:hAnsi="Times New Roman" w:cs="Times New Roman"/>
        </w:rPr>
        <w:t xml:space="preserve">, embargante/autora, por seus advogados </w:t>
      </w:r>
      <w:r w:rsidRPr="00C677E6">
        <w:rPr>
          <w:rFonts w:ascii="Times New Roman" w:hAnsi="Times New Roman" w:cs="Times New Roman"/>
          <w:i/>
          <w:iCs/>
        </w:rPr>
        <w:t>in fine</w:t>
      </w:r>
      <w:r w:rsidRPr="00C677E6">
        <w:rPr>
          <w:rFonts w:ascii="Times New Roman" w:hAnsi="Times New Roman" w:cs="Times New Roman"/>
        </w:rPr>
        <w:t xml:space="preserve"> assinados, nos autos epigrafados dos Embargos de Terceiro promovido contra FUNDAÇÃO NACIONAL DE SAÚDE - FUNASA, embargada/ré, vem, respeitosamente, apresentar sua IMPUGNAÇÃO À CONTESTAÇÃO DO EVENTO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>, pelas razões de direito adiante articuladas:</w:t>
      </w:r>
    </w:p>
    <w:p w14:paraId="58909B03" w14:textId="22899753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t>I - SÍNTESE PROCESSUAL</w:t>
      </w:r>
    </w:p>
    <w:p w14:paraId="3E97B627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t>Petição Inicial</w:t>
      </w:r>
    </w:p>
    <w:p w14:paraId="5D33DDDE" w14:textId="456B1683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Tratam-se os autos de uma Embargos de com Pedido de Tutela de Urgência ajuizada por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contra a Fundação Nacional de Saúde – FUNASA, objetivando a reserva de meação sobre imóveis penhorados na ação originária de “</w:t>
      </w:r>
      <w:r w:rsidRPr="00C677E6">
        <w:rPr>
          <w:rFonts w:ascii="Times New Roman" w:hAnsi="Times New Roman" w:cs="Times New Roman"/>
          <w:i/>
          <w:iCs/>
        </w:rPr>
        <w:t>Execução Fiscal</w:t>
      </w:r>
      <w:r w:rsidRPr="00C677E6">
        <w:rPr>
          <w:rFonts w:ascii="Times New Roman" w:hAnsi="Times New Roman" w:cs="Times New Roman"/>
        </w:rPr>
        <w:t xml:space="preserve">”, movida contra o cônjuge da embargante, o Sr.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com quem é casada desde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sob o regime de comunhão universal de bens.</w:t>
      </w:r>
    </w:p>
    <w:p w14:paraId="3074DE38" w14:textId="384B887E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Requereu o deferimento liminarmente da tutela provisória de urgência para determinar a suspensão dos efeitos da penhora incidentes sobre os imóveis de matrícula:</w:t>
      </w:r>
    </w:p>
    <w:p w14:paraId="0BCD9199" w14:textId="1AA32AF4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(i</w:t>
      </w:r>
      <w:r>
        <w:rPr>
          <w:rFonts w:ascii="Times New Roman" w:hAnsi="Times New Roman" w:cs="Times New Roman"/>
        </w:rPr>
        <w:t xml:space="preserve">) </w:t>
      </w:r>
      <w:r w:rsidRPr="00C677E6">
        <w:rPr>
          <w:rFonts w:ascii="Times New Roman" w:hAnsi="Times New Roman" w:cs="Times New Roman"/>
        </w:rPr>
        <w:t xml:space="preserve">Matrícula n.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CRI de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>% desse imóvel [R-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]; </w:t>
      </w:r>
    </w:p>
    <w:p w14:paraId="6857588C" w14:textId="24C85E5E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(</w:t>
      </w:r>
      <w:proofErr w:type="spellStart"/>
      <w:r w:rsidRPr="00C677E6">
        <w:rPr>
          <w:rFonts w:ascii="Times New Roman" w:hAnsi="Times New Roman" w:cs="Times New Roman"/>
        </w:rPr>
        <w:t>ii</w:t>
      </w:r>
      <w:proofErr w:type="spellEnd"/>
      <w:r w:rsidRPr="00C677E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77E6">
        <w:rPr>
          <w:rFonts w:ascii="Times New Roman" w:hAnsi="Times New Roman" w:cs="Times New Roman"/>
        </w:rPr>
        <w:t xml:space="preserve">Matrícula n.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CRI de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; </w:t>
      </w:r>
    </w:p>
    <w:p w14:paraId="79ECD503" w14:textId="21DD5971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(</w:t>
      </w:r>
      <w:proofErr w:type="spellStart"/>
      <w:r w:rsidRPr="00C677E6">
        <w:rPr>
          <w:rFonts w:ascii="Times New Roman" w:hAnsi="Times New Roman" w:cs="Times New Roman"/>
        </w:rPr>
        <w:t>iii</w:t>
      </w:r>
      <w:proofErr w:type="spellEnd"/>
      <w:r w:rsidRPr="00C677E6">
        <w:rPr>
          <w:rFonts w:ascii="Times New Roman" w:hAnsi="Times New Roman" w:cs="Times New Roman"/>
        </w:rPr>
        <w:t xml:space="preserve">) Matrículas </w:t>
      </w:r>
      <w:proofErr w:type="spellStart"/>
      <w:r w:rsidRPr="00C677E6">
        <w:rPr>
          <w:rFonts w:ascii="Times New Roman" w:hAnsi="Times New Roman" w:cs="Times New Roman"/>
        </w:rPr>
        <w:t>ns</w:t>
      </w:r>
      <w:proofErr w:type="spellEnd"/>
      <w:r w:rsidRPr="00C677E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CRI de </w:t>
      </w:r>
      <w:r>
        <w:rPr>
          <w:rFonts w:ascii="Times New Roman" w:hAnsi="Times New Roman" w:cs="Times New Roman"/>
        </w:rPr>
        <w:t>...</w:t>
      </w:r>
    </w:p>
    <w:p w14:paraId="415BB979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t>Despacho Inaugural</w:t>
      </w:r>
    </w:p>
    <w:p w14:paraId="76E73DAE" w14:textId="7649ABED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Através da r. decisão inaugural do Evento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este d. juízo federal da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ª Vara de Execução Fiscal, Extrajudicial e Jef Adjunto recebeu a petição inicial dos embargos; reconheceu a regularidade formal da demanda e a adequação da via eleita; deferiu os benefícios da gratuidade judiciária a embargante e determinou a suspensão da Execução n.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em relação aos bens objeto deste feito, matrículas n.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; n.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; e </w:t>
      </w:r>
      <w:proofErr w:type="spellStart"/>
      <w:r w:rsidRPr="00C677E6">
        <w:rPr>
          <w:rFonts w:ascii="Times New Roman" w:hAnsi="Times New Roman" w:cs="Times New Roman"/>
        </w:rPr>
        <w:t>ns</w:t>
      </w:r>
      <w:proofErr w:type="spellEnd"/>
      <w:r w:rsidRPr="00C677E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do CRI de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>, nos termos do art. 678 do CPC.</w:t>
      </w:r>
    </w:p>
    <w:p w14:paraId="20363D8A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</w:p>
    <w:p w14:paraId="27D2C07F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lastRenderedPageBreak/>
        <w:t>A Contestação</w:t>
      </w:r>
    </w:p>
    <w:p w14:paraId="5B2F862D" w14:textId="63FC8D9D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Resumidamente, o embargado/réu Fundação Nacional de Saúde - FUNASA compareceu aos autos e apresentou sua contestação no Evento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suscitando as seguintes teses defensivas, em síntese:</w:t>
      </w:r>
    </w:p>
    <w:p w14:paraId="461C7A42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t>Alegações do Embargado</w:t>
      </w:r>
      <w:r w:rsidRPr="00C677E6">
        <w:rPr>
          <w:rFonts w:ascii="Times New Roman" w:hAnsi="Times New Roman" w:cs="Times New Roman"/>
          <w:b/>
          <w:bCs/>
        </w:rPr>
        <w:tab/>
      </w:r>
    </w:p>
    <w:p w14:paraId="4D8B03E7" w14:textId="5D8BB929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677E6">
        <w:rPr>
          <w:rFonts w:ascii="Times New Roman" w:hAnsi="Times New Roman" w:cs="Times New Roman"/>
        </w:rPr>
        <w:t>Impugnou o deferimento da gratuidade judiciária, em razão da quantidade de imóveis em copropriedade da embargante, sem, contudo, trazer aos autos quaisquer elementos que comprovassem a suficiência de recursos da embargante/autora;</w:t>
      </w:r>
    </w:p>
    <w:p w14:paraId="46E4805B" w14:textId="31785A5A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677E6">
        <w:rPr>
          <w:rFonts w:ascii="Times New Roman" w:hAnsi="Times New Roman" w:cs="Times New Roman"/>
        </w:rPr>
        <w:t>Reconheceu tacitamente o direito da embargante à meação dos recursos.</w:t>
      </w:r>
    </w:p>
    <w:p w14:paraId="3EF38BA8" w14:textId="04A8A6D5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677E6">
        <w:rPr>
          <w:rFonts w:ascii="Times New Roman" w:hAnsi="Times New Roman" w:cs="Times New Roman"/>
        </w:rPr>
        <w:t xml:space="preserve">Suscitou a possibilidade de alienação do bem indivisível com reserva de meação </w:t>
      </w:r>
    </w:p>
    <w:p w14:paraId="6D784E1C" w14:textId="1F567928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t xml:space="preserve">II </w:t>
      </w:r>
      <w:proofErr w:type="gramStart"/>
      <w:r w:rsidRPr="00C677E6">
        <w:rPr>
          <w:rFonts w:ascii="Times New Roman" w:hAnsi="Times New Roman" w:cs="Times New Roman"/>
          <w:b/>
          <w:bCs/>
        </w:rPr>
        <w:t>-  DIREITO</w:t>
      </w:r>
      <w:proofErr w:type="gramEnd"/>
      <w:r w:rsidRPr="00C677E6">
        <w:rPr>
          <w:rFonts w:ascii="Times New Roman" w:hAnsi="Times New Roman" w:cs="Times New Roman"/>
          <w:b/>
          <w:bCs/>
        </w:rPr>
        <w:t xml:space="preserve"> À GRATUIDADE DA JUSTIÇA</w:t>
      </w:r>
    </w:p>
    <w:p w14:paraId="72FD11A0" w14:textId="5372A4AF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t>A PRESUNÇÃO DE VERACIDADE DA HIPOSSUFICIÊNCIA E A AUSÊNCIA DE PROVA EM SENTIDO CONTRÁRIO -</w:t>
      </w:r>
    </w:p>
    <w:p w14:paraId="719A1411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  <w:b/>
          <w:bCs/>
        </w:rPr>
        <w:t>DISTINÇÃO ENTRE PATRIMÔNIO E LIQUIDEZ: APLICAÇÃO DO TEMA 1.178 DO STJ</w:t>
      </w:r>
    </w:p>
    <w:p w14:paraId="6418CFC8" w14:textId="6EACC389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Em sede de contestação, a embargada impugnou a concessão da gratuidade judiciária deferida à embargante, argumentando genericamente que esta seria coproprietária dos imóveis adquiridos pelo seu cônjuge, o Sr. </w:t>
      </w:r>
      <w:r>
        <w:rPr>
          <w:rFonts w:ascii="Times New Roman" w:hAnsi="Times New Roman" w:cs="Times New Roman"/>
        </w:rPr>
        <w:t>...</w:t>
      </w:r>
    </w:p>
    <w:p w14:paraId="2EF0E1C2" w14:textId="74D6530E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Todavia, a insurgência não merece prosperar.</w:t>
      </w:r>
    </w:p>
    <w:p w14:paraId="0D7A9B08" w14:textId="025E15FC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Primeiramente, cumpre destacar que a embargante é pessoa idosa, contando com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anos de idade. É aposentada pelo INSS e, somada à remuneração auferida pelo labor junto ao Município de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sua renda anual BRUTA alcança aproximadamente R$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, enquanto sua renda LÍQUIDA (deduzidos a Contribuição Previdenciária e o Imposto de Renda Retido na Fonte) é de cerca de R$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anuais, conforme se extrai da DIRPF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integralmente acostada aos autos [Evento </w:t>
      </w:r>
      <w:r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>].</w:t>
      </w:r>
    </w:p>
    <w:p w14:paraId="41741A71" w14:textId="6E7E1E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Contudo, diferentemente do alegado na contestação, a análise do pedido de gratuidade não pode se limitar a uma leitura meramente aritmética da renda bruta anual.</w:t>
      </w:r>
    </w:p>
    <w:p w14:paraId="617B54F7" w14:textId="7763A4BB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Por se tratar de pessoa idosa, encontra-se em faixa etária que, por si só, ordinariamente impõe dispêndios contínuos e elevados com medicamentos, consultas, exames, alimentação especial e cuidados de saúde, além das demais despesas inerentes à manutenção de uma vida digna. </w:t>
      </w:r>
    </w:p>
    <w:p w14:paraId="27F7D7EB" w14:textId="44B38142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Somados aos gastos ordinários de subsistência, esses fatores tornam manifestamente gravoso exigir da embargante o adiantamento de custas e o suporte dos ônus financeiros da demanda.</w:t>
      </w:r>
    </w:p>
    <w:p w14:paraId="7045954A" w14:textId="145D86CA" w:rsid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lastRenderedPageBreak/>
        <w:t>A propósito, o colendo Superior Tribunal de Justiça, ao julgar o Tema Repetitivo 1.178</w:t>
      </w:r>
      <w:r w:rsidR="00A34820">
        <w:rPr>
          <w:rStyle w:val="Refdenotaderodap"/>
          <w:rFonts w:ascii="Times New Roman" w:hAnsi="Times New Roman" w:cs="Times New Roman"/>
        </w:rPr>
        <w:footnoteReference w:id="1"/>
      </w:r>
      <w:r w:rsidRPr="00C677E6">
        <w:rPr>
          <w:rFonts w:ascii="Times New Roman" w:hAnsi="Times New Roman" w:cs="Times New Roman"/>
        </w:rPr>
        <w:t xml:space="preserve">, firmou o entendimento de que é vedada a utilização de critérios puramente objetivos [como faixas de renda] para o deferimento da gratuidade da justiça.  </w:t>
      </w:r>
    </w:p>
    <w:p w14:paraId="51864BEC" w14:textId="259F6DD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Por seguinte, o fato de a embargante figurar como coproprietária de bens imóveis, amealhados ao longo de quase 60 anos de matrimônio sob o regime de comunhão universal, não induz, de forma alguma, à conclusão de que possua liquidez financeira. </w:t>
      </w:r>
    </w:p>
    <w:p w14:paraId="42F97C0C" w14:textId="387D33F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A posse de ativos imobilizados que não geram frutos [aluguéis ou rendimentos] não afasta a hipossuficiência, uma vez que os bens não podem ser convertidos em pecúnia de forma imediata para o custeio das despesas processuais sem que isso comprometa severamente o sustento básico da idosa.</w:t>
      </w:r>
    </w:p>
    <w:p w14:paraId="63CFDED9" w14:textId="363F5CC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Nesse sentido, a jurisprudência do colendo SUPERIOR TRIBUNAL DE JUSTIÇA é firme, consolidado entendimento de que a existência de patrimônio imobiliário, por si só, não é óbice à concessão da gratuidade da justiça: </w:t>
      </w:r>
    </w:p>
    <w:p w14:paraId="21064A19" w14:textId="68C87674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C677E6">
        <w:rPr>
          <w:rFonts w:ascii="Times New Roman" w:hAnsi="Times New Roman" w:cs="Times New Roman"/>
          <w:i/>
          <w:iCs/>
        </w:rPr>
        <w:t>DIREITO PROCESSUAL CIVIL. RECURSO ESPECIAL. AÇÃO DE EXECUÇÃO DE TÍTULOS EXTRAJUDICIAIS. GRATUIDADE DE JUSTIÇA. PEDIDO FORMULADO POR UM DOS DEVEDORES. COMPATIBILIDADE DO BENEFÍCIO COM A TUTELA JURISDICIONAL EXECUTIVA. INTERPRETAÇÃO RESTRITIVA DO INSTITUTO. DESCABIMENTO.</w:t>
      </w:r>
      <w:r w:rsidRPr="00C677E6">
        <w:rPr>
          <w:rFonts w:ascii="Times New Roman" w:hAnsi="Times New Roman" w:cs="Times New Roman"/>
          <w:i/>
          <w:iCs/>
        </w:rPr>
        <w:t xml:space="preserve"> </w:t>
      </w:r>
      <w:r w:rsidRPr="00C677E6">
        <w:rPr>
          <w:rFonts w:ascii="Times New Roman" w:hAnsi="Times New Roman" w:cs="Times New Roman"/>
          <w:i/>
          <w:iCs/>
        </w:rPr>
        <w:t>1. Ação ajuizada em 24/02/2010. Recurso especial interposto em 18/12/2018 e concluso ao Gabinete em 02/07/2019.</w:t>
      </w:r>
      <w:r w:rsidRPr="00C677E6">
        <w:rPr>
          <w:rFonts w:ascii="Times New Roman" w:hAnsi="Times New Roman" w:cs="Times New Roman"/>
          <w:i/>
          <w:iCs/>
        </w:rPr>
        <w:t xml:space="preserve"> </w:t>
      </w:r>
      <w:r w:rsidRPr="00C677E6">
        <w:rPr>
          <w:rFonts w:ascii="Times New Roman" w:hAnsi="Times New Roman" w:cs="Times New Roman"/>
          <w:i/>
          <w:iCs/>
        </w:rPr>
        <w:t>2. O propósito recursal consiste em dizer acerca da possibilidade de concessão, no processo de execução de título extrajudicial, do benefício da gratuidade de justiça em favor de um dos executados.</w:t>
      </w:r>
      <w:r w:rsidRPr="00C677E6">
        <w:rPr>
          <w:rFonts w:ascii="Times New Roman" w:hAnsi="Times New Roman" w:cs="Times New Roman"/>
          <w:i/>
          <w:iCs/>
        </w:rPr>
        <w:t xml:space="preserve"> </w:t>
      </w:r>
      <w:r w:rsidRPr="00C677E6">
        <w:rPr>
          <w:rFonts w:ascii="Times New Roman" w:hAnsi="Times New Roman" w:cs="Times New Roman"/>
          <w:i/>
          <w:iCs/>
        </w:rPr>
        <w:t>3. A gratuidade de justiça não é incompatível com a tutela jurisdicional executiva, voltada à expropriação de bens do devedor para a satisfação do crédito do exequente.</w:t>
      </w:r>
      <w:r w:rsidRPr="00C677E6">
        <w:rPr>
          <w:rFonts w:ascii="Times New Roman" w:hAnsi="Times New Roman" w:cs="Times New Roman"/>
          <w:i/>
          <w:iCs/>
        </w:rPr>
        <w:t xml:space="preserve"> </w:t>
      </w:r>
      <w:r w:rsidRPr="00C677E6">
        <w:rPr>
          <w:rFonts w:ascii="Times New Roman" w:hAnsi="Times New Roman" w:cs="Times New Roman"/>
          <w:i/>
          <w:iCs/>
        </w:rPr>
        <w:t>4. O benefício tem como principal escopo assegurar a plena fruição da garantia constitucional de acesso à Justiça, não comportando interpretação que impeça ou dificulte o exercício do direito de ação ou de defesa.</w:t>
      </w:r>
      <w:r w:rsidRPr="00C677E6">
        <w:rPr>
          <w:rFonts w:ascii="Times New Roman" w:hAnsi="Times New Roman" w:cs="Times New Roman"/>
          <w:i/>
          <w:iCs/>
        </w:rPr>
        <w:t xml:space="preserve"> </w:t>
      </w:r>
      <w:r w:rsidRPr="00C677E6">
        <w:rPr>
          <w:rFonts w:ascii="Times New Roman" w:hAnsi="Times New Roman" w:cs="Times New Roman"/>
          <w:i/>
          <w:iCs/>
        </w:rPr>
        <w:t>5. O direito à gratuidade de justiça está diretamente relacionado à situação financeira deficitária do litigante que não o permita arcar com as custas, as despesas processuais e os honorários advocatícios, o que não significa que peremptoriamente será descabido se o interessado for proprietário de algum bem.</w:t>
      </w:r>
      <w:r w:rsidRPr="00C677E6">
        <w:rPr>
          <w:rFonts w:ascii="Times New Roman" w:hAnsi="Times New Roman" w:cs="Times New Roman"/>
          <w:i/>
          <w:iCs/>
        </w:rPr>
        <w:t xml:space="preserve"> </w:t>
      </w:r>
      <w:r w:rsidRPr="00C677E6">
        <w:rPr>
          <w:rFonts w:ascii="Times New Roman" w:hAnsi="Times New Roman" w:cs="Times New Roman"/>
          <w:i/>
          <w:iCs/>
        </w:rPr>
        <w:t>8. Recurso especial conhecido e provido</w:t>
      </w:r>
      <w:r w:rsidRPr="00C677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proofErr w:type="gramStart"/>
      <w:r w:rsidRPr="00C677E6">
        <w:rPr>
          <w:rFonts w:ascii="Times New Roman" w:hAnsi="Times New Roman" w:cs="Times New Roman"/>
        </w:rPr>
        <w:t>[</w:t>
      </w:r>
      <w:proofErr w:type="gramEnd"/>
      <w:r w:rsidRPr="00C677E6">
        <w:rPr>
          <w:rFonts w:ascii="Times New Roman" w:hAnsi="Times New Roman" w:cs="Times New Roman"/>
        </w:rPr>
        <w:t xml:space="preserve">REsp n. 1.837.398/RS, Rel. Ministra Nancy Andrighi, Terceira Turma, </w:t>
      </w:r>
      <w:proofErr w:type="spellStart"/>
      <w:r w:rsidRPr="00C677E6">
        <w:rPr>
          <w:rFonts w:ascii="Times New Roman" w:hAnsi="Times New Roman" w:cs="Times New Roman"/>
        </w:rPr>
        <w:t>DJe</w:t>
      </w:r>
      <w:proofErr w:type="spellEnd"/>
      <w:r w:rsidRPr="00C677E6">
        <w:rPr>
          <w:rFonts w:ascii="Times New Roman" w:hAnsi="Times New Roman" w:cs="Times New Roman"/>
        </w:rPr>
        <w:t xml:space="preserve"> de 31/5/2021].</w:t>
      </w:r>
    </w:p>
    <w:p w14:paraId="24EBBA15" w14:textId="6D752A76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Desde a vigência da Lei 1.060/50, o deferimento da gratuidade é condicionado apenas à demonstração da incapacidade do jurisdicionado de pagar as custas, as despesas processuais e os honorários advocatícios, sem sacrifício do sustento próprio ou de sua família.</w:t>
      </w:r>
    </w:p>
    <w:p w14:paraId="18A2F7A0" w14:textId="51D92663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lastRenderedPageBreak/>
        <w:t xml:space="preserve">Sob esse </w:t>
      </w:r>
      <w:proofErr w:type="gramStart"/>
      <w:r w:rsidRPr="00C677E6">
        <w:rPr>
          <w:rFonts w:ascii="Times New Roman" w:hAnsi="Times New Roman" w:cs="Times New Roman"/>
        </w:rPr>
        <w:t>norte</w:t>
      </w:r>
      <w:proofErr w:type="gramEnd"/>
      <w:r w:rsidRPr="00C677E6">
        <w:rPr>
          <w:rFonts w:ascii="Times New Roman" w:hAnsi="Times New Roman" w:cs="Times New Roman"/>
        </w:rPr>
        <w:t>, o Código de Processo Civil de 2015 estabelece o direito à gratuidade de justiça em termos amplos e abrangentes, presumindo, outrossim, ser verdadeira a alegação de insuficiência de recursos deduzida por pessoa natural [art. 99, § 3º]</w:t>
      </w:r>
      <w:r w:rsidR="00A34820">
        <w:rPr>
          <w:rStyle w:val="Refdenotaderodap"/>
          <w:rFonts w:ascii="Times New Roman" w:hAnsi="Times New Roman" w:cs="Times New Roman"/>
        </w:rPr>
        <w:footnoteReference w:id="2"/>
      </w:r>
      <w:r w:rsidRPr="00C677E6">
        <w:rPr>
          <w:rFonts w:ascii="Times New Roman" w:hAnsi="Times New Roman" w:cs="Times New Roman"/>
        </w:rPr>
        <w:t xml:space="preserve">, tudo a facilitar a obtenção do benefício por quem dele necessite para a defesa de direitos em Juízo. </w:t>
      </w:r>
    </w:p>
    <w:p w14:paraId="5C98CBEB" w14:textId="793E81D9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Noutra vértice, é dever processual da parte que impugna o benefício trazer aos autos elementos probatórios concretos que demonstrem a capacidade financeira da parte contrária. </w:t>
      </w:r>
    </w:p>
    <w:p w14:paraId="164069C6" w14:textId="6E086A93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Importante. A embargada não contrariou numa só linha ---e nem poderia mesmo--- a documentação das DIRPF da embargante, fortificando a demonstração de seus parcos recursos financeiros, o que denota à toda evidência a veracidade comprovada do inarredável direito aos benefícios da gratuidade constitucionalmente protegido pela demandante.</w:t>
      </w:r>
    </w:p>
    <w:p w14:paraId="2147D4BB" w14:textId="74C23B62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No caso em tela, a FUNASA limitou-se a conjecturas sobre a propriedade de bens, ilhada em suas palavras, falhando em provar qualquer rendimento líquido ou disponibilidade de caixa</w:t>
      </w:r>
      <w:r w:rsidR="00A34820">
        <w:rPr>
          <w:rStyle w:val="Refdenotaderodap"/>
          <w:rFonts w:ascii="Times New Roman" w:hAnsi="Times New Roman" w:cs="Times New Roman"/>
        </w:rPr>
        <w:footnoteReference w:id="3"/>
      </w:r>
      <w:r w:rsidRPr="00C677E6">
        <w:rPr>
          <w:rFonts w:ascii="Times New Roman" w:hAnsi="Times New Roman" w:cs="Times New Roman"/>
        </w:rPr>
        <w:t xml:space="preserve">. </w:t>
      </w:r>
    </w:p>
    <w:p w14:paraId="58B7FECA" w14:textId="289E2EA8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Portanto, diante da inexistência de prova em contrário que desconstitua a DIRPF apresentada, a manutenção do benefício é medida que se impõe.</w:t>
      </w:r>
    </w:p>
    <w:p w14:paraId="4EA8442E" w14:textId="733D9701" w:rsidR="00C677E6" w:rsidRPr="00A34820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34820">
        <w:rPr>
          <w:rFonts w:ascii="Times New Roman" w:hAnsi="Times New Roman" w:cs="Times New Roman"/>
          <w:b/>
          <w:bCs/>
        </w:rPr>
        <w:t xml:space="preserve">III- AUSÊNCIA DE IMPUGNAÇÃO ESPECÍFICA [CPC, ART. 341] E PRESUNÇÃO DE VERACIDADE DOS FATOS CONSTITUTIVOS DO DIREITO À MEAÇÃO - </w:t>
      </w:r>
    </w:p>
    <w:p w14:paraId="15EAB2E2" w14:textId="1CD70371" w:rsidR="00C677E6" w:rsidRPr="00A34820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34820">
        <w:rPr>
          <w:rFonts w:ascii="Times New Roman" w:hAnsi="Times New Roman" w:cs="Times New Roman"/>
          <w:b/>
          <w:bCs/>
        </w:rPr>
        <w:t>CONFISSÃO FICTA QUANTO À PROTEÇÃO DA MEAÇÃO -</w:t>
      </w:r>
    </w:p>
    <w:p w14:paraId="2EB35DE3" w14:textId="7FABC61C" w:rsidR="00C677E6" w:rsidRPr="00A34820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34820">
        <w:rPr>
          <w:rFonts w:ascii="Times New Roman" w:hAnsi="Times New Roman" w:cs="Times New Roman"/>
          <w:b/>
          <w:bCs/>
        </w:rPr>
        <w:t>CAUSA MADURA E DESNECESSIDADE DE DILAÇÃO PROBATÓRIA -</w:t>
      </w:r>
    </w:p>
    <w:p w14:paraId="32258A15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A34820">
        <w:rPr>
          <w:rFonts w:ascii="Times New Roman" w:hAnsi="Times New Roman" w:cs="Times New Roman"/>
          <w:b/>
          <w:bCs/>
        </w:rPr>
        <w:t>DOUTRINA E JURISPRUDÊNCIA</w:t>
      </w:r>
    </w:p>
    <w:p w14:paraId="5BD62DC2" w14:textId="20DE688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Compulsando a contestação apresentada pelo embargada/ou FUNASA, constata-se a prima facie que não houve impugnação do fundamento central da exordial, ao </w:t>
      </w:r>
      <w:proofErr w:type="spellStart"/>
      <w:r w:rsidRPr="00A34820">
        <w:rPr>
          <w:rFonts w:ascii="Times New Roman" w:hAnsi="Times New Roman" w:cs="Times New Roman"/>
          <w:i/>
          <w:iCs/>
        </w:rPr>
        <w:t>punctum</w:t>
      </w:r>
      <w:proofErr w:type="spellEnd"/>
      <w:r w:rsidRPr="00A348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34820">
        <w:rPr>
          <w:rFonts w:ascii="Times New Roman" w:hAnsi="Times New Roman" w:cs="Times New Roman"/>
          <w:i/>
          <w:iCs/>
        </w:rPr>
        <w:t>dolens</w:t>
      </w:r>
      <w:proofErr w:type="spellEnd"/>
      <w:r w:rsidRPr="00C677E6">
        <w:rPr>
          <w:rFonts w:ascii="Times New Roman" w:hAnsi="Times New Roman" w:cs="Times New Roman"/>
        </w:rPr>
        <w:t xml:space="preserve"> da temática em discussão, qual seja, o direito do embargante à preservação de sua meação da embargante, decorrente do regime de comunhão universal de bens, de que a maioria dos bens foram adquiridos anteriormente ao seu marido/executado ter exercido o cargo de Prefeito Municipal de </w:t>
      </w:r>
      <w:r w:rsidR="00A34820">
        <w:rPr>
          <w:rFonts w:ascii="Times New Roman" w:hAnsi="Times New Roman" w:cs="Times New Roman"/>
        </w:rPr>
        <w:t>...</w:t>
      </w:r>
      <w:r w:rsidRPr="00C677E6">
        <w:rPr>
          <w:rFonts w:ascii="Times New Roman" w:hAnsi="Times New Roman" w:cs="Times New Roman"/>
        </w:rPr>
        <w:t xml:space="preserve"> e que as penalidades administrativas advindas pelo acórdão do TCU em nenhum instante trouxe como causa subjetiva tenha resultado algum proveito pessoal do executado.</w:t>
      </w:r>
    </w:p>
    <w:p w14:paraId="7F1A2D77" w14:textId="0F5CC96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Aliás, essa circunstância específica restou sobressaltada tanto na sentença como no acórdão do TRF6 destacada na exordial e nos decisórios jungidos pela ora embargante.</w:t>
      </w:r>
    </w:p>
    <w:p w14:paraId="3B5902A0" w14:textId="75A73D65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lastRenderedPageBreak/>
        <w:t xml:space="preserve">A contestação da embargada apresentou admitiu a copropriedade da embargante em virtude de sua condição de cônjuge, casada sob o regime de comunhão universal de bens. </w:t>
      </w:r>
    </w:p>
    <w:p w14:paraId="0BFA5B70" w14:textId="2BEB48C0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E não houve o enfrentamento quanto à ausência de benefício da unidade familiar em relação à dívida exequenda como alhures ressaltado.</w:t>
      </w:r>
    </w:p>
    <w:p w14:paraId="76C39DFF" w14:textId="7C52A75E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A34820">
        <w:rPr>
          <w:rFonts w:ascii="Times New Roman" w:hAnsi="Times New Roman" w:cs="Times New Roman"/>
          <w:i/>
          <w:iCs/>
        </w:rPr>
        <w:t>In c</w:t>
      </w:r>
      <w:proofErr w:type="spellStart"/>
      <w:r w:rsidRPr="00A34820">
        <w:rPr>
          <w:rFonts w:ascii="Times New Roman" w:hAnsi="Times New Roman" w:cs="Times New Roman"/>
          <w:i/>
          <w:iCs/>
        </w:rPr>
        <w:t>asu</w:t>
      </w:r>
      <w:proofErr w:type="spellEnd"/>
      <w:r w:rsidRPr="00C677E6">
        <w:rPr>
          <w:rFonts w:ascii="Times New Roman" w:hAnsi="Times New Roman" w:cs="Times New Roman"/>
        </w:rPr>
        <w:t xml:space="preserve">, não houve impugnação específica do direito e dos fatos cardeais da tese jurídica do direito à meação e seu apartamento para a garantia do juízo exequendo. </w:t>
      </w:r>
    </w:p>
    <w:p w14:paraId="629BC040" w14:textId="09EBB524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A ausência de resistência pontual quanto ao direito à meação fez surgir a presunção de veracidade dos fatos articulados na exordial, operando uma confissão ficta como dispõe o art. 341 do CPC:</w:t>
      </w:r>
    </w:p>
    <w:p w14:paraId="0C2B3BF5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A34820">
        <w:rPr>
          <w:rFonts w:ascii="Times New Roman" w:hAnsi="Times New Roman" w:cs="Times New Roman"/>
          <w:i/>
          <w:iCs/>
        </w:rPr>
        <w:t>CPC, art. 341. Incumbe também ao réu manifestar-se precisamente sobre as alegações de fato constantes da petição inicial, presumindo-se verdadeiras as não impugnadas</w:t>
      </w:r>
      <w:r w:rsidRPr="00C677E6">
        <w:rPr>
          <w:rFonts w:ascii="Times New Roman" w:hAnsi="Times New Roman" w:cs="Times New Roman"/>
        </w:rPr>
        <w:t>.</w:t>
      </w:r>
    </w:p>
    <w:p w14:paraId="398D969A" w14:textId="3290E073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A norma consagra o denominado princípio da impugnação específica, corolário do contraditório substancial e da boa-fé processual, impondo à parte ré o dever de enfrentar pontualmente os fatos alegados pelo autor, sob pena de se operar a presunção relativa de veracidade.</w:t>
      </w:r>
    </w:p>
    <w:p w14:paraId="7943EDE1" w14:textId="578ED33C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A doutrina é firme ao destacar que a impugnação genérica não se revela apta a afastar os efeitos do art. 341 do CPC. Nesse sentido, leciona FREDIE DIDIER JR</w:t>
      </w:r>
      <w:r w:rsidR="00A34820">
        <w:rPr>
          <w:rStyle w:val="Refdenotaderodap"/>
          <w:rFonts w:ascii="Times New Roman" w:hAnsi="Times New Roman" w:cs="Times New Roman"/>
        </w:rPr>
        <w:footnoteReference w:id="4"/>
      </w:r>
      <w:r w:rsidRPr="00C677E6">
        <w:rPr>
          <w:rFonts w:ascii="Times New Roman" w:hAnsi="Times New Roman" w:cs="Times New Roman"/>
        </w:rPr>
        <w:t>.:</w:t>
      </w:r>
    </w:p>
    <w:p w14:paraId="3E09BA63" w14:textId="7777777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“</w:t>
      </w:r>
      <w:r w:rsidRPr="00A34820">
        <w:rPr>
          <w:rFonts w:ascii="Times New Roman" w:hAnsi="Times New Roman" w:cs="Times New Roman"/>
          <w:i/>
          <w:iCs/>
        </w:rPr>
        <w:t>A contestação deve conter impugnação específica dos fatos narrados na petição inicial. A negativa geral é ineficaz, operando-se, quanto aos fatos não impugnados, a presunção de veracidade. Trata-se de técnica de racionalização do processo e de concretização do princípio da cooperação</w:t>
      </w:r>
      <w:r w:rsidRPr="00C677E6">
        <w:rPr>
          <w:rFonts w:ascii="Times New Roman" w:hAnsi="Times New Roman" w:cs="Times New Roman"/>
        </w:rPr>
        <w:t xml:space="preserve">.” </w:t>
      </w:r>
    </w:p>
    <w:p w14:paraId="2727D71B" w14:textId="246F3E1B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No mesmo sentido, o escólio de DANIEL AMORIM ASSUMPÇÃO NEVES:</w:t>
      </w:r>
    </w:p>
    <w:p w14:paraId="3E73DEA1" w14:textId="11E635DD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“</w:t>
      </w:r>
      <w:r w:rsidRPr="00A34820">
        <w:rPr>
          <w:rFonts w:ascii="Times New Roman" w:hAnsi="Times New Roman" w:cs="Times New Roman"/>
          <w:i/>
          <w:iCs/>
        </w:rPr>
        <w:t>A ausência de impugnação específica dos fatos narrados na petição inicial gera presunção relativa de veracidade, sendo insuficiente a simples negativa genérica. O réu deve rebater, de forma individualizada, cada fato constitutivo do direito do autor</w:t>
      </w:r>
      <w:r w:rsidR="00A34820">
        <w:rPr>
          <w:rStyle w:val="Refdenotaderodap"/>
          <w:rFonts w:ascii="Times New Roman" w:hAnsi="Times New Roman" w:cs="Times New Roman"/>
          <w:i/>
          <w:iCs/>
        </w:rPr>
        <w:footnoteReference w:id="5"/>
      </w:r>
      <w:r w:rsidRPr="00C677E6">
        <w:rPr>
          <w:rFonts w:ascii="Times New Roman" w:hAnsi="Times New Roman" w:cs="Times New Roman"/>
        </w:rPr>
        <w:t xml:space="preserve">.” </w:t>
      </w:r>
    </w:p>
    <w:p w14:paraId="266EB2DD" w14:textId="3A43058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Ainda, o autorizado PROF. HUMBERTO THEODORO JÚNIOR ressalta:</w:t>
      </w:r>
    </w:p>
    <w:p w14:paraId="7FD08E90" w14:textId="5E42DAEF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“</w:t>
      </w:r>
      <w:r w:rsidRPr="00A34820">
        <w:rPr>
          <w:rFonts w:ascii="Times New Roman" w:hAnsi="Times New Roman" w:cs="Times New Roman"/>
          <w:i/>
          <w:iCs/>
        </w:rPr>
        <w:t>Não basta ao réu negar genericamente os fatos alegados pelo autor; é indispensável que a contestação enfrente especificamente cada um deles, sob pena de se terem por verdadeiros os fatos não impugnados, conforme expressa previsão legal</w:t>
      </w:r>
      <w:r w:rsidRPr="00C677E6">
        <w:rPr>
          <w:rFonts w:ascii="Times New Roman" w:hAnsi="Times New Roman" w:cs="Times New Roman"/>
        </w:rPr>
        <w:t>.</w:t>
      </w:r>
      <w:r w:rsidR="00A34820">
        <w:rPr>
          <w:rStyle w:val="Refdenotaderodap"/>
          <w:rFonts w:ascii="Times New Roman" w:hAnsi="Times New Roman" w:cs="Times New Roman"/>
        </w:rPr>
        <w:footnoteReference w:id="6"/>
      </w:r>
      <w:r w:rsidRPr="00C677E6">
        <w:rPr>
          <w:rFonts w:ascii="Times New Roman" w:hAnsi="Times New Roman" w:cs="Times New Roman"/>
        </w:rPr>
        <w:t xml:space="preserve">” </w:t>
      </w:r>
    </w:p>
    <w:p w14:paraId="606B829C" w14:textId="22DEB2A9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Nesse diapasão, a matéria fática tornou-se incontroversa, o que atrai a aplicação do art. 374, III, do CPC</w:t>
      </w:r>
      <w:r w:rsidR="00A34820">
        <w:rPr>
          <w:rStyle w:val="Refdenotaderodap"/>
          <w:rFonts w:ascii="Times New Roman" w:hAnsi="Times New Roman" w:cs="Times New Roman"/>
        </w:rPr>
        <w:footnoteReference w:id="7"/>
      </w:r>
      <w:r w:rsidRPr="00C677E6">
        <w:rPr>
          <w:rFonts w:ascii="Times New Roman" w:hAnsi="Times New Roman" w:cs="Times New Roman"/>
        </w:rPr>
        <w:t>, e dispensando a produção de quaisquer outras provas.</w:t>
      </w:r>
    </w:p>
    <w:p w14:paraId="6B314146" w14:textId="3C3DEEB0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lastRenderedPageBreak/>
        <w:t xml:space="preserve">A jurisprudência pátria é uníssona em reconhecer que a ausência de impugnação importa em reconhecimento tácito da procedência do pedido, nesse caso, quanto ao direito à meação da embargante: </w:t>
      </w:r>
    </w:p>
    <w:p w14:paraId="5C1FC810" w14:textId="3E44B8D3" w:rsidR="00C677E6" w:rsidRPr="00C677E6" w:rsidRDefault="00A34820" w:rsidP="00C677E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677E6" w:rsidRPr="00A34820">
        <w:rPr>
          <w:rFonts w:ascii="Times New Roman" w:hAnsi="Times New Roman" w:cs="Times New Roman"/>
          <w:i/>
          <w:iCs/>
        </w:rPr>
        <w:t>PROCESSUAL CIVIL E CIVIL. CONSUMIDOR. AGRAVO EM RECURSO ESPECIAL. AÇÃO DE RESCISÃO CONTRATUAL CUMULADA COM RESTITUIÇÃO DE VALORES. PROMESSA DE COMPRA E VENDA DE IMÓVEL. ATRASO NA ENTREGA DA OBRA. FATO NÃO IMPUGNADO ESPECIFICAMENTE EM CONTESTAÇÃO. PRECLUSÃO CONSUMATIVA. PRESUNÇÃO DE VERACIDADE. CULPA DO VENDEDOR CARACTERIZADA. DEVOLUÇÃO INTEGRAL DOS VALORES PAGOS. SÚMULA 543/STJ. INAPLICABILIDADE DA LEI DO DISTRATO. NEGATIVA DE PRESTAÇÃO JURISDICIONAL. NÃO OCORRÊNCIA. AGRAVO CONHECIDO PARA NÃO CONHECER DO RECURSO ESPECIAL.</w:t>
      </w:r>
      <w:r w:rsidRPr="00A34820">
        <w:rPr>
          <w:rFonts w:ascii="Times New Roman" w:hAnsi="Times New Roman" w:cs="Times New Roman"/>
          <w:i/>
          <w:iCs/>
        </w:rPr>
        <w:t xml:space="preserve"> </w:t>
      </w:r>
      <w:r w:rsidR="00C677E6" w:rsidRPr="00A34820">
        <w:rPr>
          <w:rFonts w:ascii="Times New Roman" w:hAnsi="Times New Roman" w:cs="Times New Roman"/>
          <w:i/>
          <w:iCs/>
        </w:rPr>
        <w:t>1. Trata-se de agravo em recurso especial interposto contra decisão que inadmitiu o apelo nobre, manejado em face de acórdão que manteve a sentença de procedência em ação de rescisão de contrato de promessa de compra e venda de imóvel, fundada em atraso na entrega da obra.</w:t>
      </w:r>
      <w:r w:rsidRPr="00A34820">
        <w:rPr>
          <w:rFonts w:ascii="Times New Roman" w:hAnsi="Times New Roman" w:cs="Times New Roman"/>
          <w:i/>
          <w:iCs/>
        </w:rPr>
        <w:t xml:space="preserve"> </w:t>
      </w:r>
      <w:r w:rsidR="00C677E6" w:rsidRPr="00A34820">
        <w:rPr>
          <w:rFonts w:ascii="Times New Roman" w:hAnsi="Times New Roman" w:cs="Times New Roman"/>
          <w:i/>
          <w:iCs/>
        </w:rPr>
        <w:t>2. O objetivo recursal consiste em definir se (</w:t>
      </w:r>
      <w:proofErr w:type="spellStart"/>
      <w:r w:rsidR="00C677E6" w:rsidRPr="00A34820">
        <w:rPr>
          <w:rFonts w:ascii="Times New Roman" w:hAnsi="Times New Roman" w:cs="Times New Roman"/>
          <w:i/>
          <w:iCs/>
        </w:rPr>
        <w:t>ii</w:t>
      </w:r>
      <w:proofErr w:type="spellEnd"/>
      <w:r w:rsidR="00C677E6" w:rsidRPr="00A34820">
        <w:rPr>
          <w:rFonts w:ascii="Times New Roman" w:hAnsi="Times New Roman" w:cs="Times New Roman"/>
          <w:i/>
          <w:iCs/>
        </w:rPr>
        <w:t>) a ausência de impugnação específica na contestação sobre o atraso na entrega da obra acarreta a presunção de veracidade do fato, configurando a culpa da vendedora;</w:t>
      </w:r>
      <w:r w:rsidRPr="00A34820">
        <w:rPr>
          <w:rFonts w:ascii="Times New Roman" w:hAnsi="Times New Roman" w:cs="Times New Roman"/>
          <w:i/>
          <w:iCs/>
        </w:rPr>
        <w:t xml:space="preserve"> </w:t>
      </w:r>
      <w:r w:rsidR="00C677E6" w:rsidRPr="00A34820">
        <w:rPr>
          <w:rFonts w:ascii="Times New Roman" w:hAnsi="Times New Roman" w:cs="Times New Roman"/>
          <w:i/>
          <w:iCs/>
        </w:rPr>
        <w:t>3. A prestação jurisdicional é entregue de forma completa quando o julgador, embora de maneira contrária aos interesses da parte, fundamenta sua decisão de modo suficiente a resolver a controvérsia, não estando obrigado a rebater, um a um, todos os argumentos deduzidos, especialmente quando a análise de um deles resta prejudicada por questão processual precedente, como a preclusão.</w:t>
      </w:r>
      <w:r w:rsidRPr="00A34820">
        <w:rPr>
          <w:rFonts w:ascii="Times New Roman" w:hAnsi="Times New Roman" w:cs="Times New Roman"/>
          <w:i/>
          <w:iCs/>
        </w:rPr>
        <w:t xml:space="preserve"> </w:t>
      </w:r>
      <w:r w:rsidR="00C677E6" w:rsidRPr="00A34820">
        <w:rPr>
          <w:rFonts w:ascii="Times New Roman" w:hAnsi="Times New Roman" w:cs="Times New Roman"/>
          <w:i/>
          <w:iCs/>
        </w:rPr>
        <w:t>4.Incumbe ao réu, em sua contestação, o ônus da impugnação específica dos fatos narrados na petição inicial, sob pena de se presumirem verdadeiros, nos termos do art. 341 do Código de Processo Civil. A alegação de atraso na entrega de empreendimento imobiliário, quando não rebatida precisamente na peça de defesa, torna-se fato incontroverso no processo.</w:t>
      </w:r>
      <w:r w:rsidRPr="00A34820">
        <w:rPr>
          <w:rFonts w:ascii="Times New Roman" w:hAnsi="Times New Roman" w:cs="Times New Roman"/>
          <w:i/>
          <w:iCs/>
        </w:rPr>
        <w:t xml:space="preserve"> </w:t>
      </w:r>
      <w:r w:rsidR="00C677E6" w:rsidRPr="00A34820">
        <w:rPr>
          <w:rFonts w:ascii="Times New Roman" w:hAnsi="Times New Roman" w:cs="Times New Roman"/>
          <w:i/>
          <w:iCs/>
        </w:rPr>
        <w:t>5. A tentativa de apresentar provas e argumentos sobre fatos que deveriam ter sido contestados em momento oportuno encontra óbice na preclusão consumativa. A juntada de documentos em fase recursal para comprovar a entrega da obra não tem o condão de reabrir a discussão sobre matéria fática já estabilizada pela ausência de impugnação específica.</w:t>
      </w:r>
      <w:r w:rsidRPr="00A34820">
        <w:rPr>
          <w:rFonts w:ascii="Times New Roman" w:hAnsi="Times New Roman" w:cs="Times New Roman"/>
          <w:i/>
          <w:iCs/>
        </w:rPr>
        <w:t xml:space="preserve"> </w:t>
      </w:r>
      <w:r w:rsidR="00C677E6" w:rsidRPr="00A34820">
        <w:rPr>
          <w:rFonts w:ascii="Times New Roman" w:hAnsi="Times New Roman" w:cs="Times New Roman"/>
          <w:i/>
          <w:iCs/>
        </w:rPr>
        <w:t>[...]</w:t>
      </w:r>
      <w:r w:rsidRPr="00A34820">
        <w:rPr>
          <w:rFonts w:ascii="Times New Roman" w:hAnsi="Times New Roman" w:cs="Times New Roman"/>
          <w:i/>
          <w:iCs/>
        </w:rPr>
        <w:t xml:space="preserve"> </w:t>
      </w:r>
      <w:r w:rsidR="00C677E6" w:rsidRPr="00A34820">
        <w:rPr>
          <w:rFonts w:ascii="Times New Roman" w:hAnsi="Times New Roman" w:cs="Times New Roman"/>
          <w:i/>
          <w:iCs/>
        </w:rPr>
        <w:t>8. Agravo conhecido para não conhecer do recurso especial</w:t>
      </w:r>
      <w:r w:rsidR="00C677E6" w:rsidRPr="00C677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proofErr w:type="gramStart"/>
      <w:r w:rsidR="00C677E6" w:rsidRPr="00C677E6">
        <w:rPr>
          <w:rFonts w:ascii="Times New Roman" w:hAnsi="Times New Roman" w:cs="Times New Roman"/>
        </w:rPr>
        <w:t>[</w:t>
      </w:r>
      <w:proofErr w:type="spellStart"/>
      <w:proofErr w:type="gramEnd"/>
      <w:r w:rsidR="00C677E6" w:rsidRPr="00C677E6">
        <w:rPr>
          <w:rFonts w:ascii="Times New Roman" w:hAnsi="Times New Roman" w:cs="Times New Roman"/>
        </w:rPr>
        <w:t>AREsp</w:t>
      </w:r>
      <w:proofErr w:type="spellEnd"/>
      <w:r w:rsidR="00C677E6" w:rsidRPr="00C677E6">
        <w:rPr>
          <w:rFonts w:ascii="Times New Roman" w:hAnsi="Times New Roman" w:cs="Times New Roman"/>
        </w:rPr>
        <w:t xml:space="preserve"> n. 2.936.693/SP, Re. Ministro Moura Ribeiro, Terceira Turma, </w:t>
      </w:r>
      <w:proofErr w:type="spellStart"/>
      <w:r w:rsidR="00C677E6" w:rsidRPr="00C677E6">
        <w:rPr>
          <w:rFonts w:ascii="Times New Roman" w:hAnsi="Times New Roman" w:cs="Times New Roman"/>
        </w:rPr>
        <w:t>DJe</w:t>
      </w:r>
      <w:proofErr w:type="spellEnd"/>
      <w:r w:rsidR="00C677E6" w:rsidRPr="00C677E6">
        <w:rPr>
          <w:rFonts w:ascii="Times New Roman" w:hAnsi="Times New Roman" w:cs="Times New Roman"/>
        </w:rPr>
        <w:t xml:space="preserve"> em 13.11.2025]</w:t>
      </w:r>
    </w:p>
    <w:p w14:paraId="39C7BF42" w14:textId="7A8435F2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Considerando o reconhecimento da meação da embargante, data vênia, os presentes embargos de terceiro reúnem todas as condições para o julgamento imediato do mérito, nos termos do art. 355, inciso I, do CPC</w:t>
      </w:r>
      <w:r w:rsidR="00510C60">
        <w:rPr>
          <w:rStyle w:val="Refdenotaderodap"/>
          <w:rFonts w:ascii="Times New Roman" w:hAnsi="Times New Roman" w:cs="Times New Roman"/>
        </w:rPr>
        <w:footnoteReference w:id="8"/>
      </w:r>
      <w:r w:rsidRPr="00C677E6">
        <w:rPr>
          <w:rFonts w:ascii="Times New Roman" w:hAnsi="Times New Roman" w:cs="Times New Roman"/>
        </w:rPr>
        <w:t>.</w:t>
      </w:r>
    </w:p>
    <w:p w14:paraId="145A56FE" w14:textId="3AAD05E5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O tema central da lide envolve questões de direito e fatos já comprovados documentalmente na inicial.</w:t>
      </w:r>
    </w:p>
    <w:p w14:paraId="5ABBC2A5" w14:textId="1AC7E2DB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A prova da união matrimonial duradoura e a vigência do regime de bens possuem natureza estritamente documental e já integram o caderno processual de forma imutável. </w:t>
      </w:r>
    </w:p>
    <w:p w14:paraId="29E8CE0C" w14:textId="0156BC09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lastRenderedPageBreak/>
        <w:t xml:space="preserve">O princípio da celeridade processual e a necessidade de resguardar a dignidade da embargante, pessoa idosa que enfrenta o risco iminente de perda do patrimônio construído ao longo de toda uma vida por força de débito alheio, impõem o pronto reconhecimento da causa madura. </w:t>
      </w:r>
    </w:p>
    <w:p w14:paraId="0664CF28" w14:textId="5F6A23A0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 xml:space="preserve">Inexiste utilidade ou necessidade na designação de atos instrutórios complementares, visto que a embargada tacitamente reconheceu o direito a meação, deixando de impugnar ou de demonstrar o proveito comum da dívida. </w:t>
      </w:r>
    </w:p>
    <w:p w14:paraId="186E8439" w14:textId="568903EE" w:rsidR="00C677E6" w:rsidRPr="00A34820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677E6">
        <w:rPr>
          <w:rFonts w:ascii="Times New Roman" w:hAnsi="Times New Roman" w:cs="Times New Roman"/>
        </w:rPr>
        <w:t xml:space="preserve"> </w:t>
      </w:r>
      <w:r w:rsidRPr="00A34820">
        <w:rPr>
          <w:rFonts w:ascii="Times New Roman" w:hAnsi="Times New Roman" w:cs="Times New Roman"/>
          <w:b/>
          <w:bCs/>
        </w:rPr>
        <w:t>IV- A APLICABILIDADE DO ART.</w:t>
      </w:r>
      <w:r w:rsidR="00A34820" w:rsidRPr="00A34820">
        <w:rPr>
          <w:rFonts w:ascii="Times New Roman" w:hAnsi="Times New Roman" w:cs="Times New Roman"/>
          <w:b/>
          <w:bCs/>
        </w:rPr>
        <w:t xml:space="preserve"> </w:t>
      </w:r>
      <w:r w:rsidRPr="00A34820">
        <w:rPr>
          <w:rFonts w:ascii="Times New Roman" w:hAnsi="Times New Roman" w:cs="Times New Roman"/>
          <w:b/>
          <w:bCs/>
        </w:rPr>
        <w:t>843 FOI RECONHECIDA EXPRESSAMENTE NA PETIÇÃO INICIAL -</w:t>
      </w:r>
    </w:p>
    <w:p w14:paraId="62D33D0C" w14:textId="77777777" w:rsidR="00C677E6" w:rsidRPr="00A34820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34820">
        <w:rPr>
          <w:rFonts w:ascii="Times New Roman" w:hAnsi="Times New Roman" w:cs="Times New Roman"/>
          <w:b/>
          <w:bCs/>
        </w:rPr>
        <w:t>INEXISTÊNCIA DE CONTROVÉRSIA QUANTO À ALIENAÇÃO DE BEM INDIVISÍVEL E À DIVISIBILIDADE DOS IMÓVEIS PENHORADOS -</w:t>
      </w:r>
    </w:p>
    <w:p w14:paraId="4E6B2C93" w14:textId="6885A40F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A34820">
        <w:rPr>
          <w:rFonts w:ascii="Times New Roman" w:hAnsi="Times New Roman" w:cs="Times New Roman"/>
          <w:i/>
          <w:iCs/>
        </w:rPr>
        <w:t>Venia</w:t>
      </w:r>
      <w:proofErr w:type="spellEnd"/>
      <w:r w:rsidRPr="00A3482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34820">
        <w:rPr>
          <w:rFonts w:ascii="Times New Roman" w:hAnsi="Times New Roman" w:cs="Times New Roman"/>
          <w:i/>
          <w:iCs/>
        </w:rPr>
        <w:t>concessa</w:t>
      </w:r>
      <w:proofErr w:type="spellEnd"/>
      <w:r w:rsidRPr="00C677E6">
        <w:rPr>
          <w:rFonts w:ascii="Times New Roman" w:hAnsi="Times New Roman" w:cs="Times New Roman"/>
        </w:rPr>
        <w:t>, causa estranheza que o contestante/embargado tenha dedicado esforço argumentativo para discorrer sobre a possibilidade de alienação de bem indivisível e sobre a divisibilidade dos bens imóveis penhorados, como se tais matérias configurassem pontos controvertidos da demanda.</w:t>
      </w:r>
      <w:r w:rsidR="00A34820">
        <w:rPr>
          <w:rFonts w:ascii="Times New Roman" w:hAnsi="Times New Roman" w:cs="Times New Roman"/>
        </w:rPr>
        <w:t xml:space="preserve"> </w:t>
      </w:r>
      <w:r w:rsidRPr="00C677E6">
        <w:rPr>
          <w:rFonts w:ascii="Times New Roman" w:hAnsi="Times New Roman" w:cs="Times New Roman"/>
        </w:rPr>
        <w:t>Não configuram!</w:t>
      </w:r>
    </w:p>
    <w:p w14:paraId="372A302C" w14:textId="69F3D54C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Essas alegações são absolutamente inócuas e desprovidas de qualquer utilidade prática, porquanto não representam resistência ao pedido formulado na petição inicial, limitando-se a reproduzir premissas que já foram expressamente reconhecidas e acolhidas pela própria embargante na inicial [vide pedidos].</w:t>
      </w:r>
    </w:p>
    <w:p w14:paraId="1619F54A" w14:textId="4A4ABC7F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A pretensão deduzida na exordial é clara e objetiva: o reconhecimento do direito à meação, com o consequente afastamento da penhora sobre a integralidade do bem, preservando-se a fração ideal pertencente ao embargante. E, quanto a esse ponto central, não houve — nem há — qualquer oposição por parte do contestante, que expressamente anuiu à tese.</w:t>
      </w:r>
    </w:p>
    <w:p w14:paraId="4B08AE11" w14:textId="302E1F9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Mais do que isso, a própria petição inicial já antecipou, de forma inequívoca, o tratamento jurídico das situações aventadas na contestação: (i) na hipótese de bem indivisível, requereu-se expressamente a aplicação do art. 843 do CPC; e (</w:t>
      </w:r>
      <w:proofErr w:type="spellStart"/>
      <w:r w:rsidRPr="00C677E6">
        <w:rPr>
          <w:rFonts w:ascii="Times New Roman" w:hAnsi="Times New Roman" w:cs="Times New Roman"/>
        </w:rPr>
        <w:t>ii</w:t>
      </w:r>
      <w:proofErr w:type="spellEnd"/>
      <w:r w:rsidRPr="00C677E6">
        <w:rPr>
          <w:rFonts w:ascii="Times New Roman" w:hAnsi="Times New Roman" w:cs="Times New Roman"/>
        </w:rPr>
        <w:t>) sendo possível a divisão do bem, pleiteou-se que a constrição recaia exclusivamente sobre a fração pertencente ao devedor.</w:t>
      </w:r>
    </w:p>
    <w:p w14:paraId="5D101720" w14:textId="747EBA52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Ou seja, o que o contestante apresenta como “</w:t>
      </w:r>
      <w:r w:rsidRPr="00A34820">
        <w:rPr>
          <w:rFonts w:ascii="Times New Roman" w:hAnsi="Times New Roman" w:cs="Times New Roman"/>
          <w:i/>
          <w:iCs/>
        </w:rPr>
        <w:t>argumento defensivo</w:t>
      </w:r>
      <w:r w:rsidRPr="00C677E6">
        <w:rPr>
          <w:rFonts w:ascii="Times New Roman" w:hAnsi="Times New Roman" w:cs="Times New Roman"/>
        </w:rPr>
        <w:t>” nada mais é do que a repetição, sob outra roupagem, de premissas já estabelecidas na própria peça inaugural.</w:t>
      </w:r>
    </w:p>
    <w:p w14:paraId="2A9167AE" w14:textId="3CBECD28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Portanto, o que se verifica é um expediente retórico vazio, que não instaura qualquer dissenso jurídico e tampouco delimita ponto controvertido, revelando-se, na melhor das hipóteses, como argumentação redundante e, na pior, como tentativa de inflar artificialmente a controvérsia.</w:t>
      </w:r>
    </w:p>
    <w:p w14:paraId="5B7954B5" w14:textId="7ED14AA0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Diante disso, redobrada vênia, é imperioso que essas alegações sejam desde logo desconsideradas como matéria de resistência, reconhecendo-se que inexiste controvérsia quanto à alienação de bem indivisível e à divisibilidade dos imóveis, devendo a lide ser adequadamente delimitada aos pontos efetivamente controvertidos.</w:t>
      </w:r>
    </w:p>
    <w:p w14:paraId="28BE42F1" w14:textId="3E28C6D3" w:rsidR="00C677E6" w:rsidRPr="00A34820" w:rsidRDefault="00C677E6" w:rsidP="00C677E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A34820">
        <w:rPr>
          <w:rFonts w:ascii="Times New Roman" w:hAnsi="Times New Roman" w:cs="Times New Roman"/>
          <w:b/>
          <w:bCs/>
        </w:rPr>
        <w:t>V- PEDIDOS</w:t>
      </w:r>
    </w:p>
    <w:p w14:paraId="7077F458" w14:textId="70430D47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A34820">
        <w:rPr>
          <w:rFonts w:ascii="Times New Roman" w:hAnsi="Times New Roman" w:cs="Times New Roman"/>
          <w:b/>
          <w:bCs/>
          <w:i/>
          <w:iCs/>
        </w:rPr>
        <w:lastRenderedPageBreak/>
        <w:t>Ex</w:t>
      </w:r>
      <w:proofErr w:type="spellEnd"/>
      <w:r w:rsidRPr="00A34820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C677E6">
        <w:rPr>
          <w:rFonts w:ascii="Times New Roman" w:hAnsi="Times New Roman" w:cs="Times New Roman"/>
        </w:rPr>
        <w:t>, considerando a matéria ser exclusivamente de direito, despicienda a produção de outras provas, maduro o feito para julgamento antecipado</w:t>
      </w:r>
      <w:r w:rsidR="00510C60">
        <w:rPr>
          <w:rStyle w:val="Refdenotaderodap"/>
          <w:rFonts w:ascii="Times New Roman" w:hAnsi="Times New Roman" w:cs="Times New Roman"/>
        </w:rPr>
        <w:footnoteReference w:id="9"/>
      </w:r>
      <w:r w:rsidRPr="00C677E6">
        <w:rPr>
          <w:rFonts w:ascii="Times New Roman" w:hAnsi="Times New Roman" w:cs="Times New Roman"/>
        </w:rPr>
        <w:t xml:space="preserve">, a embargante requer: </w:t>
      </w:r>
    </w:p>
    <w:p w14:paraId="3ED098E3" w14:textId="6B3EC0D4" w:rsidR="00C677E6" w:rsidRPr="00C677E6" w:rsidRDefault="00A34820" w:rsidP="00C677E6">
      <w:pPr>
        <w:ind w:right="-568"/>
        <w:jc w:val="both"/>
        <w:rPr>
          <w:rFonts w:ascii="Times New Roman" w:hAnsi="Times New Roman" w:cs="Times New Roman"/>
        </w:rPr>
      </w:pPr>
      <w:r w:rsidRPr="00A34820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C677E6" w:rsidRPr="00A34820">
        <w:rPr>
          <w:rFonts w:ascii="Times New Roman" w:hAnsi="Times New Roman" w:cs="Times New Roman"/>
        </w:rPr>
        <w:t>SEJAM OS PRESENTES EMBARGOS DE TERCEIRO JULGADOS INTEGRALMENTE PROCEDENTES nos termos da inicial, para reconhecer o direito de meação da Embargante sobre os imóveis penhorados nos autos da execução fiscal apensada, aplicando-se no que couber o art. 843 do CPC; condenando o embargado ao pagamento da verba honorária sucumbencial, fixada em 20% [vinte por cento] do valor da causa corrigido [CPC, art. 85, §§ 2º, 3º e 6º];</w:t>
      </w:r>
    </w:p>
    <w:p w14:paraId="63860ECF" w14:textId="67426B06" w:rsidR="00C677E6" w:rsidRPr="00C677E6" w:rsidRDefault="00C677E6" w:rsidP="00C677E6">
      <w:pPr>
        <w:ind w:right="-568"/>
        <w:jc w:val="both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b)</w:t>
      </w:r>
      <w:r w:rsidR="00A34820">
        <w:rPr>
          <w:rFonts w:ascii="Times New Roman" w:hAnsi="Times New Roman" w:cs="Times New Roman"/>
        </w:rPr>
        <w:t xml:space="preserve"> </w:t>
      </w:r>
      <w:r w:rsidRPr="00C677E6">
        <w:rPr>
          <w:rFonts w:ascii="Times New Roman" w:hAnsi="Times New Roman" w:cs="Times New Roman"/>
        </w:rPr>
        <w:t>outrossim, caso V. Exa. entenda necessário adentrar à instrução, requer a produção de prova documental e testemunhal.</w:t>
      </w:r>
    </w:p>
    <w:p w14:paraId="0F44490E" w14:textId="1B752FB2" w:rsidR="00C677E6" w:rsidRPr="00C677E6" w:rsidRDefault="00C677E6" w:rsidP="00A34820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C677E6">
        <w:rPr>
          <w:rFonts w:ascii="Times New Roman" w:hAnsi="Times New Roman" w:cs="Times New Roman"/>
        </w:rPr>
        <w:t>P</w:t>
      </w:r>
      <w:r w:rsidR="00A34820">
        <w:rPr>
          <w:rFonts w:ascii="Times New Roman" w:hAnsi="Times New Roman" w:cs="Times New Roman"/>
        </w:rPr>
        <w:t>ede</w:t>
      </w:r>
      <w:r w:rsidRPr="00C677E6">
        <w:rPr>
          <w:rFonts w:ascii="Times New Roman" w:hAnsi="Times New Roman" w:cs="Times New Roman"/>
        </w:rPr>
        <w:t xml:space="preserve"> Deferimento.</w:t>
      </w:r>
    </w:p>
    <w:p w14:paraId="7582BDCD" w14:textId="46724EB7" w:rsidR="00C677E6" w:rsidRDefault="00A34820" w:rsidP="00A34820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5712375E" w14:textId="7DD4174A" w:rsidR="00A34820" w:rsidRPr="00C677E6" w:rsidRDefault="00A34820" w:rsidP="00A34820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 Advogado)</w:t>
      </w:r>
    </w:p>
    <w:sectPr w:rsidR="00A34820" w:rsidRPr="00C677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0CC47" w14:textId="77777777" w:rsidR="00633D1D" w:rsidRDefault="00633D1D" w:rsidP="00C677E6">
      <w:pPr>
        <w:spacing w:after="0" w:line="240" w:lineRule="auto"/>
      </w:pPr>
      <w:r>
        <w:separator/>
      </w:r>
    </w:p>
  </w:endnote>
  <w:endnote w:type="continuationSeparator" w:id="0">
    <w:p w14:paraId="6AE23893" w14:textId="77777777" w:rsidR="00633D1D" w:rsidRDefault="00633D1D" w:rsidP="00C6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DBAFF" w14:textId="77777777" w:rsidR="00633D1D" w:rsidRDefault="00633D1D" w:rsidP="00C677E6">
      <w:pPr>
        <w:spacing w:after="0" w:line="240" w:lineRule="auto"/>
      </w:pPr>
      <w:r>
        <w:separator/>
      </w:r>
    </w:p>
  </w:footnote>
  <w:footnote w:type="continuationSeparator" w:id="0">
    <w:p w14:paraId="01F77CD9" w14:textId="77777777" w:rsidR="00633D1D" w:rsidRDefault="00633D1D" w:rsidP="00C677E6">
      <w:pPr>
        <w:spacing w:after="0" w:line="240" w:lineRule="auto"/>
      </w:pPr>
      <w:r>
        <w:continuationSeparator/>
      </w:r>
    </w:p>
  </w:footnote>
  <w:footnote w:id="1">
    <w:p w14:paraId="6308AFEC" w14:textId="4F74C3EB" w:rsidR="00A34820" w:rsidRPr="00510C60" w:rsidRDefault="00A3482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 xml:space="preserve">Tema 1.178/STJ: i) É vedado o uso de critérios objetivos para o indeferimento imediato da gratuidade judiciária requerida por pessoa natural. </w:t>
      </w:r>
      <w:proofErr w:type="spellStart"/>
      <w:r w:rsidRPr="00510C60">
        <w:rPr>
          <w:rFonts w:ascii="Times New Roman" w:hAnsi="Times New Roman" w:cs="Times New Roman"/>
        </w:rPr>
        <w:t>ii</w:t>
      </w:r>
      <w:proofErr w:type="spellEnd"/>
      <w:r w:rsidRPr="00510C60">
        <w:rPr>
          <w:rFonts w:ascii="Times New Roman" w:hAnsi="Times New Roman" w:cs="Times New Roman"/>
        </w:rPr>
        <w:t xml:space="preserve">) Verificada a existência nos autos de elementos aptos a afastar a presunção de hipossuficiência econômica da pessoa natural, o juiz deverá determinar ao requerente a comprovação de sua condição, indicando de modo preciso as razões que justificam tal afastamento, nos termos do art. 99, § 2º, do CPC. </w:t>
      </w:r>
      <w:proofErr w:type="spellStart"/>
      <w:r w:rsidRPr="00510C60">
        <w:rPr>
          <w:rFonts w:ascii="Times New Roman" w:hAnsi="Times New Roman" w:cs="Times New Roman"/>
        </w:rPr>
        <w:t>iii</w:t>
      </w:r>
      <w:proofErr w:type="spellEnd"/>
      <w:r w:rsidRPr="00510C60">
        <w:rPr>
          <w:rFonts w:ascii="Times New Roman" w:hAnsi="Times New Roman" w:cs="Times New Roman"/>
        </w:rPr>
        <w:t>) Cumprida a diligência, a adoção de parâmetros objetivos pelo magistrado pode ser realizada em caráter meramente suplementar e desde que não sirva como fundamento exclusivo para o indeferimento do pedido de gratuidade.</w:t>
      </w:r>
    </w:p>
  </w:footnote>
  <w:footnote w:id="2">
    <w:p w14:paraId="12A2824D" w14:textId="0BB58D4B" w:rsidR="00A34820" w:rsidRPr="00510C60" w:rsidRDefault="00A3482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>CPC, art. 99. O pedido de gratuidade da justiça pode ser formulado na petição inicial, na contestação, na petição para ingresso de terceiro no processo ou em recurso [...]§3º Presume-se verdadeira a alegação de insuficiência deduzida exclusivamente por pessoa natural.</w:t>
      </w:r>
    </w:p>
  </w:footnote>
  <w:footnote w:id="3">
    <w:p w14:paraId="5A6D27A5" w14:textId="47119C05" w:rsidR="00A34820" w:rsidRPr="00510C60" w:rsidRDefault="00A3482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 xml:space="preserve">ADMINISTRATIVO. MANDADO DE SEGURANÇA. ANISTIA MILITAR. NULIDADE DO RESPECTIVO PROCEDIMENTO REVISIONAL. NOTIFICAÇÃO GENÉRICA. CONTRADITÓRIO MACULADO. CONCESSÃO DA ORDEM. 1. Segundo a jurisprudência do STJ, "a lei presume verdadeira a declaração de insuficiência econômica deduzida pela parte (CPC, art. 99, § 3.º). Assim, embora possa o adversário impugnar a concessão do benefício (CPC, art. 100), cabe-lhe o ônus de demonstrar a suficiência de recursos do solicitante da gratuidade". </w:t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 xml:space="preserve">[MS n. 26.553/DF, Rel. Ministro Sérgio </w:t>
      </w:r>
      <w:proofErr w:type="spellStart"/>
      <w:r w:rsidRPr="00510C60">
        <w:rPr>
          <w:rFonts w:ascii="Times New Roman" w:hAnsi="Times New Roman" w:cs="Times New Roman"/>
        </w:rPr>
        <w:t>Kukina</w:t>
      </w:r>
      <w:proofErr w:type="spellEnd"/>
      <w:r w:rsidRPr="00510C60">
        <w:rPr>
          <w:rFonts w:ascii="Times New Roman" w:hAnsi="Times New Roman" w:cs="Times New Roman"/>
        </w:rPr>
        <w:t xml:space="preserve">, Primeira Seção, </w:t>
      </w:r>
      <w:proofErr w:type="spellStart"/>
      <w:r w:rsidRPr="00510C60">
        <w:rPr>
          <w:rFonts w:ascii="Times New Roman" w:hAnsi="Times New Roman" w:cs="Times New Roman"/>
        </w:rPr>
        <w:t>DJe</w:t>
      </w:r>
      <w:proofErr w:type="spellEnd"/>
      <w:r w:rsidRPr="00510C60">
        <w:rPr>
          <w:rFonts w:ascii="Times New Roman" w:hAnsi="Times New Roman" w:cs="Times New Roman"/>
        </w:rPr>
        <w:t xml:space="preserve"> de 25.05.2021].</w:t>
      </w:r>
    </w:p>
  </w:footnote>
  <w:footnote w:id="4">
    <w:p w14:paraId="1D4A81B6" w14:textId="45EFE3F7" w:rsidR="00A34820" w:rsidRPr="00510C60" w:rsidRDefault="00A3482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 xml:space="preserve">DIDIER JR., </w:t>
      </w:r>
      <w:proofErr w:type="spellStart"/>
      <w:r w:rsidRPr="00510C60">
        <w:rPr>
          <w:rFonts w:ascii="Times New Roman" w:hAnsi="Times New Roman" w:cs="Times New Roman"/>
        </w:rPr>
        <w:t>Fredie</w:t>
      </w:r>
      <w:proofErr w:type="spellEnd"/>
      <w:r w:rsidRPr="00510C60">
        <w:rPr>
          <w:rFonts w:ascii="Times New Roman" w:hAnsi="Times New Roman" w:cs="Times New Roman"/>
        </w:rPr>
        <w:t xml:space="preserve">. Curso de Direito Processual Civil, vol. 2, Ed. </w:t>
      </w:r>
      <w:proofErr w:type="spellStart"/>
      <w:r w:rsidRPr="00510C60">
        <w:rPr>
          <w:rFonts w:ascii="Times New Roman" w:hAnsi="Times New Roman" w:cs="Times New Roman"/>
        </w:rPr>
        <w:t>JusPODIVM</w:t>
      </w:r>
      <w:proofErr w:type="spellEnd"/>
      <w:r w:rsidRPr="00510C60">
        <w:rPr>
          <w:rFonts w:ascii="Times New Roman" w:hAnsi="Times New Roman" w:cs="Times New Roman"/>
        </w:rPr>
        <w:t>, 21ª ed., p.127.</w:t>
      </w:r>
    </w:p>
  </w:footnote>
  <w:footnote w:id="5">
    <w:p w14:paraId="47AD09D9" w14:textId="470A215E" w:rsidR="00A34820" w:rsidRPr="00510C60" w:rsidRDefault="00A3482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>NEVES, Daniel Amorim Assumpção. Manual de Direito Processual Civil, Vol. Único, 2026, Ed. Jus PODIVM, p. 328.</w:t>
      </w:r>
    </w:p>
  </w:footnote>
  <w:footnote w:id="6">
    <w:p w14:paraId="45D5E26F" w14:textId="4F0F58D4" w:rsidR="00A34820" w:rsidRPr="00510C60" w:rsidRDefault="00A3482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>THEODORO JÚNIOR, Humberto. Curso de Direito Processual Civil, vol. II, Ed. Forense, 59ª ed., p. 147.</w:t>
      </w:r>
    </w:p>
  </w:footnote>
  <w:footnote w:id="7">
    <w:p w14:paraId="5478B451" w14:textId="7A942F20" w:rsidR="00A34820" w:rsidRPr="00510C60" w:rsidRDefault="00A3482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>CPC, art. 374. Não dependem de prova os fatos: III - admitidos no processo como incontroversos;</w:t>
      </w:r>
    </w:p>
  </w:footnote>
  <w:footnote w:id="8">
    <w:p w14:paraId="3D168531" w14:textId="3EA05C57" w:rsidR="00510C60" w:rsidRPr="00510C60" w:rsidRDefault="00510C6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>CPC, art. 355. O juiz julgará antecipadamente o pedido, proferindo sentença com resolução do mérito, quando: I – Não houver necessidade de produção de outras provas ...</w:t>
      </w:r>
    </w:p>
  </w:footnote>
  <w:footnote w:id="9">
    <w:p w14:paraId="57614D09" w14:textId="57DAA715" w:rsidR="00510C60" w:rsidRPr="00510C60" w:rsidRDefault="00510C60" w:rsidP="00510C60">
      <w:pPr>
        <w:pStyle w:val="Textodenotaderodap"/>
        <w:ind w:right="-568"/>
        <w:jc w:val="both"/>
        <w:rPr>
          <w:rFonts w:ascii="Times New Roman" w:hAnsi="Times New Roman" w:cs="Times New Roman"/>
        </w:rPr>
      </w:pPr>
      <w:r w:rsidRPr="00510C60">
        <w:rPr>
          <w:rStyle w:val="Refdenotaderodap"/>
          <w:rFonts w:ascii="Times New Roman" w:hAnsi="Times New Roman" w:cs="Times New Roman"/>
        </w:rPr>
        <w:footnoteRef/>
      </w:r>
      <w:r w:rsidRPr="00510C60">
        <w:rPr>
          <w:rFonts w:ascii="Times New Roman" w:hAnsi="Times New Roman" w:cs="Times New Roman"/>
        </w:rPr>
        <w:t xml:space="preserve"> </w:t>
      </w:r>
      <w:r w:rsidRPr="00510C60">
        <w:rPr>
          <w:rFonts w:ascii="Times New Roman" w:hAnsi="Times New Roman" w:cs="Times New Roman"/>
        </w:rPr>
        <w:t xml:space="preserve">CPC, art. 355. O juiz julgará antecipadamente o pedido, proferindo sentença com resolução de mérito, quando: I - não houver necessidade de produção de outras </w:t>
      </w:r>
      <w:proofErr w:type="gramStart"/>
      <w:r w:rsidRPr="00510C60">
        <w:rPr>
          <w:rFonts w:ascii="Times New Roman" w:hAnsi="Times New Roman" w:cs="Times New Roman"/>
        </w:rPr>
        <w:t>provas;...</w:t>
      </w:r>
      <w:proofErr w:type="gram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B06E8"/>
    <w:multiLevelType w:val="hybridMultilevel"/>
    <w:tmpl w:val="4306CF7A"/>
    <w:lvl w:ilvl="0" w:tplc="D28A8B0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80561"/>
    <w:multiLevelType w:val="hybridMultilevel"/>
    <w:tmpl w:val="375418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346690">
    <w:abstractNumId w:val="0"/>
  </w:num>
  <w:num w:numId="2" w16cid:durableId="43575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E6"/>
    <w:rsid w:val="00510C60"/>
    <w:rsid w:val="00633D1D"/>
    <w:rsid w:val="007C09A5"/>
    <w:rsid w:val="00A34820"/>
    <w:rsid w:val="00C6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94E33"/>
  <w15:chartTrackingRefBased/>
  <w15:docId w15:val="{71DE43D5-0CB6-4FDA-B6A2-5CD6B62C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67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7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77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67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677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67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67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67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67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677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7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77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677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677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677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677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677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677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67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67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67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67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67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677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677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677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677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677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677E6"/>
    <w:rPr>
      <w:b/>
      <w:bCs/>
      <w:smallCaps/>
      <w:color w:val="2F5496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A3482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3482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348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BF3D4-0FFF-4ABB-9708-B3F2F9F1F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2786</Words>
  <Characters>15049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2026-05-27T19:40:00Z</dcterms:created>
  <dcterms:modified xsi:type="dcterms:W3CDTF">2026-05-27T20:02:00Z</dcterms:modified>
</cp:coreProperties>
</file>