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29216" w14:textId="77777777" w:rsidR="00D573C2" w:rsidRPr="00D573C2" w:rsidRDefault="00D573C2" w:rsidP="00D573C2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D573C2">
        <w:rPr>
          <w:rFonts w:ascii="Arial Black" w:hAnsi="Arial Black" w:cs="Times New Roman"/>
        </w:rPr>
        <w:t>MODELO DE PETIÇÃO</w:t>
      </w:r>
    </w:p>
    <w:p w14:paraId="716B020C" w14:textId="77777777" w:rsidR="00D573C2" w:rsidRPr="00D573C2" w:rsidRDefault="00D573C2" w:rsidP="00D573C2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D573C2">
        <w:rPr>
          <w:rFonts w:ascii="Arial Black" w:hAnsi="Arial Black" w:cs="Times New Roman"/>
        </w:rPr>
        <w:t>EMBARGOS DE DECLARAÇÃO. VÍCIO ESTRUTURAL ACÓRDÃO.</w:t>
      </w:r>
    </w:p>
    <w:p w14:paraId="313A7F12" w14:textId="77777777" w:rsidR="00D573C2" w:rsidRPr="00D573C2" w:rsidRDefault="00D573C2" w:rsidP="00D573C2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D573C2">
        <w:rPr>
          <w:rFonts w:ascii="Arial Black" w:hAnsi="Arial Black" w:cs="Times New Roman"/>
        </w:rPr>
        <w:t>ERROS ESTRUTURAIS. PREMISSAS FÁTICAS EQUIVOCADAS.</w:t>
      </w:r>
    </w:p>
    <w:p w14:paraId="2C29A0FE" w14:textId="77777777" w:rsidR="00D573C2" w:rsidRPr="00D573C2" w:rsidRDefault="00D573C2" w:rsidP="00D573C2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D573C2">
        <w:rPr>
          <w:rFonts w:ascii="Arial Black" w:hAnsi="Arial Black" w:cs="Times New Roman"/>
        </w:rPr>
        <w:t>OBSCURIDADE. OMISSÃO. EFEITOS INFRINGENTES.</w:t>
      </w:r>
    </w:p>
    <w:p w14:paraId="541206BD" w14:textId="77777777" w:rsidR="00D573C2" w:rsidRPr="00D573C2" w:rsidRDefault="00D573C2" w:rsidP="00D573C2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D573C2">
        <w:rPr>
          <w:rFonts w:ascii="Arial Black" w:hAnsi="Arial Black" w:cs="Times New Roman"/>
        </w:rPr>
        <w:t>PREQUESTIONAMENTO. DISSÍDIO PRETORIANO</w:t>
      </w:r>
    </w:p>
    <w:p w14:paraId="52997207" w14:textId="77777777" w:rsidR="00D573C2" w:rsidRPr="00D573C2" w:rsidRDefault="00D573C2" w:rsidP="00D573C2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D573C2">
        <w:rPr>
          <w:rFonts w:ascii="Arial Black" w:hAnsi="Arial Black" w:cs="Times New Roman"/>
        </w:rPr>
        <w:t>Rénan</w:t>
      </w:r>
      <w:proofErr w:type="spellEnd"/>
      <w:r w:rsidRPr="00D573C2">
        <w:rPr>
          <w:rFonts w:ascii="Arial Black" w:hAnsi="Arial Black" w:cs="Times New Roman"/>
        </w:rPr>
        <w:t xml:space="preserve"> </w:t>
      </w:r>
      <w:proofErr w:type="spellStart"/>
      <w:r w:rsidRPr="00D573C2">
        <w:rPr>
          <w:rFonts w:ascii="Arial Black" w:hAnsi="Arial Black" w:cs="Times New Roman"/>
        </w:rPr>
        <w:t>Kfuri</w:t>
      </w:r>
      <w:proofErr w:type="spellEnd"/>
      <w:r w:rsidRPr="00D573C2">
        <w:rPr>
          <w:rFonts w:ascii="Arial Black" w:hAnsi="Arial Black" w:cs="Times New Roman"/>
        </w:rPr>
        <w:t xml:space="preserve"> Lopes</w:t>
      </w:r>
    </w:p>
    <w:p w14:paraId="63B84990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</w:p>
    <w:p w14:paraId="792996CE" w14:textId="77777777" w:rsid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Des. ...- DD Relator do Agravo de Instrumento n. ... - ...</w:t>
      </w:r>
      <w:r w:rsidRPr="00D573C2">
        <w:rPr>
          <w:rFonts w:ascii="Times New Roman" w:hAnsi="Times New Roman" w:cs="Times New Roman"/>
        </w:rPr>
        <w:t>ª C</w:t>
      </w:r>
      <w:r>
        <w:rPr>
          <w:rFonts w:ascii="Times New Roman" w:hAnsi="Times New Roman" w:cs="Times New Roman"/>
        </w:rPr>
        <w:t xml:space="preserve">âmara de Direito Comercial do </w:t>
      </w:r>
      <w:proofErr w:type="spellStart"/>
      <w:r>
        <w:rPr>
          <w:rFonts w:ascii="Times New Roman" w:hAnsi="Times New Roman" w:cs="Times New Roman"/>
        </w:rPr>
        <w:t>Eg</w:t>
      </w:r>
      <w:proofErr w:type="spellEnd"/>
      <w:r>
        <w:rPr>
          <w:rFonts w:ascii="Times New Roman" w:hAnsi="Times New Roman" w:cs="Times New Roman"/>
        </w:rPr>
        <w:t>. Tribunal de Justiça do Estado de ...</w:t>
      </w:r>
    </w:p>
    <w:p w14:paraId="1D4A8B72" w14:textId="181DC3EE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Processo de origem: Ação de Exigir Contas n.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ª Vara Cível da Comarca de </w:t>
      </w:r>
      <w:r>
        <w:rPr>
          <w:rFonts w:ascii="Times New Roman" w:hAnsi="Times New Roman" w:cs="Times New Roman"/>
        </w:rPr>
        <w:t>...</w:t>
      </w:r>
    </w:p>
    <w:p w14:paraId="4FD45274" w14:textId="0BD18169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Embargante: Espólio de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representado por sua inventariante </w:t>
      </w:r>
      <w:r>
        <w:rPr>
          <w:rFonts w:ascii="Times New Roman" w:hAnsi="Times New Roman" w:cs="Times New Roman"/>
        </w:rPr>
        <w:t>...</w:t>
      </w:r>
    </w:p>
    <w:p w14:paraId="1F6C1544" w14:textId="2D925B00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Embargado: </w:t>
      </w:r>
      <w:r>
        <w:rPr>
          <w:rFonts w:ascii="Times New Roman" w:hAnsi="Times New Roman" w:cs="Times New Roman"/>
        </w:rPr>
        <w:t>...</w:t>
      </w:r>
    </w:p>
    <w:p w14:paraId="1078A57A" w14:textId="7F53F0E5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Decisão embargada: v. acórdão do evento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], proferido na sessão virtual iniciada em </w:t>
      </w:r>
      <w:r>
        <w:rPr>
          <w:rFonts w:ascii="Times New Roman" w:hAnsi="Times New Roman" w:cs="Times New Roman"/>
        </w:rPr>
        <w:t>...</w:t>
      </w:r>
    </w:p>
    <w:p w14:paraId="4AF8CCE4" w14:textId="427B994B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D573C2">
        <w:rPr>
          <w:rFonts w:ascii="Times New Roman" w:hAnsi="Times New Roman" w:cs="Times New Roman"/>
          <w:i/>
          <w:iCs/>
        </w:rPr>
        <w:t xml:space="preserve">EMBARGOS DE DECLARAÇÃO EM AGRAVO DE INSTRUMENTO. ACÓRDÃO QUE REPRODUZ, QUASE LITERALMENTE, DECISÃO MONOCRÁTICA LIMINAR PROFERIDA EM PROCESSO DIVERSO [AI N. </w:t>
      </w:r>
      <w:r>
        <w:rPr>
          <w:rFonts w:ascii="Times New Roman" w:hAnsi="Times New Roman" w:cs="Times New Roman"/>
          <w:i/>
          <w:iCs/>
        </w:rPr>
        <w:t>...</w:t>
      </w:r>
      <w:r w:rsidRPr="00D573C2">
        <w:rPr>
          <w:rFonts w:ascii="Times New Roman" w:hAnsi="Times New Roman" w:cs="Times New Roman"/>
          <w:i/>
          <w:iCs/>
        </w:rPr>
        <w:t xml:space="preserve"> – AUTOS N. </w:t>
      </w:r>
      <w:r>
        <w:rPr>
          <w:rFonts w:ascii="Times New Roman" w:hAnsi="Times New Roman" w:cs="Times New Roman"/>
          <w:i/>
          <w:iCs/>
        </w:rPr>
        <w:t>...</w:t>
      </w:r>
      <w:r w:rsidRPr="00D573C2">
        <w:rPr>
          <w:rFonts w:ascii="Times New Roman" w:hAnsi="Times New Roman" w:cs="Times New Roman"/>
          <w:i/>
          <w:iCs/>
        </w:rPr>
        <w:t>]. FUNDAMENTAÇÃO TRANSPLANTADA [ART. 489, §1º, III, CPC]. CONTRADIÇÕES INTERNAS: VOTO QUE CONCLUI POR “NEGAR-LHE PROVIMENTO” E, LINHAS ADIANTE, POR “DAR-LHE PROVIMENTO”; JUÍZO DE MERA “PROBABILIDADE” EM JULGAMENTO DE MÉRITO; PREMISSA DE INTANGIBILIDADE DA COISA JULGADA VERSUS REABERTURA DE PROCESSO FINDO POR SIMPLES PETIÇÃO. ERROS MATERIAIS E PREMISSAS FÁTICAS EQUIVOCADAS: “INEXISTÊNCIA JURÍDICA” ONDE HÁ DECRETO DE NULIDADE; SENTENÇA ANULATÓRIA QUE NÃO TEVE POR OBJETO A SENTENÇA HOMOLOGATÓRIA DO EVENTO 424. OBSCURIDADE SOBRE O DESTINO JURÍDICO DA SENTENÇA HOMOLOGATÓRIA TRANSITADA EM JULGADO. OMISSÕES SOBRE TESES CAPAZES DE INFIRMAR A CONCLUSÃO [ARTS. 489, §1º, IV, V E VI, E 1.022, PARÁGRAFO ÚNICO, II, CPC]. EFEITOS INFRINGENTES COMO CONSEQUÊNCIA NECESSÁRIA. EFEITO SUSPENSIVO [ART. 1.026, §1º, CPC]. PREQUESTIONAMENTO EXPLÍCITO, INCLUSIVE DO ACÓRDÃO INTEGRATIVO [SÚMULAS 211/STJ, 282 E 356/STF; ART. 1.025 CPC; SÚMULA 98/STJ]. FIXAÇÃO DAS PREMISSAS FÁTICAS DO DISSÍDIO JURISPRUDENCIAL E DELIMITAÇÃO ANTECIPADA DA RELEVÂNCIA DA QUESTÃO FEDERAL [ART. 105, §§2º E 3º, CF; ART. 1.035-A CPC; LEI N. 15.484/2026; EMENDAS REGIMENTAIS STJ N. 53 E 55/2026]</w:t>
      </w:r>
      <w:r w:rsidRPr="00D573C2">
        <w:rPr>
          <w:rFonts w:ascii="Times New Roman" w:hAnsi="Times New Roman" w:cs="Times New Roman"/>
        </w:rPr>
        <w:t>.</w:t>
      </w:r>
    </w:p>
    <w:p w14:paraId="793F6E59" w14:textId="5D240E46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representado por sua inventariante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pelos comuns advogados in fine assinados, nos autos do agravo de instrumento epigrafado, interposto por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vem, respeitosamente, à presença de Vossa Excelência, com esteio nos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1.022, incisos I, II e III, e parágrafo único, inciso II, 1.023, 1.025 e 1.026, §1º, do Código de Processo Civil, opor os presentes</w:t>
      </w:r>
      <w:r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EMBARGOS DE DECLARAÇÃO</w:t>
      </w:r>
      <w:r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com pedido de efeitos infringentes, de efeito suspensivo e para fins de prequestionamento</w:t>
      </w:r>
      <w:r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 xml:space="preserve">em face do v. acórdão do evento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pelos fundamentos de fato e de direito adiante articulados.</w:t>
      </w:r>
    </w:p>
    <w:p w14:paraId="117944BF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lastRenderedPageBreak/>
        <w:t>SUMÁRIO</w:t>
      </w:r>
    </w:p>
    <w:p w14:paraId="744F0E81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I – Tempestividade, cabimento e síntese do julgado embargado</w:t>
      </w:r>
    </w:p>
    <w:p w14:paraId="17EC50C5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II – O vício estrutural do v. acórdão: fundamentação concebida para processo diverso</w:t>
      </w:r>
    </w:p>
    <w:p w14:paraId="5FE34A3D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III – Das contradições [art. 1.022, I, CPC]</w:t>
      </w:r>
    </w:p>
    <w:p w14:paraId="2DA3FA9A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IV – Dos erros materiais e das premissas fáticas equivocadas [art. 1.022, III, CPC]</w:t>
      </w:r>
    </w:p>
    <w:p w14:paraId="06D1A3C4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V – Das obscuridades [art. 1.022, I, CPC]</w:t>
      </w:r>
    </w:p>
    <w:p w14:paraId="3384440F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VI – Das omissões [art. 1.022, parágrafo único, II, c/c art. 489, §1º, IV, V e VI, CPC]</w:t>
      </w:r>
    </w:p>
    <w:p w14:paraId="7433D394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VII – Dos efeitos infringentes como consequência necessária do saneamento dos vícios</w:t>
      </w:r>
    </w:p>
    <w:p w14:paraId="0348D6B2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VIII – Do efeito suspensivo [art. 1.026, §1º, CPC]</w:t>
      </w:r>
    </w:p>
    <w:p w14:paraId="1C611CF2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IX – Do prequestionamento explícito, inclusive em relação ao acórdão integrativo</w:t>
      </w:r>
    </w:p>
    <w:p w14:paraId="54A01ED2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X – Da fixação das premissas fáticas do dissídio jurisprudencial [art. 105, III, “c”, CF]</w:t>
      </w:r>
    </w:p>
    <w:p w14:paraId="1DCB43E5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XI – Da relevância da questão federal e dos novos requisitos regimentais do STJ</w:t>
      </w:r>
    </w:p>
    <w:p w14:paraId="03FF4C15" w14:textId="4B447FB3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XII – Dos pedidos</w:t>
      </w:r>
    </w:p>
    <w:p w14:paraId="74167D92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I – TEMPESTIVIDADE, CABIMENTO E SÍNTESE DO JULGADO EMBARGADO</w:t>
      </w:r>
    </w:p>
    <w:p w14:paraId="23252BCC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I.1 – Tempestividade e cabimento</w:t>
      </w:r>
    </w:p>
    <w:p w14:paraId="640DE3E9" w14:textId="3CD73BCE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Os presentes embargos são opostos dentro do quinquídio legal do art. 1.023 do CPC, contado em dias úteis [art. 219, CPC] a partir da intimação do v. acórdão juntado no evento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razão pela qual são manifestamente tempestivos.</w:t>
      </w:r>
    </w:p>
    <w:p w14:paraId="3FF00BA2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O cabimento, por sua vez, é inequívoco, vênia permissa. </w:t>
      </w:r>
    </w:p>
    <w:p w14:paraId="18BCB4D7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art. 1.022 do CPC admite embargos de declaração contra qualquer decisão judicial para (i) esclarecer obscuridade ou eliminar contradição; (</w:t>
      </w:r>
      <w:proofErr w:type="spellStart"/>
      <w:r w:rsidRPr="00D573C2">
        <w:rPr>
          <w:rFonts w:ascii="Times New Roman" w:hAnsi="Times New Roman" w:cs="Times New Roman"/>
        </w:rPr>
        <w:t>ii</w:t>
      </w:r>
      <w:proofErr w:type="spellEnd"/>
      <w:r w:rsidRPr="00D573C2">
        <w:rPr>
          <w:rFonts w:ascii="Times New Roman" w:hAnsi="Times New Roman" w:cs="Times New Roman"/>
        </w:rPr>
        <w:t>) suprir omissão de ponto ou questão sobre o qual devia se pronunciar o juiz de ofício ou a requerimento; e (</w:t>
      </w:r>
      <w:proofErr w:type="spellStart"/>
      <w:r w:rsidRPr="00D573C2">
        <w:rPr>
          <w:rFonts w:ascii="Times New Roman" w:hAnsi="Times New Roman" w:cs="Times New Roman"/>
        </w:rPr>
        <w:t>iii</w:t>
      </w:r>
      <w:proofErr w:type="spellEnd"/>
      <w:r w:rsidRPr="00D573C2">
        <w:rPr>
          <w:rFonts w:ascii="Times New Roman" w:hAnsi="Times New Roman" w:cs="Times New Roman"/>
        </w:rPr>
        <w:t>) corrigir erro material. O parágrafo único, inciso II, do mesmo dispositivo reputa omissa, por expressa equiparação legal, a decisão que incorra em qualquer das condutas descritas no art. 489, §1º, do CPC, entre elas, invocar motivos que se prestariam a justificar qualquer outra decisão [inciso III], deixar de enfrentar todos os argumentos deduzidos no processo capazes de, em tese, infirmar a conclusão adotada [inciso IV] e limitar-se a invocar precedente sem identificar seus fundamentos determinantes nem demonstrar que o caso sob julgamento se ajusta àqueles fundamentos [inciso V].</w:t>
      </w:r>
    </w:p>
    <w:p w14:paraId="1A7261DE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Como se demonstrará, o v. acórdão embargado incide, simultaneamente, em todas essas hipóteses, redobrada vênia</w:t>
      </w:r>
    </w:p>
    <w:p w14:paraId="3121393F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</w:p>
    <w:p w14:paraId="629DF72F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</w:p>
    <w:p w14:paraId="6120A2FC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</w:p>
    <w:p w14:paraId="3C198061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I.2 – Síntese do julgado embargado</w:t>
      </w:r>
    </w:p>
    <w:p w14:paraId="395ED31E" w14:textId="6C6E0AA4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O Agravante insurgiu-se contra as r. decisões dos eventos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dos autos de origem, que indeferiram o pedido de desarquivamento e reativação da Ação de Exigir Contas n.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extinta com resolução de mérito pela sentença homologatória do evento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[proferida em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], transitada em julgado em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[evento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], ao fundamento de que a superveniente declaração de nulidade do negócio jurídico subjacente, decretada na Ação Anulatória n.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“</w:t>
      </w:r>
      <w:r w:rsidRPr="00D573C2">
        <w:rPr>
          <w:rFonts w:ascii="Times New Roman" w:hAnsi="Times New Roman" w:cs="Times New Roman"/>
          <w:i/>
          <w:iCs/>
        </w:rPr>
        <w:t>não conduz, automaticamente, à reabertura desta demanda</w:t>
      </w:r>
      <w:r w:rsidRPr="00D573C2">
        <w:rPr>
          <w:rFonts w:ascii="Times New Roman" w:hAnsi="Times New Roman" w:cs="Times New Roman"/>
        </w:rPr>
        <w:t>”, porque “</w:t>
      </w:r>
      <w:r w:rsidRPr="00D573C2">
        <w:rPr>
          <w:rFonts w:ascii="Times New Roman" w:hAnsi="Times New Roman" w:cs="Times New Roman"/>
          <w:i/>
          <w:iCs/>
        </w:rPr>
        <w:t>a autoridade da coisa julgada impede que o próprio juízo prolator volte a examinar ou desconstitua decisão de mérito já estabilizada, fora das hipóteses e dos instrumentos expressamente previstos pelo ordenamento jurídico</w:t>
      </w:r>
      <w:r w:rsidRPr="00D573C2">
        <w:rPr>
          <w:rFonts w:ascii="Times New Roman" w:hAnsi="Times New Roman" w:cs="Times New Roman"/>
        </w:rPr>
        <w:t>”.</w:t>
      </w:r>
    </w:p>
    <w:p w14:paraId="05D6037D" w14:textId="4562A792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Deferido efeito suspensivo em cognição sumária [evento 11], o Embargante apresentou contrarrazões exaurientes [evento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], nas quais deduziu, em tópicos individualizados, ao menos sete teses autônomas capazes de infirmar a pretensão recursal, além de pedido expresso de manifestação sobre dispositivos de lei federal para fins de prequestionamento [tópico VII]. Reiterou-as, ainda, na manifestação aos embargos de declaração do Agravante [evento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].</w:t>
      </w:r>
    </w:p>
    <w:p w14:paraId="7E5080DD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Sobreveio o v. acórdão embargado, que, por unanimidade, conheceu do agravo e deu-lhe provimento, para determinar “</w:t>
      </w:r>
      <w:r w:rsidRPr="00D573C2">
        <w:rPr>
          <w:rFonts w:ascii="Times New Roman" w:hAnsi="Times New Roman" w:cs="Times New Roman"/>
          <w:i/>
          <w:iCs/>
        </w:rPr>
        <w:t>o desarquivamento dos autos, com o regular prosseguimento do feito na origem</w:t>
      </w:r>
      <w:r w:rsidRPr="00D573C2">
        <w:rPr>
          <w:rFonts w:ascii="Times New Roman" w:hAnsi="Times New Roman" w:cs="Times New Roman"/>
        </w:rPr>
        <w:t>”, julgando prejudicados os embargos de declaração do Agravante.</w:t>
      </w:r>
    </w:p>
    <w:p w14:paraId="716C8FCD" w14:textId="78D87B9C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  <w:i/>
          <w:iCs/>
        </w:rPr>
        <w:t xml:space="preserve">Concessa </w:t>
      </w:r>
      <w:proofErr w:type="spellStart"/>
      <w:r w:rsidRPr="00D573C2">
        <w:rPr>
          <w:rFonts w:ascii="Times New Roman" w:hAnsi="Times New Roman" w:cs="Times New Roman"/>
          <w:i/>
          <w:iCs/>
        </w:rPr>
        <w:t>maxima</w:t>
      </w:r>
      <w:proofErr w:type="spellEnd"/>
      <w:r w:rsidRPr="00D573C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73C2">
        <w:rPr>
          <w:rFonts w:ascii="Times New Roman" w:hAnsi="Times New Roman" w:cs="Times New Roman"/>
          <w:i/>
          <w:iCs/>
        </w:rPr>
        <w:t>venia</w:t>
      </w:r>
      <w:proofErr w:type="spellEnd"/>
      <w:r w:rsidRPr="00D573C2">
        <w:rPr>
          <w:rFonts w:ascii="Times New Roman" w:hAnsi="Times New Roman" w:cs="Times New Roman"/>
        </w:rPr>
        <w:t>, o v. acórdão não dedicou uma única linha às teses do Embargante. O relatório limita-se a consignar “</w:t>
      </w:r>
      <w:r w:rsidRPr="00D573C2">
        <w:rPr>
          <w:rFonts w:ascii="Times New Roman" w:hAnsi="Times New Roman" w:cs="Times New Roman"/>
          <w:i/>
          <w:iCs/>
        </w:rPr>
        <w:t xml:space="preserve">Com contrarrazões (evento </w:t>
      </w:r>
      <w:r w:rsidRPr="00D573C2">
        <w:rPr>
          <w:rFonts w:ascii="Times New Roman" w:hAnsi="Times New Roman" w:cs="Times New Roman"/>
          <w:i/>
          <w:iCs/>
        </w:rPr>
        <w:t>...</w:t>
      </w:r>
      <w:r w:rsidRPr="00D573C2">
        <w:rPr>
          <w:rFonts w:ascii="Times New Roman" w:hAnsi="Times New Roman" w:cs="Times New Roman"/>
          <w:i/>
          <w:iCs/>
        </w:rPr>
        <w:t>)</w:t>
      </w:r>
      <w:r w:rsidRPr="00D573C2">
        <w:rPr>
          <w:rFonts w:ascii="Times New Roman" w:hAnsi="Times New Roman" w:cs="Times New Roman"/>
        </w:rPr>
        <w:t>”, e o voto, como se verá, foi integralmente construído sobre texto originalmente redigido para outro processo.</w:t>
      </w:r>
    </w:p>
    <w:p w14:paraId="1256B365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  <w:b/>
          <w:bCs/>
        </w:rPr>
        <w:t>II – O VÍCIO ESTRUTURAL DO V. ACÓRDÃO: FUNDAMENTAÇÃO CONCEBIDA PARA PROCESSO DIVERSO</w:t>
      </w:r>
    </w:p>
    <w:p w14:paraId="232CD288" w14:textId="588B28CC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O exame comparativo revela que o voto condutor reproduz, quase palavra por palavra, a r. decisão monocrática liminar proferida em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no Agravo de Instrumento n.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[documento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], que versa sobre outro processo — a Ação de Prestação de Contas n.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da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ª Vara Cível de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—, cópia da qual foi juntada pelo próprio Agravante neste recurso [evento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]. Confira-se:</w:t>
      </w:r>
    </w:p>
    <w:p w14:paraId="09955EA9" w14:textId="21EDDBFE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Decisão liminar – AI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[autos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ª Vara Cível]</w:t>
      </w:r>
      <w:r w:rsidRPr="00D573C2">
        <w:rPr>
          <w:rFonts w:ascii="Times New Roman" w:hAnsi="Times New Roman" w:cs="Times New Roman"/>
        </w:rPr>
        <w:tab/>
        <w:t xml:space="preserve">V. acórdão embargado – AI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[autos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ª Vara Cível]</w:t>
      </w:r>
    </w:p>
    <w:p w14:paraId="425D3629" w14:textId="7476A239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D573C2">
        <w:rPr>
          <w:rFonts w:ascii="Times New Roman" w:hAnsi="Times New Roman" w:cs="Times New Roman"/>
          <w:i/>
          <w:iCs/>
        </w:rPr>
        <w:t xml:space="preserve">Na hipótese, observa-se que o processo originário foi extinto com resolução de mérito [...] em razão de acordo homologado judicialmente (evento </w:t>
      </w:r>
      <w:r>
        <w:rPr>
          <w:rFonts w:ascii="Times New Roman" w:hAnsi="Times New Roman" w:cs="Times New Roman"/>
          <w:i/>
          <w:iCs/>
        </w:rPr>
        <w:t>...</w:t>
      </w:r>
      <w:r w:rsidRPr="00D573C2">
        <w:rPr>
          <w:rFonts w:ascii="Times New Roman" w:hAnsi="Times New Roman" w:cs="Times New Roman"/>
          <w:i/>
          <w:iCs/>
        </w:rPr>
        <w:t xml:space="preserve">), sobrevindo o respectivo trânsito em julgado e posterior arquivamento do feito (evento </w:t>
      </w:r>
      <w:r>
        <w:rPr>
          <w:rFonts w:ascii="Times New Roman" w:hAnsi="Times New Roman" w:cs="Times New Roman"/>
          <w:i/>
          <w:iCs/>
        </w:rPr>
        <w:t>...</w:t>
      </w:r>
      <w:r w:rsidRPr="00D573C2">
        <w:rPr>
          <w:rFonts w:ascii="Times New Roman" w:hAnsi="Times New Roman" w:cs="Times New Roman"/>
          <w:i/>
          <w:iCs/>
        </w:rPr>
        <w:t>)</w:t>
      </w:r>
      <w:r w:rsidRPr="00D573C2">
        <w:rPr>
          <w:rFonts w:ascii="Times New Roman" w:hAnsi="Times New Roman" w:cs="Times New Roman"/>
        </w:rPr>
        <w:t>.”</w:t>
      </w:r>
      <w:r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“</w:t>
      </w:r>
      <w:r w:rsidRPr="00D573C2">
        <w:rPr>
          <w:rFonts w:ascii="Times New Roman" w:hAnsi="Times New Roman" w:cs="Times New Roman"/>
          <w:i/>
          <w:iCs/>
        </w:rPr>
        <w:t xml:space="preserve">Na hipótese, observa-se que o processo originário foi extinto com resolução de mérito [...] em razão de acordo homologado judicialmente (evento </w:t>
      </w:r>
      <w:r>
        <w:rPr>
          <w:rFonts w:ascii="Times New Roman" w:hAnsi="Times New Roman" w:cs="Times New Roman"/>
          <w:i/>
          <w:iCs/>
        </w:rPr>
        <w:t>...</w:t>
      </w:r>
      <w:r w:rsidRPr="00D573C2">
        <w:rPr>
          <w:rFonts w:ascii="Times New Roman" w:hAnsi="Times New Roman" w:cs="Times New Roman"/>
          <w:i/>
          <w:iCs/>
        </w:rPr>
        <w:t xml:space="preserve">), sobrevindo o respectivo trânsito em julgado e posterior arquivamento do feito (evento </w:t>
      </w:r>
      <w:r>
        <w:rPr>
          <w:rFonts w:ascii="Times New Roman" w:hAnsi="Times New Roman" w:cs="Times New Roman"/>
          <w:i/>
          <w:iCs/>
        </w:rPr>
        <w:t>...</w:t>
      </w:r>
      <w:r w:rsidRPr="00D573C2">
        <w:rPr>
          <w:rFonts w:ascii="Times New Roman" w:hAnsi="Times New Roman" w:cs="Times New Roman"/>
          <w:i/>
          <w:iCs/>
        </w:rPr>
        <w:t>)</w:t>
      </w:r>
      <w:r w:rsidRPr="00D573C2">
        <w:rPr>
          <w:rFonts w:ascii="Times New Roman" w:hAnsi="Times New Roman" w:cs="Times New Roman"/>
        </w:rPr>
        <w:t>.”</w:t>
      </w:r>
    </w:p>
    <w:p w14:paraId="0CF3A8A7" w14:textId="79C1423A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D573C2">
        <w:rPr>
          <w:rFonts w:ascii="Times New Roman" w:hAnsi="Times New Roman" w:cs="Times New Roman"/>
          <w:i/>
          <w:iCs/>
        </w:rPr>
        <w:t xml:space="preserve">Em seguida, terceiros interessados interpuseram recurso de apelação cível contra a sentença homologatória, ocasião em que esta Câmara consignou [...] (processo </w:t>
      </w:r>
      <w:r>
        <w:rPr>
          <w:rFonts w:ascii="Times New Roman" w:hAnsi="Times New Roman" w:cs="Times New Roman"/>
          <w:i/>
          <w:iCs/>
        </w:rPr>
        <w:t>...</w:t>
      </w:r>
      <w:r w:rsidRPr="00D573C2">
        <w:rPr>
          <w:rFonts w:ascii="Times New Roman" w:hAnsi="Times New Roman" w:cs="Times New Roman"/>
          <w:i/>
          <w:iCs/>
        </w:rPr>
        <w:t>-)</w:t>
      </w:r>
      <w:r w:rsidRPr="00D573C2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 xml:space="preserve">Idêntico, inclusive quanto à referência ao processo 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/TJ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evento </w:t>
      </w:r>
      <w:r>
        <w:rPr>
          <w:rFonts w:ascii="Times New Roman" w:hAnsi="Times New Roman" w:cs="Times New Roman"/>
        </w:rPr>
        <w:t>...</w:t>
      </w:r>
    </w:p>
    <w:p w14:paraId="7A99B567" w14:textId="1B1BEE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lastRenderedPageBreak/>
        <w:t>Transcrição integral do acórdão da apelação, encerrada por: “</w:t>
      </w:r>
      <w:r w:rsidRPr="00D573C2">
        <w:rPr>
          <w:rFonts w:ascii="Times New Roman" w:hAnsi="Times New Roman" w:cs="Times New Roman"/>
          <w:i/>
          <w:iCs/>
        </w:rPr>
        <w:t xml:space="preserve">Frente ao exposto, voto no sentido de conhecer em parte do recurso e, </w:t>
      </w:r>
      <w:proofErr w:type="gramStart"/>
      <w:r w:rsidRPr="00D573C2">
        <w:rPr>
          <w:rFonts w:ascii="Times New Roman" w:hAnsi="Times New Roman" w:cs="Times New Roman"/>
          <w:i/>
          <w:iCs/>
        </w:rPr>
        <w:t>nesta, negar-lhe</w:t>
      </w:r>
      <w:proofErr w:type="gramEnd"/>
      <w:r w:rsidRPr="00D573C2">
        <w:rPr>
          <w:rFonts w:ascii="Times New Roman" w:hAnsi="Times New Roman" w:cs="Times New Roman"/>
          <w:i/>
          <w:iCs/>
        </w:rPr>
        <w:t xml:space="preserve"> provimento</w:t>
      </w:r>
      <w:r w:rsidRPr="00D573C2">
        <w:rPr>
          <w:rFonts w:ascii="Times New Roman" w:hAnsi="Times New Roman" w:cs="Times New Roman"/>
        </w:rPr>
        <w:t>.”</w:t>
      </w:r>
      <w:r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Idêntica</w:t>
      </w:r>
      <w:r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transcrição,</w:t>
      </w:r>
      <w:r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encerrada pelo mesmo comando: “</w:t>
      </w:r>
      <w:r w:rsidRPr="00D573C2">
        <w:rPr>
          <w:rFonts w:ascii="Times New Roman" w:hAnsi="Times New Roman" w:cs="Times New Roman"/>
          <w:i/>
          <w:iCs/>
        </w:rPr>
        <w:t xml:space="preserve">[...] e, </w:t>
      </w:r>
      <w:proofErr w:type="gramStart"/>
      <w:r w:rsidRPr="00D573C2">
        <w:rPr>
          <w:rFonts w:ascii="Times New Roman" w:hAnsi="Times New Roman" w:cs="Times New Roman"/>
          <w:i/>
          <w:iCs/>
        </w:rPr>
        <w:t>nesta, negar-lhe</w:t>
      </w:r>
      <w:proofErr w:type="gramEnd"/>
      <w:r w:rsidRPr="00D573C2">
        <w:rPr>
          <w:rFonts w:ascii="Times New Roman" w:hAnsi="Times New Roman" w:cs="Times New Roman"/>
          <w:i/>
          <w:iCs/>
        </w:rPr>
        <w:t xml:space="preserve"> provimento</w:t>
      </w:r>
      <w:r w:rsidRPr="00D573C2">
        <w:rPr>
          <w:rFonts w:ascii="Times New Roman" w:hAnsi="Times New Roman" w:cs="Times New Roman"/>
        </w:rPr>
        <w:t>.”</w:t>
      </w:r>
    </w:p>
    <w:p w14:paraId="75D12D18" w14:textId="44288910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D573C2">
        <w:rPr>
          <w:rFonts w:ascii="Times New Roman" w:hAnsi="Times New Roman" w:cs="Times New Roman"/>
          <w:i/>
          <w:iCs/>
        </w:rPr>
        <w:t xml:space="preserve">Entretanto, sobreveio sentença proferida em ação anulatória autônoma [...] (processo </w:t>
      </w:r>
      <w:r>
        <w:rPr>
          <w:rFonts w:ascii="Times New Roman" w:hAnsi="Times New Roman" w:cs="Times New Roman"/>
          <w:i/>
          <w:iCs/>
        </w:rPr>
        <w:t>...</w:t>
      </w:r>
      <w:r w:rsidRPr="00D573C2">
        <w:rPr>
          <w:rFonts w:ascii="Times New Roman" w:hAnsi="Times New Roman" w:cs="Times New Roman"/>
          <w:i/>
          <w:iCs/>
        </w:rPr>
        <w:t>), cujo desfecho restou mantido por esta Corte [...].</w:t>
      </w:r>
      <w:r w:rsidRPr="00D573C2">
        <w:rPr>
          <w:rFonts w:ascii="Times New Roman" w:hAnsi="Times New Roman" w:cs="Times New Roman"/>
        </w:rPr>
        <w:t>”</w:t>
      </w:r>
      <w:r w:rsidRPr="00D573C2">
        <w:rPr>
          <w:rFonts w:ascii="Times New Roman" w:hAnsi="Times New Roman" w:cs="Times New Roman"/>
        </w:rPr>
        <w:tab/>
        <w:t>Idêntico.</w:t>
      </w:r>
    </w:p>
    <w:p w14:paraId="74BBFB82" w14:textId="621F14C2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D573C2">
        <w:rPr>
          <w:rFonts w:ascii="Times New Roman" w:hAnsi="Times New Roman" w:cs="Times New Roman"/>
          <w:i/>
          <w:iCs/>
        </w:rPr>
        <w:t xml:space="preserve">Nesse cenário, uma vez reconhecida a inexistência jurídica da avença que embasou, de forma exclusiva, a extinção da ação de exigir contas, e determinada a recomposição do status quo ante, mostra-se suficientemente demonstrada a probabilidade do direito </w:t>
      </w:r>
      <w:proofErr w:type="spellStart"/>
      <w:r w:rsidRPr="00D573C2">
        <w:rPr>
          <w:rFonts w:ascii="Times New Roman" w:hAnsi="Times New Roman" w:cs="Times New Roman"/>
          <w:i/>
          <w:iCs/>
        </w:rPr>
        <w:t>alegado.”“Nesse</w:t>
      </w:r>
      <w:proofErr w:type="spellEnd"/>
      <w:r w:rsidRPr="00D573C2">
        <w:rPr>
          <w:rFonts w:ascii="Times New Roman" w:hAnsi="Times New Roman" w:cs="Times New Roman"/>
          <w:i/>
          <w:iCs/>
        </w:rPr>
        <w:t xml:space="preserve"> cenário, uma vez reconhecida a inexistência jurídica da avença que embasou, de forma exclusiva, a extinção da ação de exigir contas, e determinada a recomposição do status quo ante, impõe-se o desarquivamento dos autos, com o regular prosseguimento do feito na origem</w:t>
      </w:r>
      <w:r w:rsidRPr="00D573C2">
        <w:rPr>
          <w:rFonts w:ascii="Times New Roman" w:hAnsi="Times New Roman" w:cs="Times New Roman"/>
        </w:rPr>
        <w:t>.”</w:t>
      </w:r>
    </w:p>
    <w:p w14:paraId="6AACABED" w14:textId="1F5A6D7D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D573C2">
        <w:rPr>
          <w:rFonts w:ascii="Times New Roman" w:hAnsi="Times New Roman" w:cs="Times New Roman"/>
          <w:i/>
          <w:iCs/>
        </w:rPr>
        <w:t>Volvendo ao caso entendo, nessa análise perfunctória, que exsurge a probabilidade de provimento do recurso.”</w:t>
      </w:r>
      <w:r w:rsidRPr="00D573C2">
        <w:rPr>
          <w:rFonts w:ascii="Times New Roman" w:hAnsi="Times New Roman" w:cs="Times New Roman"/>
          <w:i/>
          <w:iCs/>
        </w:rPr>
        <w:t xml:space="preserve"> </w:t>
      </w:r>
      <w:r w:rsidRPr="00D573C2">
        <w:rPr>
          <w:rFonts w:ascii="Times New Roman" w:hAnsi="Times New Roman" w:cs="Times New Roman"/>
          <w:i/>
          <w:iCs/>
        </w:rPr>
        <w:t>“Volvendo ao caso entendo que exsurge a probabilidade de provimento do recurso</w:t>
      </w:r>
      <w:r w:rsidRPr="00D573C2">
        <w:rPr>
          <w:rFonts w:ascii="Times New Roman" w:hAnsi="Times New Roman" w:cs="Times New Roman"/>
        </w:rPr>
        <w:t>.”</w:t>
      </w:r>
    </w:p>
    <w:p w14:paraId="3C5049FE" w14:textId="7222265A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Como se vê, as únicas adaptações consistiram na troca dos números de eventos [</w:t>
      </w:r>
      <w:r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] e na substituição da frase final de cognição sumária [“</w:t>
      </w:r>
      <w:r w:rsidRPr="00D573C2">
        <w:rPr>
          <w:rFonts w:ascii="Times New Roman" w:hAnsi="Times New Roman" w:cs="Times New Roman"/>
          <w:i/>
          <w:iCs/>
        </w:rPr>
        <w:t>mostra-se suficientemente demonstrada a probabilidade do direito alegado</w:t>
      </w:r>
      <w:r w:rsidRPr="00D573C2">
        <w:rPr>
          <w:rFonts w:ascii="Times New Roman" w:hAnsi="Times New Roman" w:cs="Times New Roman"/>
        </w:rPr>
        <w:t>”] por um comando definitivo [“</w:t>
      </w:r>
      <w:r w:rsidRPr="00D573C2">
        <w:rPr>
          <w:rFonts w:ascii="Times New Roman" w:hAnsi="Times New Roman" w:cs="Times New Roman"/>
          <w:i/>
          <w:iCs/>
        </w:rPr>
        <w:t>impõe-se o desarquivamento dos autos</w:t>
      </w:r>
      <w:r w:rsidRPr="00D573C2">
        <w:rPr>
          <w:rFonts w:ascii="Times New Roman" w:hAnsi="Times New Roman" w:cs="Times New Roman"/>
        </w:rPr>
        <w:t>”]. Todo o restante — inclusive a transcrição de acórdão de apelação de outro processo, com o respectivo dispositivo de desprovimento — foi mantido.</w:t>
      </w:r>
    </w:p>
    <w:p w14:paraId="208E5BFD" w14:textId="139F8B80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A circunstância não é meramente formal. As duas ações de exigir contas, embora relacionadas ao mesmo instrumento de autocomposição, têm trajetórias processuais distintas: tramitam em juízos diversos [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ª e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ª Varas Cíveis]; foram extintas por sentenças homologatórias distintas [evento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de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nestes autos;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naqueles]; transitaram em julgado em datas diversas; e — o que é decisivo — a sentença da Ação Anulatória n.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fez referência exclusiva à homologação “em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” e afastou expressamente qualquer relação de prevenção, conexão ou continência com a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ª Vara Cível, juízo de origem deste agravo.</w:t>
      </w:r>
    </w:p>
    <w:p w14:paraId="10F17EE9" w14:textId="6AB776A1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Fundamentação concebida para outro caso, sem exame das peculiaridades do caso concreto e das teses nele deduzidas, é precisamente aquela que “</w:t>
      </w:r>
      <w:r w:rsidRPr="000D324A">
        <w:rPr>
          <w:rFonts w:ascii="Times New Roman" w:hAnsi="Times New Roman" w:cs="Times New Roman"/>
          <w:i/>
          <w:iCs/>
        </w:rPr>
        <w:t>se prestaria a justificar qualquer outra decisão</w:t>
      </w:r>
      <w:r w:rsidRPr="00D573C2">
        <w:rPr>
          <w:rFonts w:ascii="Times New Roman" w:hAnsi="Times New Roman" w:cs="Times New Roman"/>
        </w:rPr>
        <w:t xml:space="preserve">” [art. 489, §1º, III, CPC], e não satisfaz o dever constitucional e legal de motivação [art. 93, IX, CF; art. 11, CPC]. A técnica da fundamentação </w:t>
      </w:r>
      <w:r w:rsidRPr="000D324A">
        <w:rPr>
          <w:rFonts w:ascii="Times New Roman" w:hAnsi="Times New Roman" w:cs="Times New Roman"/>
          <w:i/>
          <w:iCs/>
        </w:rPr>
        <w:t xml:space="preserve">per </w:t>
      </w:r>
      <w:proofErr w:type="spellStart"/>
      <w:r w:rsidRPr="000D324A">
        <w:rPr>
          <w:rFonts w:ascii="Times New Roman" w:hAnsi="Times New Roman" w:cs="Times New Roman"/>
          <w:i/>
          <w:iCs/>
        </w:rPr>
        <w:t>relationem</w:t>
      </w:r>
      <w:proofErr w:type="spellEnd"/>
      <w:r w:rsidRPr="00D573C2">
        <w:rPr>
          <w:rFonts w:ascii="Times New Roman" w:hAnsi="Times New Roman" w:cs="Times New Roman"/>
        </w:rPr>
        <w:t xml:space="preserve">, que se admite quando o julgador </w:t>
      </w:r>
      <w:proofErr w:type="gramStart"/>
      <w:r w:rsidRPr="00D573C2">
        <w:rPr>
          <w:rFonts w:ascii="Times New Roman" w:hAnsi="Times New Roman" w:cs="Times New Roman"/>
        </w:rPr>
        <w:t>reporta-se</w:t>
      </w:r>
      <w:proofErr w:type="gramEnd"/>
      <w:r w:rsidRPr="00D573C2">
        <w:rPr>
          <w:rFonts w:ascii="Times New Roman" w:hAnsi="Times New Roman" w:cs="Times New Roman"/>
        </w:rPr>
        <w:t xml:space="preserve"> a peças ou decisões do mesmo processo e agrega fundamentos próprios suficientes, não alcança a transposição de decisão proferida em feito diverso, sem qualquer enfrentamento das razões da parte adversa.</w:t>
      </w:r>
    </w:p>
    <w:p w14:paraId="1B9E768E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Os vícios específicos que daí decorrem são a seguir individualizados.</w:t>
      </w:r>
    </w:p>
    <w:p w14:paraId="40DB79C8" w14:textId="1B4EE31F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III – DAS CONTRADIÇÕES [ART. 1.022, I, CPC]</w:t>
      </w:r>
    </w:p>
    <w:p w14:paraId="3EDBB4B0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III.1 – Dois dispositivos inconciliáveis no mesmo voto</w:t>
      </w:r>
    </w:p>
    <w:p w14:paraId="26642009" w14:textId="22D58D4D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lastRenderedPageBreak/>
        <w:t xml:space="preserve">Ao transcrever o acórdão da apelação proferido nos autos n.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o voto conservou, em seu corpo, o seguinte comando: “</w:t>
      </w:r>
      <w:r w:rsidRPr="000D324A">
        <w:rPr>
          <w:rFonts w:ascii="Times New Roman" w:hAnsi="Times New Roman" w:cs="Times New Roman"/>
          <w:i/>
          <w:iCs/>
        </w:rPr>
        <w:t xml:space="preserve">Frente ao exposto, voto no sentido de conhecer em parte do recurso e, </w:t>
      </w:r>
      <w:proofErr w:type="gramStart"/>
      <w:r w:rsidRPr="000D324A">
        <w:rPr>
          <w:rFonts w:ascii="Times New Roman" w:hAnsi="Times New Roman" w:cs="Times New Roman"/>
          <w:i/>
          <w:iCs/>
        </w:rPr>
        <w:t>nesta, negar-lhe</w:t>
      </w:r>
      <w:proofErr w:type="gramEnd"/>
      <w:r w:rsidRPr="000D324A">
        <w:rPr>
          <w:rFonts w:ascii="Times New Roman" w:hAnsi="Times New Roman" w:cs="Times New Roman"/>
          <w:i/>
          <w:iCs/>
        </w:rPr>
        <w:t xml:space="preserve"> provimento</w:t>
      </w:r>
      <w:r w:rsidRPr="00D573C2">
        <w:rPr>
          <w:rFonts w:ascii="Times New Roman" w:hAnsi="Times New Roman" w:cs="Times New Roman"/>
        </w:rPr>
        <w:t>.”</w:t>
      </w:r>
    </w:p>
    <w:p w14:paraId="76B31CC3" w14:textId="759A7ED6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Poucas linhas adiante, o mesmo voto conclui: “</w:t>
      </w:r>
      <w:r w:rsidRPr="000D324A">
        <w:rPr>
          <w:rFonts w:ascii="Times New Roman" w:hAnsi="Times New Roman" w:cs="Times New Roman"/>
          <w:i/>
          <w:iCs/>
        </w:rPr>
        <w:t>voto no sentido de conhecer do recurso de agravo de instrumento e dar-lhe provimento</w:t>
      </w:r>
      <w:r w:rsidRPr="00D573C2">
        <w:rPr>
          <w:rFonts w:ascii="Times New Roman" w:hAnsi="Times New Roman" w:cs="Times New Roman"/>
        </w:rPr>
        <w:t>”. Coexistem, assim, no mesmo pronunciamento, uma conclusão de desprovimento e outra de provimento. A contradição é intrínseca ao julgado e, por si só, exige saneamento.</w:t>
      </w:r>
    </w:p>
    <w:p w14:paraId="50635010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 xml:space="preserve">III.2 – Premissa de intangibilidade da coisa julgada </w:t>
      </w:r>
      <w:r w:rsidRPr="000D324A">
        <w:rPr>
          <w:rFonts w:ascii="Times New Roman" w:hAnsi="Times New Roman" w:cs="Times New Roman"/>
          <w:b/>
          <w:bCs/>
          <w:i/>
          <w:iCs/>
        </w:rPr>
        <w:t>versus</w:t>
      </w:r>
      <w:r w:rsidRPr="000D324A">
        <w:rPr>
          <w:rFonts w:ascii="Times New Roman" w:hAnsi="Times New Roman" w:cs="Times New Roman"/>
          <w:b/>
          <w:bCs/>
        </w:rPr>
        <w:t xml:space="preserve"> reabertura por simples petição</w:t>
      </w:r>
    </w:p>
    <w:p w14:paraId="0D034CF5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próprio voto adota, como premissa, a lição transcrita de que:</w:t>
      </w:r>
    </w:p>
    <w:p w14:paraId="52AC0FFF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proofErr w:type="spellStart"/>
      <w:r w:rsidRPr="000D324A">
        <w:rPr>
          <w:rFonts w:ascii="Times New Roman" w:hAnsi="Times New Roman" w:cs="Times New Roman"/>
          <w:i/>
          <w:iCs/>
        </w:rPr>
        <w:t>é</w:t>
      </w:r>
      <w:proofErr w:type="spellEnd"/>
      <w:r w:rsidRPr="000D324A">
        <w:rPr>
          <w:rFonts w:ascii="Times New Roman" w:hAnsi="Times New Roman" w:cs="Times New Roman"/>
          <w:i/>
          <w:iCs/>
        </w:rPr>
        <w:t xml:space="preserve"> cediço que o acordo homologado por decisão judicial faz coisa julgada, não só formal, como também material, de modo que somente pode ser desconstituída pela via judicial apropriada</w:t>
      </w:r>
      <w:r w:rsidRPr="00D573C2">
        <w:rPr>
          <w:rFonts w:ascii="Times New Roman" w:hAnsi="Times New Roman" w:cs="Times New Roman"/>
        </w:rPr>
        <w:t>.”</w:t>
      </w:r>
    </w:p>
    <w:p w14:paraId="16D63DC2" w14:textId="4300DCF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E invoca precedentes do Superior Tribunal de Justiça segundo os quais “</w:t>
      </w:r>
      <w:r w:rsidRPr="000D324A">
        <w:rPr>
          <w:rFonts w:ascii="Times New Roman" w:hAnsi="Times New Roman" w:cs="Times New Roman"/>
          <w:i/>
          <w:iCs/>
        </w:rPr>
        <w:t>o meio adequado para desconstituir acordo homologado judicialmente é ação anulatória</w:t>
      </w:r>
      <w:r w:rsidRPr="00D573C2">
        <w:rPr>
          <w:rFonts w:ascii="Times New Roman" w:hAnsi="Times New Roman" w:cs="Times New Roman"/>
        </w:rPr>
        <w:t>” [</w:t>
      </w:r>
      <w:proofErr w:type="spellStart"/>
      <w:r w:rsidRPr="00D573C2">
        <w:rPr>
          <w:rFonts w:ascii="Times New Roman" w:hAnsi="Times New Roman" w:cs="Times New Roman"/>
        </w:rPr>
        <w:t>AgRg</w:t>
      </w:r>
      <w:proofErr w:type="spellEnd"/>
      <w:r w:rsidRPr="00D573C2">
        <w:rPr>
          <w:rFonts w:ascii="Times New Roman" w:hAnsi="Times New Roman" w:cs="Times New Roman"/>
        </w:rPr>
        <w:t xml:space="preserve"> no </w:t>
      </w:r>
      <w:proofErr w:type="spellStart"/>
      <w:r w:rsidRPr="00D573C2">
        <w:rPr>
          <w:rFonts w:ascii="Times New Roman" w:hAnsi="Times New Roman" w:cs="Times New Roman"/>
        </w:rPr>
        <w:t>AREsp</w:t>
      </w:r>
      <w:proofErr w:type="spellEnd"/>
      <w:r w:rsidRPr="00D573C2">
        <w:rPr>
          <w:rFonts w:ascii="Times New Roman" w:hAnsi="Times New Roman" w:cs="Times New Roman"/>
        </w:rPr>
        <w:t xml:space="preserve"> n. 505.804/SC, Rel. Min. João Otávio de Noronha] e “</w:t>
      </w:r>
      <w:r w:rsidRPr="000D324A">
        <w:rPr>
          <w:rFonts w:ascii="Times New Roman" w:hAnsi="Times New Roman" w:cs="Times New Roman"/>
          <w:i/>
          <w:iCs/>
        </w:rPr>
        <w:t>a ação anulatória [...] é sede própria para a discussão a respeito dos vícios na transação homologada judicialmente</w:t>
      </w:r>
      <w:r w:rsidRPr="00D573C2">
        <w:rPr>
          <w:rFonts w:ascii="Times New Roman" w:hAnsi="Times New Roman" w:cs="Times New Roman"/>
        </w:rPr>
        <w:t>” [</w:t>
      </w:r>
      <w:proofErr w:type="spellStart"/>
      <w:r w:rsidRPr="00D573C2">
        <w:rPr>
          <w:rFonts w:ascii="Times New Roman" w:hAnsi="Times New Roman" w:cs="Times New Roman"/>
        </w:rPr>
        <w:t>AgRg</w:t>
      </w:r>
      <w:proofErr w:type="spellEnd"/>
      <w:r w:rsidRPr="00D573C2">
        <w:rPr>
          <w:rFonts w:ascii="Times New Roman" w:hAnsi="Times New Roman" w:cs="Times New Roman"/>
        </w:rPr>
        <w:t xml:space="preserve"> no REsp n. 915.705/SP, Rel. Min. </w:t>
      </w:r>
      <w:proofErr w:type="spellStart"/>
      <w:r w:rsidRPr="00D573C2">
        <w:rPr>
          <w:rFonts w:ascii="Times New Roman" w:hAnsi="Times New Roman" w:cs="Times New Roman"/>
        </w:rPr>
        <w:t>Luis</w:t>
      </w:r>
      <w:proofErr w:type="spellEnd"/>
      <w:r w:rsidRPr="00D573C2">
        <w:rPr>
          <w:rFonts w:ascii="Times New Roman" w:hAnsi="Times New Roman" w:cs="Times New Roman"/>
        </w:rPr>
        <w:t xml:space="preserve"> Felipe Salomão].</w:t>
      </w:r>
    </w:p>
    <w:p w14:paraId="48B579FE" w14:textId="1329C813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A conclusão, porém, caminha em sentido diametralmente oposto: reconhece-se a possibilidade de reabrir processo extinto com resolução de mérito, transitado em julgado e arquivado, por simples petição de desarquivamento, sem que a sentença homologatória do evento 424 tenha sido desconstituída por qualquer “</w:t>
      </w:r>
      <w:r w:rsidRPr="000D324A">
        <w:rPr>
          <w:rFonts w:ascii="Times New Roman" w:hAnsi="Times New Roman" w:cs="Times New Roman"/>
          <w:i/>
          <w:iCs/>
        </w:rPr>
        <w:t>via judicial apropriada</w:t>
      </w:r>
      <w:r w:rsidRPr="00D573C2">
        <w:rPr>
          <w:rFonts w:ascii="Times New Roman" w:hAnsi="Times New Roman" w:cs="Times New Roman"/>
        </w:rPr>
        <w:t>”. A premissa afirma a necessidade de via própria; a conclusão a dispensa. Eis a contradição.</w:t>
      </w:r>
    </w:p>
    <w:p w14:paraId="7515EDDF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III.3 – Juízo de “</w:t>
      </w:r>
      <w:r w:rsidRPr="000D324A">
        <w:rPr>
          <w:rFonts w:ascii="Times New Roman" w:hAnsi="Times New Roman" w:cs="Times New Roman"/>
          <w:b/>
          <w:bCs/>
          <w:i/>
          <w:iCs/>
        </w:rPr>
        <w:t>probabilidade</w:t>
      </w:r>
      <w:r w:rsidRPr="000D324A">
        <w:rPr>
          <w:rFonts w:ascii="Times New Roman" w:hAnsi="Times New Roman" w:cs="Times New Roman"/>
          <w:b/>
          <w:bCs/>
        </w:rPr>
        <w:t>” em julgamento de mérito</w:t>
      </w:r>
    </w:p>
    <w:p w14:paraId="655373BA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voto afirma: “</w:t>
      </w:r>
      <w:r w:rsidRPr="000D324A">
        <w:rPr>
          <w:rFonts w:ascii="Times New Roman" w:hAnsi="Times New Roman" w:cs="Times New Roman"/>
          <w:i/>
          <w:iCs/>
        </w:rPr>
        <w:t>Volvendo ao caso entendo que exsurge a probabilidade de provimento do recurso</w:t>
      </w:r>
      <w:r w:rsidRPr="00D573C2">
        <w:rPr>
          <w:rFonts w:ascii="Times New Roman" w:hAnsi="Times New Roman" w:cs="Times New Roman"/>
        </w:rPr>
        <w:t>”. Trata-se, literalmente, do standard da tutela provisória [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300, 995, parágrafo único, e 1.019, I, CPC], herdado da decisão liminar reproduzida, e não do juízo de certeza próprio do julgamento colegiado de mérito.</w:t>
      </w:r>
    </w:p>
    <w:p w14:paraId="4D8BA02E" w14:textId="5BE254B1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A contradição entre a natureza do julgamento [definitivo] e o critério declarado [probabilidade] não é irrelevante: dela depende, inclusive, a delimitação da via recursal, dada a orientação consolidada no sentido do descabimento de recurso excepcional contra acórdão que aprecia tutela provisória [Súmula 735/STF, aplicada por analogia pelo Superior Tribunal de Justiça]. Impõe-se, pois, que es</w:t>
      </w:r>
      <w:r w:rsidR="000D324A">
        <w:rPr>
          <w:rFonts w:ascii="Times New Roman" w:hAnsi="Times New Roman" w:cs="Times New Roman"/>
        </w:rPr>
        <w:t>s</w:t>
      </w:r>
      <w:r w:rsidRPr="00D573C2">
        <w:rPr>
          <w:rFonts w:ascii="Times New Roman" w:hAnsi="Times New Roman" w:cs="Times New Roman"/>
        </w:rPr>
        <w:t>a Colenda Câmara declare expressamente que o v. acórdão encerra juízo exauriente e definitivo sobre a questão posta no agravo.</w:t>
      </w:r>
    </w:p>
    <w:p w14:paraId="362045F5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III.4 – Cronologia impossível</w:t>
      </w:r>
    </w:p>
    <w:p w14:paraId="0F289BA1" w14:textId="71E95469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voto afirma que o processo de origem foi extinto, sobrevindo “</w:t>
      </w:r>
      <w:r w:rsidRPr="000D324A">
        <w:rPr>
          <w:rFonts w:ascii="Times New Roman" w:hAnsi="Times New Roman" w:cs="Times New Roman"/>
          <w:i/>
          <w:iCs/>
        </w:rPr>
        <w:t xml:space="preserve">o respectivo trânsito em julgado e posterior arquivamento do feito (evento </w:t>
      </w:r>
      <w:r w:rsidR="000D324A" w:rsidRP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>)</w:t>
      </w:r>
      <w:r w:rsidRPr="00D573C2">
        <w:rPr>
          <w:rFonts w:ascii="Times New Roman" w:hAnsi="Times New Roman" w:cs="Times New Roman"/>
        </w:rPr>
        <w:t>”, e que, “</w:t>
      </w:r>
      <w:r w:rsidRPr="000D324A">
        <w:rPr>
          <w:rFonts w:ascii="Times New Roman" w:hAnsi="Times New Roman" w:cs="Times New Roman"/>
          <w:i/>
          <w:iCs/>
        </w:rPr>
        <w:t>em seguida, terceiros interessados interpuseram recurso de apelação cível contra a sentença homologatória</w:t>
      </w:r>
      <w:r w:rsidRPr="00D573C2">
        <w:rPr>
          <w:rFonts w:ascii="Times New Roman" w:hAnsi="Times New Roman" w:cs="Times New Roman"/>
        </w:rPr>
        <w:t xml:space="preserve">”. Apelação interposta depois do trânsito em julgado e do arquivamento é cronológica e juridicamente impossível. </w:t>
      </w:r>
    </w:p>
    <w:p w14:paraId="3BC86D43" w14:textId="406BEDE5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lastRenderedPageBreak/>
        <w:t xml:space="preserve">Permissa vênia, a incongruência decorre, precisamente, de que a apelação referida foi interposta em outro processo [autos n.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], cuja cronologia não guarda correspondência com a destes autos.</w:t>
      </w:r>
    </w:p>
    <w:p w14:paraId="13147397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III.5 – Ementa que contém fundamento ausente do voto</w:t>
      </w:r>
    </w:p>
    <w:p w14:paraId="1972D9FD" w14:textId="079231E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A ementa enuncia: “</w:t>
      </w:r>
      <w:r w:rsidRPr="000D324A">
        <w:rPr>
          <w:rFonts w:ascii="Times New Roman" w:hAnsi="Times New Roman" w:cs="Times New Roman"/>
          <w:i/>
          <w:iCs/>
        </w:rPr>
        <w:t>DESCONSTITUIÇÃO DO NEGÓCIO JURÍDICO QUE AFASTA O SUPORTE FÁTICO E JURÍDICO DA SENTENÇA HOMOLOGATÓRIA E IMPÕE O RESTABELECIMENTO DA SITUAÇÃO PROCESSUAL ANTERIOR</w:t>
      </w:r>
      <w:r w:rsidRPr="00D573C2">
        <w:rPr>
          <w:rFonts w:ascii="Times New Roman" w:hAnsi="Times New Roman" w:cs="Times New Roman"/>
        </w:rPr>
        <w:t>”. O voto, entretanto, não contém fundamentação alguma acerca do suposto “</w:t>
      </w:r>
      <w:r w:rsidRPr="000D324A">
        <w:rPr>
          <w:rFonts w:ascii="Times New Roman" w:hAnsi="Times New Roman" w:cs="Times New Roman"/>
          <w:i/>
          <w:iCs/>
        </w:rPr>
        <w:t>afastamento do suporte</w:t>
      </w:r>
      <w:r w:rsidRPr="00D573C2">
        <w:rPr>
          <w:rFonts w:ascii="Times New Roman" w:hAnsi="Times New Roman" w:cs="Times New Roman"/>
        </w:rPr>
        <w:t>” da sentença homologatória, nem do fundamento normativo que autorizaria o “</w:t>
      </w:r>
      <w:r w:rsidRPr="000D324A">
        <w:rPr>
          <w:rFonts w:ascii="Times New Roman" w:hAnsi="Times New Roman" w:cs="Times New Roman"/>
          <w:i/>
          <w:iCs/>
        </w:rPr>
        <w:t>restabelecimento da situação processual anterior</w:t>
      </w:r>
      <w:r w:rsidRPr="00D573C2">
        <w:rPr>
          <w:rFonts w:ascii="Times New Roman" w:hAnsi="Times New Roman" w:cs="Times New Roman"/>
        </w:rPr>
        <w:t>”. A ementa, que deve espelhar o julgado [art. 943, §1º, CPC], afirma o que o voto não fundamenta, e contradiz a premissa transcrita no item III.2.</w:t>
      </w:r>
    </w:p>
    <w:p w14:paraId="2EC05406" w14:textId="0E9117E1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IV – DOS ERROS MATERIAIS E DAS PREMISSAS FÁTICAS EQUIVOCADAS [ART. 1.022, III, CPC]</w:t>
      </w:r>
    </w:p>
    <w:p w14:paraId="23642C91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IV.1 – Referência a processo alheio</w:t>
      </w:r>
    </w:p>
    <w:p w14:paraId="550E8DF7" w14:textId="07937284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O v. acórdão fundamenta-se em acórdão de apelação proferido nos autos n.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[evento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], tratando-o como se tivesse sido proferido nos autos de origem deste agravo. A apelação de terceiros interessados ali julgada — interposta por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e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contra a sentença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daqueles autos — não diz respeito à sentença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destes autos. O erro material deve ser corrigido, com a consequente reavaliação das conclusões que nele se apoiam.</w:t>
      </w:r>
    </w:p>
    <w:p w14:paraId="2017683C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IV.2 – “</w:t>
      </w:r>
      <w:r w:rsidRPr="000D324A">
        <w:rPr>
          <w:rFonts w:ascii="Times New Roman" w:hAnsi="Times New Roman" w:cs="Times New Roman"/>
          <w:b/>
          <w:bCs/>
          <w:i/>
          <w:iCs/>
        </w:rPr>
        <w:t>Inexistência jurídica</w:t>
      </w:r>
      <w:r w:rsidRPr="000D324A">
        <w:rPr>
          <w:rFonts w:ascii="Times New Roman" w:hAnsi="Times New Roman" w:cs="Times New Roman"/>
          <w:b/>
          <w:bCs/>
        </w:rPr>
        <w:t>” onde houve decreto de nulidade</w:t>
      </w:r>
    </w:p>
    <w:p w14:paraId="3D068749" w14:textId="71F71F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fundamento decisivo do voto é o de que teria sido “</w:t>
      </w:r>
      <w:r w:rsidRPr="000D324A">
        <w:rPr>
          <w:rFonts w:ascii="Times New Roman" w:hAnsi="Times New Roman" w:cs="Times New Roman"/>
          <w:i/>
          <w:iCs/>
        </w:rPr>
        <w:t>reconhecida a inexistência jurídica da avença</w:t>
      </w:r>
      <w:r w:rsidRPr="00D573C2">
        <w:rPr>
          <w:rFonts w:ascii="Times New Roman" w:hAnsi="Times New Roman" w:cs="Times New Roman"/>
        </w:rPr>
        <w:t xml:space="preserve">”. A premissa é equivocada. A sentença da Ação Anulatória n.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decretou a nulidade do “</w:t>
      </w:r>
      <w:r w:rsidRPr="000D324A">
        <w:rPr>
          <w:rFonts w:ascii="Times New Roman" w:hAnsi="Times New Roman" w:cs="Times New Roman"/>
          <w:i/>
          <w:iCs/>
        </w:rPr>
        <w:t>Instrumento de Autocomposição Extrajudicial de Conflitos ‘Sub Judice’</w:t>
      </w:r>
      <w:r w:rsidRPr="00D573C2">
        <w:rPr>
          <w:rFonts w:ascii="Times New Roman" w:hAnsi="Times New Roman" w:cs="Times New Roman"/>
        </w:rPr>
        <w:t xml:space="preserve">”, com efeitos </w:t>
      </w:r>
      <w:proofErr w:type="spellStart"/>
      <w:r w:rsidRPr="000D324A">
        <w:rPr>
          <w:rFonts w:ascii="Times New Roman" w:hAnsi="Times New Roman" w:cs="Times New Roman"/>
          <w:i/>
          <w:iCs/>
        </w:rPr>
        <w:t>ex</w:t>
      </w:r>
      <w:proofErr w:type="spellEnd"/>
      <w:r w:rsidRPr="000D324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D324A">
        <w:rPr>
          <w:rFonts w:ascii="Times New Roman" w:hAnsi="Times New Roman" w:cs="Times New Roman"/>
          <w:i/>
          <w:iCs/>
        </w:rPr>
        <w:t>tunc</w:t>
      </w:r>
      <w:proofErr w:type="spellEnd"/>
      <w:r w:rsidRPr="00D573C2">
        <w:rPr>
          <w:rFonts w:ascii="Times New Roman" w:hAnsi="Times New Roman" w:cs="Times New Roman"/>
        </w:rPr>
        <w:t xml:space="preserve"> </w:t>
      </w:r>
      <w:proofErr w:type="spellStart"/>
      <w:r w:rsidRPr="00D573C2">
        <w:rPr>
          <w:rFonts w:ascii="Times New Roman" w:hAnsi="Times New Roman" w:cs="Times New Roman"/>
        </w:rPr>
        <w:t>fundados</w:t>
      </w:r>
      <w:proofErr w:type="spellEnd"/>
      <w:r w:rsidRPr="00D573C2">
        <w:rPr>
          <w:rFonts w:ascii="Times New Roman" w:hAnsi="Times New Roman" w:cs="Times New Roman"/>
        </w:rPr>
        <w:t xml:space="preserve"> no art. 182 do Código Civil. Não declarou sua inexistência.</w:t>
      </w:r>
    </w:p>
    <w:p w14:paraId="3E80CBEB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A distinção entre os planos da existência, da validade e da eficácia do negócio jurídico é elementar e, aqui, determinante. A noção de “</w:t>
      </w:r>
      <w:r w:rsidRPr="000D324A">
        <w:rPr>
          <w:rFonts w:ascii="Times New Roman" w:hAnsi="Times New Roman" w:cs="Times New Roman"/>
          <w:i/>
          <w:iCs/>
        </w:rPr>
        <w:t>inexistência</w:t>
      </w:r>
      <w:r w:rsidRPr="00D573C2">
        <w:rPr>
          <w:rFonts w:ascii="Times New Roman" w:hAnsi="Times New Roman" w:cs="Times New Roman"/>
        </w:rPr>
        <w:t xml:space="preserve">” é a que, em tese, autorizaria desconsiderar o ato sem necessidade de desconstituição, à semelhança da </w:t>
      </w:r>
      <w:r w:rsidRPr="000D324A">
        <w:rPr>
          <w:rFonts w:ascii="Times New Roman" w:hAnsi="Times New Roman" w:cs="Times New Roman"/>
          <w:i/>
          <w:iCs/>
        </w:rPr>
        <w:t xml:space="preserve">querela </w:t>
      </w:r>
      <w:proofErr w:type="spellStart"/>
      <w:r w:rsidRPr="000D324A">
        <w:rPr>
          <w:rFonts w:ascii="Times New Roman" w:hAnsi="Times New Roman" w:cs="Times New Roman"/>
          <w:i/>
          <w:iCs/>
        </w:rPr>
        <w:t>nullitatis</w:t>
      </w:r>
      <w:proofErr w:type="spellEnd"/>
      <w:r w:rsidRPr="00D573C2">
        <w:rPr>
          <w:rFonts w:ascii="Times New Roman" w:hAnsi="Times New Roman" w:cs="Times New Roman"/>
        </w:rPr>
        <w:t xml:space="preserve">, restrita, como se sabe, a vícios </w:t>
      </w:r>
      <w:proofErr w:type="spellStart"/>
      <w:r w:rsidRPr="00D573C2">
        <w:rPr>
          <w:rFonts w:ascii="Times New Roman" w:hAnsi="Times New Roman" w:cs="Times New Roman"/>
        </w:rPr>
        <w:t>transrescisórios</w:t>
      </w:r>
      <w:proofErr w:type="spellEnd"/>
      <w:r w:rsidRPr="00D573C2">
        <w:rPr>
          <w:rFonts w:ascii="Times New Roman" w:hAnsi="Times New Roman" w:cs="Times New Roman"/>
        </w:rPr>
        <w:t>. A nulidade do negócio subjacente, ao revés, não torna inexistente a sentença homologatória, que é ato estatal existente, válido e eficaz até que seja desconstituído pela via própria, perante o órgão competente. Corrigida a premissa, desaparece o fundamento que levou o v. acórdão a dispensar qualquer via de desconstituição.</w:t>
      </w:r>
    </w:p>
    <w:p w14:paraId="40A5CCEC" w14:textId="34CAD0E8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 xml:space="preserve">IV.3 – A sentença anulatória não teve por objeto a sentença homologatória do evento </w:t>
      </w:r>
      <w:r w:rsidR="000D324A">
        <w:rPr>
          <w:rFonts w:ascii="Times New Roman" w:hAnsi="Times New Roman" w:cs="Times New Roman"/>
          <w:b/>
          <w:bCs/>
        </w:rPr>
        <w:t>...</w:t>
      </w:r>
    </w:p>
    <w:p w14:paraId="33B3622F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v. acórdão afirma, na ementa, que na ação anulatória “</w:t>
      </w:r>
      <w:r w:rsidRPr="000D324A">
        <w:rPr>
          <w:rFonts w:ascii="Times New Roman" w:hAnsi="Times New Roman" w:cs="Times New Roman"/>
          <w:i/>
          <w:iCs/>
        </w:rPr>
        <w:t>foi declarada a nulidade do acordo que havia sido homologado nos autos originários</w:t>
      </w:r>
      <w:r w:rsidRPr="00D573C2">
        <w:rPr>
          <w:rFonts w:ascii="Times New Roman" w:hAnsi="Times New Roman" w:cs="Times New Roman"/>
        </w:rPr>
        <w:t>” e, no voto, que a avença “</w:t>
      </w:r>
      <w:r w:rsidRPr="000D324A">
        <w:rPr>
          <w:rFonts w:ascii="Times New Roman" w:hAnsi="Times New Roman" w:cs="Times New Roman"/>
          <w:i/>
          <w:iCs/>
        </w:rPr>
        <w:t>embasou, de forma exclusiva, a extinção da ação de exigir contas</w:t>
      </w:r>
      <w:r w:rsidRPr="00D573C2">
        <w:rPr>
          <w:rFonts w:ascii="Times New Roman" w:hAnsi="Times New Roman" w:cs="Times New Roman"/>
        </w:rPr>
        <w:t>”. Também aqui há premissa fática equivocada quanto ao objeto da ação anulatória. Ao relatar os fatos, a sentença anulatória consignou:</w:t>
      </w:r>
    </w:p>
    <w:p w14:paraId="03CA86DC" w14:textId="20AB4688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0D324A">
        <w:rPr>
          <w:rFonts w:ascii="Times New Roman" w:hAnsi="Times New Roman" w:cs="Times New Roman"/>
          <w:i/>
          <w:iCs/>
        </w:rPr>
        <w:t>[...]</w:t>
      </w:r>
      <w:r w:rsidRPr="00D573C2">
        <w:rPr>
          <w:rFonts w:ascii="Times New Roman" w:hAnsi="Times New Roman" w:cs="Times New Roman"/>
        </w:rPr>
        <w:t xml:space="preserve"> </w:t>
      </w:r>
      <w:r w:rsidRPr="000D324A">
        <w:rPr>
          <w:rFonts w:ascii="Times New Roman" w:hAnsi="Times New Roman" w:cs="Times New Roman"/>
          <w:i/>
          <w:iCs/>
        </w:rPr>
        <w:t xml:space="preserve">com a homologação e extinção do feito em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 xml:space="preserve"> (evento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>) [...].</w:t>
      </w:r>
      <w:r w:rsidRPr="00D573C2">
        <w:rPr>
          <w:rFonts w:ascii="Times New Roman" w:hAnsi="Times New Roman" w:cs="Times New Roman"/>
        </w:rPr>
        <w:t>”</w:t>
      </w:r>
    </w:p>
    <w:p w14:paraId="328F3EDA" w14:textId="55299CB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lastRenderedPageBreak/>
        <w:t xml:space="preserve">A data corresponde à sentença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dos autos n.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— e não à sentença do evento</w:t>
      </w:r>
      <w:proofErr w:type="gramStart"/>
      <w:r w:rsidRPr="00D573C2">
        <w:rPr>
          <w:rFonts w:ascii="Times New Roman" w:hAnsi="Times New Roman" w:cs="Times New Roman"/>
        </w:rPr>
        <w:t xml:space="preserve"> </w:t>
      </w:r>
      <w:r w:rsidR="000D324A">
        <w:rPr>
          <w:rFonts w:ascii="Times New Roman" w:hAnsi="Times New Roman" w:cs="Times New Roman"/>
        </w:rPr>
        <w:t>..</w:t>
      </w:r>
      <w:proofErr w:type="gramEnd"/>
      <w:r w:rsidRPr="00D573C2">
        <w:rPr>
          <w:rFonts w:ascii="Times New Roman" w:hAnsi="Times New Roman" w:cs="Times New Roman"/>
        </w:rPr>
        <w:t xml:space="preserve">destes autos, proferida em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. E, ao rejeitar a preliminar suscitada pelo próprio Agravante, a mesma sentença foi categórica:</w:t>
      </w:r>
    </w:p>
    <w:p w14:paraId="6FE11D78" w14:textId="155DD074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0D324A">
        <w:rPr>
          <w:rFonts w:ascii="Times New Roman" w:hAnsi="Times New Roman" w:cs="Times New Roman"/>
          <w:i/>
          <w:iCs/>
        </w:rPr>
        <w:t xml:space="preserve">Apesar dos argumentos apresentados pelo requerido, não vislumbro as hipóteses de prevenção, conexão ou continência com a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>ª Vara Cível desta Comarca [...].</w:t>
      </w:r>
      <w:r w:rsidRPr="00D573C2">
        <w:rPr>
          <w:rFonts w:ascii="Times New Roman" w:hAnsi="Times New Roman" w:cs="Times New Roman"/>
        </w:rPr>
        <w:t>”</w:t>
      </w:r>
      <w:r w:rsidR="000D324A"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 xml:space="preserve">[Ação Anulatória n.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ª Vara Cível de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– juntada no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destes autos]</w:t>
      </w:r>
    </w:p>
    <w:p w14:paraId="374B2C4F" w14:textId="6882D1CE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A sentença homologatória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não foi objeto do pedido, nem da fundamentação, nem do dispositivo da ação anulatória. Partir da premissa contrária, como fez o v. acórdão, é incorrer em erro de fato que, corrigido, conduz necessariamente a resultado diverso. A atribuição de efeitos infringentes, nessas hipóteses, é admitida pela jurisprudência do Superior Tribunal de Justiça, segundo a qual “</w:t>
      </w:r>
      <w:r w:rsidRPr="000D324A">
        <w:rPr>
          <w:rFonts w:ascii="Times New Roman" w:hAnsi="Times New Roman" w:cs="Times New Roman"/>
          <w:i/>
          <w:iCs/>
        </w:rPr>
        <w:t>a atribuição de efeitos infringentes aos embargos de declaração é possível, em hipóteses excepcionais, para corrigir premissa equivocada no julgamento</w:t>
      </w:r>
      <w:r w:rsidRPr="00D573C2">
        <w:rPr>
          <w:rFonts w:ascii="Times New Roman" w:hAnsi="Times New Roman" w:cs="Times New Roman"/>
        </w:rPr>
        <w:t>” [</w:t>
      </w:r>
      <w:proofErr w:type="spellStart"/>
      <w:r w:rsidRPr="00D573C2">
        <w:rPr>
          <w:rFonts w:ascii="Times New Roman" w:hAnsi="Times New Roman" w:cs="Times New Roman"/>
        </w:rPr>
        <w:t>EDcl</w:t>
      </w:r>
      <w:proofErr w:type="spellEnd"/>
      <w:r w:rsidRPr="00D573C2">
        <w:rPr>
          <w:rFonts w:ascii="Times New Roman" w:hAnsi="Times New Roman" w:cs="Times New Roman"/>
        </w:rPr>
        <w:t xml:space="preserve"> no </w:t>
      </w:r>
      <w:proofErr w:type="spellStart"/>
      <w:r w:rsidRPr="00D573C2">
        <w:rPr>
          <w:rFonts w:ascii="Times New Roman" w:hAnsi="Times New Roman" w:cs="Times New Roman"/>
        </w:rPr>
        <w:t>AgInt</w:t>
      </w:r>
      <w:proofErr w:type="spellEnd"/>
      <w:r w:rsidRPr="00D573C2">
        <w:rPr>
          <w:rFonts w:ascii="Times New Roman" w:hAnsi="Times New Roman" w:cs="Times New Roman"/>
        </w:rPr>
        <w:t xml:space="preserve"> no </w:t>
      </w:r>
      <w:proofErr w:type="spellStart"/>
      <w:r w:rsidRPr="00D573C2">
        <w:rPr>
          <w:rFonts w:ascii="Times New Roman" w:hAnsi="Times New Roman" w:cs="Times New Roman"/>
        </w:rPr>
        <w:t>AREsp</w:t>
      </w:r>
      <w:proofErr w:type="spellEnd"/>
      <w:r w:rsidRPr="00D573C2">
        <w:rPr>
          <w:rFonts w:ascii="Times New Roman" w:hAnsi="Times New Roman" w:cs="Times New Roman"/>
        </w:rPr>
        <w:t xml:space="preserve"> n. 1.192.324/SP, Rel. Min. Ricardo Villas Bôas </w:t>
      </w:r>
      <w:proofErr w:type="spellStart"/>
      <w:r w:rsidRPr="00D573C2">
        <w:rPr>
          <w:rFonts w:ascii="Times New Roman" w:hAnsi="Times New Roman" w:cs="Times New Roman"/>
        </w:rPr>
        <w:t>Cueva</w:t>
      </w:r>
      <w:proofErr w:type="spellEnd"/>
      <w:r w:rsidRPr="00D573C2">
        <w:rPr>
          <w:rFonts w:ascii="Times New Roman" w:hAnsi="Times New Roman" w:cs="Times New Roman"/>
        </w:rPr>
        <w:t>, Terceira Turma, j. 28/08/2018].</w:t>
      </w:r>
    </w:p>
    <w:p w14:paraId="6046B535" w14:textId="7DB7B0FC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V – DAS OBSCURIDADES [ART. 1.022, I, CPC]</w:t>
      </w:r>
    </w:p>
    <w:p w14:paraId="13A28B7F" w14:textId="42309E8C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 xml:space="preserve">V.1 – O destino jurídico da sentença homologatória do evento </w:t>
      </w:r>
      <w:r w:rsidR="000D324A">
        <w:rPr>
          <w:rFonts w:ascii="Times New Roman" w:hAnsi="Times New Roman" w:cs="Times New Roman"/>
          <w:b/>
          <w:bCs/>
        </w:rPr>
        <w:t>...</w:t>
      </w:r>
    </w:p>
    <w:p w14:paraId="33323673" w14:textId="720D3AEE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v. acórdão determina o desarquivamento e o “</w:t>
      </w:r>
      <w:r w:rsidRPr="000D324A">
        <w:rPr>
          <w:rFonts w:ascii="Times New Roman" w:hAnsi="Times New Roman" w:cs="Times New Roman"/>
          <w:i/>
          <w:iCs/>
        </w:rPr>
        <w:t>regular prosseguimento do feito</w:t>
      </w:r>
      <w:r w:rsidRPr="00D573C2">
        <w:rPr>
          <w:rFonts w:ascii="Times New Roman" w:hAnsi="Times New Roman" w:cs="Times New Roman"/>
        </w:rPr>
        <w:t xml:space="preserve">”, mas não esclarece o que ocorreu com a sentença homologatória transitada em julgado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Permanecem sem resposta as seguintes indagações, essenciais à compreensão e ao cumprimento do julgado:</w:t>
      </w:r>
    </w:p>
    <w:p w14:paraId="285F9B57" w14:textId="593146B8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(a) a sentença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foi desconstituída, rescindida ou declarada ineficaz pelo v. acórdão?</w:t>
      </w:r>
    </w:p>
    <w:p w14:paraId="76D72FF8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(b) em qualquer dessas hipóteses, com fundamento em qual dispositivo legal, e por meio de qual instrumento processual previsto no ordenamento?</w:t>
      </w:r>
    </w:p>
    <w:p w14:paraId="3858355B" w14:textId="0377789D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(c) qual o órgão competente para tal desconstituição, considerando que a sentença foi proferida pela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ª Vara Cível e que a anulatória tramitou perante a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ª Vara Cível, sem conexão reconhecida entre os feitos?</w:t>
      </w:r>
    </w:p>
    <w:p w14:paraId="2B03AC11" w14:textId="440D9E4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(d) se a sentença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permanece hígida, como conciliar o “</w:t>
      </w:r>
      <w:r w:rsidRPr="000D324A">
        <w:rPr>
          <w:rFonts w:ascii="Times New Roman" w:hAnsi="Times New Roman" w:cs="Times New Roman"/>
          <w:i/>
          <w:iCs/>
        </w:rPr>
        <w:t>regular prosseguimento do feito</w:t>
      </w:r>
      <w:r w:rsidRPr="00D573C2">
        <w:rPr>
          <w:rFonts w:ascii="Times New Roman" w:hAnsi="Times New Roman" w:cs="Times New Roman"/>
        </w:rPr>
        <w:t xml:space="preserve">” com o comando dos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494, 502, 505 e 507 do CPC, que vedam ao juízo prolator e a qualquer outro juiz decidir novamente as questões já decididas e acobertadas pela coisa julgada?</w:t>
      </w:r>
    </w:p>
    <w:p w14:paraId="061B027C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V.2 – O marco processual da retomada</w:t>
      </w:r>
    </w:p>
    <w:p w14:paraId="2CFF5EF9" w14:textId="77777777" w:rsidR="000D324A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Agravante pleiteou a retomada do feito “</w:t>
      </w:r>
      <w:r w:rsidRPr="000D324A">
        <w:rPr>
          <w:rFonts w:ascii="Times New Roman" w:hAnsi="Times New Roman" w:cs="Times New Roman"/>
          <w:i/>
          <w:iCs/>
        </w:rPr>
        <w:t xml:space="preserve">a partir do estágio imediatamente anterior ao pedido de homologação da composição celebrada e declarada nula (Fase de cumprimento do determinado no Evento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>)</w:t>
      </w:r>
      <w:r w:rsidRPr="00D573C2">
        <w:rPr>
          <w:rFonts w:ascii="Times New Roman" w:hAnsi="Times New Roman" w:cs="Times New Roman"/>
        </w:rPr>
        <w:t xml:space="preserve">” [evento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]. O v. acórdão limita-se a determinar o “</w:t>
      </w:r>
      <w:r w:rsidRPr="000D324A">
        <w:rPr>
          <w:rFonts w:ascii="Times New Roman" w:hAnsi="Times New Roman" w:cs="Times New Roman"/>
          <w:i/>
          <w:iCs/>
        </w:rPr>
        <w:t>regular prosseguimento do feito na origem</w:t>
      </w:r>
      <w:r w:rsidRPr="00D573C2">
        <w:rPr>
          <w:rFonts w:ascii="Times New Roman" w:hAnsi="Times New Roman" w:cs="Times New Roman"/>
        </w:rPr>
        <w:t>”, sem definir o ato processual a partir do qual o processo seria retomado, quais atos subsistem e quais teriam sido atingidos. A indefinição torna o comando inexequível sem nova interpretação pelo juízo de origem, a quem, porém, a coisa julgada veda reexaminar a matéria.</w:t>
      </w:r>
    </w:p>
    <w:p w14:paraId="5C379E57" w14:textId="635E2006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lastRenderedPageBreak/>
        <w:t>VI – DAS OMISSÕES [ART. 1.022, PARÁGRAFO ÚNICO, II, C/C ART. 489, §1º, IV, V E VI, CPC]</w:t>
      </w:r>
    </w:p>
    <w:p w14:paraId="23CD947E" w14:textId="5E9F1E9A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Nos termos do art. 489, §1º, IV, do CPC, não se considera fundamentada a decisão que deixa de enfrentar todos os argumentos deduzidos no processo capazes de, em tese, infirmar a conclusão adotada pelo julgador. As teses abaixo, todas deduzidas em tópicos próprios das contrarrazões [evento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] e reiteradas na manifestação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6, são, cada uma delas, aptas a conduzir ao desprovimento do agravo. Nenhuma foi enfrentada.</w:t>
      </w:r>
    </w:p>
    <w:p w14:paraId="79EF5DA5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VI.1 – Coisa julgada material da sentença homologatória [</w:t>
      </w:r>
      <w:proofErr w:type="spellStart"/>
      <w:r w:rsidRPr="000D324A">
        <w:rPr>
          <w:rFonts w:ascii="Times New Roman" w:hAnsi="Times New Roman" w:cs="Times New Roman"/>
          <w:b/>
          <w:bCs/>
        </w:rPr>
        <w:t>arts</w:t>
      </w:r>
      <w:proofErr w:type="spellEnd"/>
      <w:r w:rsidRPr="000D324A">
        <w:rPr>
          <w:rFonts w:ascii="Times New Roman" w:hAnsi="Times New Roman" w:cs="Times New Roman"/>
          <w:b/>
          <w:bCs/>
        </w:rPr>
        <w:t>. 487, III, “b”, 494, 502, 503, 505, 507 e 508, CPC; art. 5º, XXXVI, CF]</w:t>
      </w:r>
    </w:p>
    <w:p w14:paraId="6EE873C8" w14:textId="621CA12F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A sentença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homologou a transação e extinguiu o processo com resolução de mérito, na forma do art. 487, III, “b”, do CPC, transitando em julgado em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[evento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]. Formou-se, assim, coisa julgada material [art. 502], que torna a decisão imutável e indiscutível; publicada a sentença, o juiz não mais </w:t>
      </w:r>
      <w:proofErr w:type="spellStart"/>
      <w:r w:rsidRPr="00D573C2">
        <w:rPr>
          <w:rFonts w:ascii="Times New Roman" w:hAnsi="Times New Roman" w:cs="Times New Roman"/>
        </w:rPr>
        <w:t>podealterá-la</w:t>
      </w:r>
      <w:proofErr w:type="spellEnd"/>
      <w:r w:rsidRPr="00D573C2">
        <w:rPr>
          <w:rFonts w:ascii="Times New Roman" w:hAnsi="Times New Roman" w:cs="Times New Roman"/>
        </w:rPr>
        <w:t xml:space="preserve"> [art. 494]; e nenhum juiz decidirá novamente as questões já decididas [art. 505], sendo vedado discutir no curso do processo as questões já decididas a cujo respeito se operou a preclusão [art. 507]. O v. acórdão não examinou nenhum desses dispositivos, nem explicou por que a coisa julgada formada nestes autos cederia diante de mera petição de desarquivamento.</w:t>
      </w:r>
    </w:p>
    <w:p w14:paraId="5673CA27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VI.2 – Distinção entre o negócio jurídico anulado e o ato jurisdicional homologatório [art. 966, §4º, CPC; art. 182, CC]</w:t>
      </w:r>
    </w:p>
    <w:p w14:paraId="331F2D69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art. 966, §4º, do CPC dispõe que “</w:t>
      </w:r>
      <w:r w:rsidRPr="000D324A">
        <w:rPr>
          <w:rFonts w:ascii="Times New Roman" w:hAnsi="Times New Roman" w:cs="Times New Roman"/>
          <w:i/>
          <w:iCs/>
        </w:rPr>
        <w:t>os atos de disposição de direitos, praticados pelas partes ou por outros participantes do processo e homologados pelo juízo, [...] estão sujeitos à anulação, nos termos da lei</w:t>
      </w:r>
      <w:r w:rsidRPr="00D573C2">
        <w:rPr>
          <w:rFonts w:ascii="Times New Roman" w:hAnsi="Times New Roman" w:cs="Times New Roman"/>
        </w:rPr>
        <w:t xml:space="preserve">”. O objeto da anulatória é o ato de disposição; a repercussão processual sobre a sentença homologatória e sobre o processo extinto depende de pedido e de decisão específicos, sob o crivo do contraditório, perante o órgão competente. </w:t>
      </w:r>
    </w:p>
    <w:p w14:paraId="4E1DD68E" w14:textId="7C90AC22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O art. 182 do Código Civil, por sua vez, opera no plano material: determina a restituição das partes ao estado anterior quanto às prestações do negócio — no caso, a restituição dos imóveis rurais objeto da dação, já ordenada ao Registro de Imóveis de </w:t>
      </w:r>
      <w:r w:rsidR="000D324A">
        <w:rPr>
          <w:rFonts w:ascii="Times New Roman" w:hAnsi="Times New Roman" w:cs="Times New Roman"/>
        </w:rPr>
        <w:t>..</w:t>
      </w:r>
      <w:r w:rsidRPr="00D573C2">
        <w:rPr>
          <w:rFonts w:ascii="Times New Roman" w:hAnsi="Times New Roman" w:cs="Times New Roman"/>
        </w:rPr>
        <w:t>. O dispositivo não contém comando de natureza processual que autorize a reabertura de processo findo. O v. acórdão aplicou o art. 182 do Código Civil ao plano processual sem enfrentar essa distinção, expressamente suscitada [contrarrazões, tópicos IV.2 e IV.3.4].</w:t>
      </w:r>
    </w:p>
    <w:p w14:paraId="111E6461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VI.3 – Limites objetivos da coisa julgada formada na ação anulatória [</w:t>
      </w:r>
      <w:proofErr w:type="spellStart"/>
      <w:r w:rsidRPr="000D324A">
        <w:rPr>
          <w:rFonts w:ascii="Times New Roman" w:hAnsi="Times New Roman" w:cs="Times New Roman"/>
          <w:b/>
          <w:bCs/>
        </w:rPr>
        <w:t>arts</w:t>
      </w:r>
      <w:proofErr w:type="spellEnd"/>
      <w:r w:rsidRPr="000D324A">
        <w:rPr>
          <w:rFonts w:ascii="Times New Roman" w:hAnsi="Times New Roman" w:cs="Times New Roman"/>
          <w:b/>
          <w:bCs/>
        </w:rPr>
        <w:t>. 141, 492 e 503, CPC]</w:t>
      </w:r>
    </w:p>
    <w:p w14:paraId="55FDA46B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A coisa julgada da ação anulatória tem força de lei “</w:t>
      </w:r>
      <w:r w:rsidRPr="000D324A">
        <w:rPr>
          <w:rFonts w:ascii="Times New Roman" w:hAnsi="Times New Roman" w:cs="Times New Roman"/>
          <w:i/>
          <w:iCs/>
        </w:rPr>
        <w:t>nos limites da questão principal expressamente decidida”</w:t>
      </w:r>
      <w:r w:rsidRPr="00D573C2">
        <w:rPr>
          <w:rFonts w:ascii="Times New Roman" w:hAnsi="Times New Roman" w:cs="Times New Roman"/>
        </w:rPr>
        <w:t xml:space="preserve"> [art. 503, CPC], e o juiz decide o mérito “</w:t>
      </w:r>
      <w:r w:rsidRPr="000D324A">
        <w:rPr>
          <w:rFonts w:ascii="Times New Roman" w:hAnsi="Times New Roman" w:cs="Times New Roman"/>
          <w:i/>
          <w:iCs/>
        </w:rPr>
        <w:t>nos limites propostos pelas partes</w:t>
      </w:r>
      <w:r w:rsidRPr="00D573C2">
        <w:rPr>
          <w:rFonts w:ascii="Times New Roman" w:hAnsi="Times New Roman" w:cs="Times New Roman"/>
        </w:rPr>
        <w:t>” [art. 141], sendo-lhe vedado proferir decisão de natureza diversa da pedida [art. 492]. O dispositivo da sentença anulatória limitou-se a:</w:t>
      </w:r>
    </w:p>
    <w:p w14:paraId="7E998C23" w14:textId="7FBE420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0D324A">
        <w:rPr>
          <w:rFonts w:ascii="Times New Roman" w:hAnsi="Times New Roman" w:cs="Times New Roman"/>
          <w:i/>
          <w:iCs/>
        </w:rPr>
        <w:t>DECRETAR A NULIDADE DO ‘INSTRUMENTO DE AUTOCOMPOSIÇÃO EXTRAJUDICIAL DE CONFLITOS SUB JUDICE’, FIRMADO EM ‘</w:t>
      </w:r>
      <w:r w:rsidR="000D324A">
        <w:rPr>
          <w:rFonts w:ascii="Times New Roman" w:hAnsi="Times New Roman" w:cs="Times New Roman"/>
          <w:i/>
          <w:iCs/>
        </w:rPr>
        <w:t>...’</w:t>
      </w:r>
      <w:r w:rsidRPr="000D324A">
        <w:rPr>
          <w:rFonts w:ascii="Times New Roman" w:hAnsi="Times New Roman" w:cs="Times New Roman"/>
          <w:i/>
          <w:iCs/>
        </w:rPr>
        <w:t xml:space="preserve">, relativo à dação em pagamento [...] composta pelas MATRÍCULAS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 xml:space="preserve"> [...],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 xml:space="preserve"> [...],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 xml:space="preserve"> [...] e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 xml:space="preserve"> [...], todas registradas </w:t>
      </w:r>
      <w:r w:rsidRPr="000D324A">
        <w:rPr>
          <w:rFonts w:ascii="Times New Roman" w:hAnsi="Times New Roman" w:cs="Times New Roman"/>
          <w:i/>
          <w:iCs/>
        </w:rPr>
        <w:lastRenderedPageBreak/>
        <w:t xml:space="preserve">perante o CRI de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 xml:space="preserve">, retornando as partes ao status quo ante. [...] Transitada em julgado, OFICIE-SE ao Cartório de Registro de Imóveis de </w:t>
      </w:r>
      <w:r w:rsidR="000D324A">
        <w:rPr>
          <w:rFonts w:ascii="Times New Roman" w:hAnsi="Times New Roman" w:cs="Times New Roman"/>
          <w:i/>
          <w:iCs/>
        </w:rPr>
        <w:t>...</w:t>
      </w:r>
      <w:r w:rsidRPr="000D324A">
        <w:rPr>
          <w:rFonts w:ascii="Times New Roman" w:hAnsi="Times New Roman" w:cs="Times New Roman"/>
          <w:i/>
          <w:iCs/>
        </w:rPr>
        <w:t>, para as providências necessárias para o retorno da propriedade dos imóveis acima descritos à empresa autora [...]</w:t>
      </w:r>
      <w:r w:rsidRPr="00D573C2">
        <w:rPr>
          <w:rFonts w:ascii="Times New Roman" w:hAnsi="Times New Roman" w:cs="Times New Roman"/>
        </w:rPr>
        <w:t>.”</w:t>
      </w:r>
    </w:p>
    <w:p w14:paraId="432E5725" w14:textId="0E883E08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O contraste com a sentença proferida pelo mesmo juízo na Ação Anulatória n.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— também juntada pelo Agravante [evento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] — é eloquente. Ali, quando quis atribuir consequência processual à anulação, o juízo o fez de forma expressa:</w:t>
      </w:r>
    </w:p>
    <w:p w14:paraId="63D20ED1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0D324A">
        <w:rPr>
          <w:rFonts w:ascii="Times New Roman" w:hAnsi="Times New Roman" w:cs="Times New Roman"/>
          <w:i/>
          <w:iCs/>
        </w:rPr>
        <w:t>Por fim, considerando que houve a anulação do acordo de dação em pagamento e a sentença homologatória, entendo que, como consequência lógica, o cumprimento de sentença relacionado deverá prosseguir até seus ulteriores termos [...]” — e, no dispositivo: “retornando as partes ao status quo ante, prosseguindo o cumprimento de sentença até a satisfação do débito</w:t>
      </w:r>
      <w:r w:rsidRPr="00D573C2">
        <w:rPr>
          <w:rFonts w:ascii="Times New Roman" w:hAnsi="Times New Roman" w:cs="Times New Roman"/>
        </w:rPr>
        <w:t>”.</w:t>
      </w:r>
    </w:p>
    <w:p w14:paraId="6F002C31" w14:textId="5A2602C1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Na Ação Anulatória n.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nada semelhante foi pedido ou decidido. Ao contrário: transitada em julgado a sentença, o juízo determinou a intimação do autor “</w:t>
      </w:r>
      <w:r w:rsidRPr="000D324A">
        <w:rPr>
          <w:rFonts w:ascii="Times New Roman" w:hAnsi="Times New Roman" w:cs="Times New Roman"/>
          <w:i/>
          <w:iCs/>
        </w:rPr>
        <w:t>para promover a execução do julgado, em autos apartados, procedendo-se ao arquivamento definitivo do processo</w:t>
      </w:r>
      <w:r w:rsidRPr="00D573C2">
        <w:rPr>
          <w:rFonts w:ascii="Times New Roman" w:hAnsi="Times New Roman" w:cs="Times New Roman"/>
        </w:rPr>
        <w:t xml:space="preserve">” [despacho de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destes autos]. O v. acórdão extraiu da sentença anulatória efeito processual que ela não contém, sem enfrentar os limites objetivos da coisa julgada nem o contraste documental acima demonstrado.</w:t>
      </w:r>
    </w:p>
    <w:p w14:paraId="0FC6B738" w14:textId="77777777" w:rsidR="00D573C2" w:rsidRPr="000D324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0D324A">
        <w:rPr>
          <w:rFonts w:ascii="Times New Roman" w:hAnsi="Times New Roman" w:cs="Times New Roman"/>
          <w:b/>
          <w:bCs/>
        </w:rPr>
        <w:t>VI.4 – Taxatividade das vias de desconstituição da coisa julgada e decadência [</w:t>
      </w:r>
      <w:proofErr w:type="spellStart"/>
      <w:r w:rsidRPr="000D324A">
        <w:rPr>
          <w:rFonts w:ascii="Times New Roman" w:hAnsi="Times New Roman" w:cs="Times New Roman"/>
          <w:b/>
          <w:bCs/>
        </w:rPr>
        <w:t>arts</w:t>
      </w:r>
      <w:proofErr w:type="spellEnd"/>
      <w:r w:rsidRPr="000D324A">
        <w:rPr>
          <w:rFonts w:ascii="Times New Roman" w:hAnsi="Times New Roman" w:cs="Times New Roman"/>
          <w:b/>
          <w:bCs/>
        </w:rPr>
        <w:t xml:space="preserve">. 966, </w:t>
      </w:r>
      <w:r w:rsidRPr="000D324A">
        <w:rPr>
          <w:rFonts w:ascii="Times New Roman" w:hAnsi="Times New Roman" w:cs="Times New Roman"/>
          <w:b/>
          <w:bCs/>
          <w:i/>
          <w:iCs/>
        </w:rPr>
        <w:t>caput</w:t>
      </w:r>
      <w:r w:rsidRPr="000D324A">
        <w:rPr>
          <w:rFonts w:ascii="Times New Roman" w:hAnsi="Times New Roman" w:cs="Times New Roman"/>
          <w:b/>
          <w:bCs/>
        </w:rPr>
        <w:t xml:space="preserve"> e §4º, e 975, CPC]</w:t>
      </w:r>
    </w:p>
    <w:p w14:paraId="556F8B53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O ordenamento prevê, em </w:t>
      </w:r>
      <w:proofErr w:type="spellStart"/>
      <w:r w:rsidRPr="000D324A">
        <w:rPr>
          <w:rFonts w:ascii="Times New Roman" w:hAnsi="Times New Roman" w:cs="Times New Roman"/>
          <w:i/>
          <w:iCs/>
        </w:rPr>
        <w:t>numerus</w:t>
      </w:r>
      <w:proofErr w:type="spellEnd"/>
      <w:r w:rsidRPr="000D324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D324A">
        <w:rPr>
          <w:rFonts w:ascii="Times New Roman" w:hAnsi="Times New Roman" w:cs="Times New Roman"/>
          <w:i/>
          <w:iCs/>
        </w:rPr>
        <w:t>clausus</w:t>
      </w:r>
      <w:proofErr w:type="spellEnd"/>
      <w:r w:rsidRPr="00D573C2">
        <w:rPr>
          <w:rFonts w:ascii="Times New Roman" w:hAnsi="Times New Roman" w:cs="Times New Roman"/>
        </w:rPr>
        <w:t xml:space="preserve">, as vias de desconstituição da decisão de mérito transitada em julgado: a ação rescisória [art. 966], sujeita ao prazo decadencial de dois anos [art. 975]; a ação anulatória dos atos de disposição homologados [art. 966, §4º]; a </w:t>
      </w:r>
      <w:r w:rsidRPr="000D324A">
        <w:rPr>
          <w:rFonts w:ascii="Times New Roman" w:hAnsi="Times New Roman" w:cs="Times New Roman"/>
          <w:i/>
          <w:iCs/>
        </w:rPr>
        <w:t xml:space="preserve">querela </w:t>
      </w:r>
      <w:proofErr w:type="spellStart"/>
      <w:r w:rsidRPr="000D324A">
        <w:rPr>
          <w:rFonts w:ascii="Times New Roman" w:hAnsi="Times New Roman" w:cs="Times New Roman"/>
          <w:i/>
          <w:iCs/>
        </w:rPr>
        <w:t>nullitatis</w:t>
      </w:r>
      <w:proofErr w:type="spellEnd"/>
      <w:r w:rsidRPr="00D573C2">
        <w:rPr>
          <w:rFonts w:ascii="Times New Roman" w:hAnsi="Times New Roman" w:cs="Times New Roman"/>
        </w:rPr>
        <w:t xml:space="preserve">, restrita a vícios </w:t>
      </w:r>
      <w:proofErr w:type="spellStart"/>
      <w:r w:rsidRPr="00D573C2">
        <w:rPr>
          <w:rFonts w:ascii="Times New Roman" w:hAnsi="Times New Roman" w:cs="Times New Roman"/>
        </w:rPr>
        <w:t>transrescisórios</w:t>
      </w:r>
      <w:proofErr w:type="spellEnd"/>
      <w:r w:rsidRPr="00D573C2">
        <w:rPr>
          <w:rFonts w:ascii="Times New Roman" w:hAnsi="Times New Roman" w:cs="Times New Roman"/>
        </w:rPr>
        <w:t>; e a impugnação fundada em inexigibilidade do título [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525, §§12 a 15, e 535, §§5º a 8º]. Não existe no sistema processual a reabertura de processo findo por simples petição de desarquivamento.</w:t>
      </w:r>
    </w:p>
    <w:p w14:paraId="3D55D56D" w14:textId="36B53353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No caso, o trânsito em julgado da sentença do evento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ocorreu em </w:t>
      </w:r>
      <w:r w:rsidR="000D324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de modo que o biênio do art. 975 do CPC escoou em </w:t>
      </w:r>
      <w:r w:rsidR="00FD0FBA">
        <w:rPr>
          <w:rFonts w:ascii="Times New Roman" w:hAnsi="Times New Roman" w:cs="Times New Roman"/>
        </w:rPr>
        <w:t>..</w:t>
      </w:r>
      <w:r w:rsidRPr="00D573C2">
        <w:rPr>
          <w:rFonts w:ascii="Times New Roman" w:hAnsi="Times New Roman" w:cs="Times New Roman"/>
        </w:rPr>
        <w:t>. A solução adotada pelo v. acórdão produz, na prática, efeito rescisório sem ação rescisória e fora do prazo decadencial. É exatamente o que o Superior Tribunal de Justiça reputa vedado:</w:t>
      </w:r>
    </w:p>
    <w:p w14:paraId="3A42F6C6" w14:textId="7980F055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FD0FBA">
        <w:rPr>
          <w:rFonts w:ascii="Times New Roman" w:hAnsi="Times New Roman" w:cs="Times New Roman"/>
          <w:i/>
          <w:iCs/>
        </w:rPr>
        <w:t>5. A reabertura de execução extinta por satisfação da dívida sob a alegação de erro de cálculo equivale a transformar uma petição simples em ação rescisória imune ao prazo decadencial, o que é vedado pela jurisprudência consolidada em sede de recursos repetitivos (REsp 1.143.471/PR).</w:t>
      </w:r>
      <w:r w:rsidRPr="00D573C2">
        <w:rPr>
          <w:rFonts w:ascii="Times New Roman" w:hAnsi="Times New Roman" w:cs="Times New Roman"/>
        </w:rPr>
        <w:t>”</w:t>
      </w:r>
      <w:r w:rsidR="00FD0FBA"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[STJ, REsp n. 1.992.375/SP, Rel. Min. Raul Araújo, Quarta Turma, j. 09/03/2026, DJEN 16/03/2026]</w:t>
      </w:r>
    </w:p>
    <w:p w14:paraId="41CF86B6" w14:textId="6290F5FF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v. acórdão silenciou sobre a taxatividade das vias, sobre o prazo decadencial e sobre a orientação do Superior Tribunal de Justiça.</w:t>
      </w:r>
    </w:p>
    <w:p w14:paraId="458F6112" w14:textId="77777777" w:rsid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VI.5 – O real alcance do REsp n. 2.230.360/SE</w:t>
      </w:r>
    </w:p>
    <w:p w14:paraId="4A652B5C" w14:textId="47132C18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573C2">
        <w:rPr>
          <w:rFonts w:ascii="Times New Roman" w:hAnsi="Times New Roman" w:cs="Times New Roman"/>
        </w:rPr>
        <w:lastRenderedPageBreak/>
        <w:t>O Embargante demonstrou [contrarrazões, tópico IV.3] que o precedente da Terceira Turma do Superior Tribunal de Justiça no REsp n. 2.230.360/SE, Rel. Min. Nancy Andrighi, trata do cabimento da ação anulatória — e não da rescisória — para desconstituir sentença que se limita a homologar acordo, sem incursão no mérito pelo magistrado. Cuida, portanto, do meio de acesso à invalidação do negócio; não afirma, nem poderia afirmar, que a procedência da anulatória, ajuizada com objeto restrito ao negócio jurídico, reabre automaticamente, por simples petição, todo e qualquer processo em que esse negócio tenha sido homologado. O v. acórdão não enfrentou a distinção, como impõe o art. 489, §1º, VI, do CPC.</w:t>
      </w:r>
    </w:p>
    <w:p w14:paraId="1557EAB5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VI.6 – Invocação, como paradigma, de decisão monocrática liminar proferida em processo diverso [</w:t>
      </w:r>
      <w:proofErr w:type="spellStart"/>
      <w:r w:rsidRPr="00FD0FBA">
        <w:rPr>
          <w:rFonts w:ascii="Times New Roman" w:hAnsi="Times New Roman" w:cs="Times New Roman"/>
          <w:b/>
          <w:bCs/>
        </w:rPr>
        <w:t>arts</w:t>
      </w:r>
      <w:proofErr w:type="spellEnd"/>
      <w:r w:rsidRPr="00FD0FBA">
        <w:rPr>
          <w:rFonts w:ascii="Times New Roman" w:hAnsi="Times New Roman" w:cs="Times New Roman"/>
          <w:b/>
          <w:bCs/>
        </w:rPr>
        <w:t>. 489, §1º, V, 926 e 927, CPC]</w:t>
      </w:r>
    </w:p>
    <w:p w14:paraId="68D3DBF9" w14:textId="428EB7E5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Agravante fundou sua pretensão no “</w:t>
      </w:r>
      <w:r w:rsidRPr="00FD0FBA">
        <w:rPr>
          <w:rFonts w:ascii="Times New Roman" w:hAnsi="Times New Roman" w:cs="Times New Roman"/>
          <w:i/>
          <w:iCs/>
        </w:rPr>
        <w:t>dever de coerência</w:t>
      </w:r>
      <w:r w:rsidRPr="00D573C2">
        <w:rPr>
          <w:rFonts w:ascii="Times New Roman" w:hAnsi="Times New Roman" w:cs="Times New Roman"/>
        </w:rPr>
        <w:t xml:space="preserve">” do art. 926 do CPC, invocando a decisão liminar do AI n. </w:t>
      </w:r>
      <w:r w:rsidR="00FD0FBA">
        <w:rPr>
          <w:rFonts w:ascii="Times New Roman" w:hAnsi="Times New Roman" w:cs="Times New Roman"/>
        </w:rPr>
        <w:t>..</w:t>
      </w:r>
      <w:r w:rsidRPr="00D573C2">
        <w:rPr>
          <w:rFonts w:ascii="Times New Roman" w:hAnsi="Times New Roman" w:cs="Times New Roman"/>
        </w:rPr>
        <w:t xml:space="preserve">. O v. acórdão, ao reproduzi-la, adotou-a como razão de decidir. </w:t>
      </w:r>
    </w:p>
    <w:p w14:paraId="0D5BB001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Ocorre que decisão monocrática, proferida em cognição sumária e em processo diverso, não integra o rol do art. 927 do CPC, nem constitui jurisprudência para os fins do art. 926. E, ainda que se lhe atribuísse força persuasiva, o art. 489, §1º, V, exige que o julgador identifique seus fundamentos determinantes e demonstre que o caso sob julgamento a eles se ajusta, o que não se fez, a despeito das distinções expressamente apontadas pelo Embargante [contrarrazões, tópico IV.4]: sentenças homologatórias distintas, juízos distintos, cronologias distintas e, sobretudo, sentença anulatória que se reportou exclusivamente à homologação daquele outro feito.</w:t>
      </w:r>
    </w:p>
    <w:p w14:paraId="571D3634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VI.7 – A via processual própria permanece à disposição do Agravante [art. 372, CPC]</w:t>
      </w:r>
    </w:p>
    <w:p w14:paraId="16B558E9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O Embargante demonstrou que a manutenção do arquivamento não priva o Agravante de tutela jurisdicional: </w:t>
      </w:r>
      <w:proofErr w:type="spellStart"/>
      <w:r w:rsidRPr="00D573C2">
        <w:rPr>
          <w:rFonts w:ascii="Times New Roman" w:hAnsi="Times New Roman" w:cs="Times New Roman"/>
        </w:rPr>
        <w:t>remanesce-lhe</w:t>
      </w:r>
      <w:proofErr w:type="spellEnd"/>
      <w:r w:rsidRPr="00D573C2">
        <w:rPr>
          <w:rFonts w:ascii="Times New Roman" w:hAnsi="Times New Roman" w:cs="Times New Roman"/>
        </w:rPr>
        <w:t xml:space="preserve"> o ajuizamento de nova ação de exigir contas [ou de cobrança], com o aproveitamento da instrução pericial já produzida por meio da prova emprestada [art. 372, CPC] [contrarrazões, tópicos IV.6 e VI]. A questão é relevante porque afasta a premissa, implícita no v. acórdão, de que apenas a reabertura do processo findo asseguraria a efetividade da tutela — e, com ela, qualquer razão de conveniência para relativizar a coisa julgada. Não houve enfrentamento.</w:t>
      </w:r>
    </w:p>
    <w:p w14:paraId="6E597055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VI.8 – O pedido expresso de prequestionamento</w:t>
      </w:r>
    </w:p>
    <w:p w14:paraId="78375D45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Por fim, o Embargante requereu, de forma expressa e individualizada, manifestação fundamentada sobre os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 xml:space="preserve">. 141, 372, 487, III, “b”, 490, 492, 502, 503, 505, 506, 508, 966, caput e §4º, e 975 do CPC, e 182 do Código Civil [contrarrazões, tópico VII, e pedido “b”]. </w:t>
      </w:r>
    </w:p>
    <w:p w14:paraId="2F4F96BF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v. acórdão não se pronunciou sobre nenhum deles. A omissão, nesse ponto, é per se manifesta [art. 1.022, II, CPC: “</w:t>
      </w:r>
      <w:r w:rsidRPr="00FD0FBA">
        <w:rPr>
          <w:rFonts w:ascii="Times New Roman" w:hAnsi="Times New Roman" w:cs="Times New Roman"/>
          <w:i/>
          <w:iCs/>
        </w:rPr>
        <w:t>ponto ou questão sobre o qual devia se pronunciar o juiz [...] a requerimento</w:t>
      </w:r>
      <w:r w:rsidRPr="00D573C2">
        <w:rPr>
          <w:rFonts w:ascii="Times New Roman" w:hAnsi="Times New Roman" w:cs="Times New Roman"/>
        </w:rPr>
        <w:t>”].</w:t>
      </w:r>
    </w:p>
    <w:p w14:paraId="71998646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VII – DOS EFEITOS INFRINGENTES COMO CONSEQUÊNCIA NECESSÁRIA DO SANEAMENTO DOS VÍCIOS</w:t>
      </w:r>
    </w:p>
    <w:p w14:paraId="29C12EA1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</w:p>
    <w:p w14:paraId="7326B26C" w14:textId="59F1D3B9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lastRenderedPageBreak/>
        <w:t>Os efeitos modificativos não constituem, aqui, pretensão de rejulgamento, mas decorrência lógica e necessária do saneamento dos vícios apontados. Uma vez (i) eliminada a contradição entre a premissa da intangibilidade da coisa julgada e a conclusão de reabertura por simples petição; (</w:t>
      </w:r>
      <w:proofErr w:type="spellStart"/>
      <w:r w:rsidRPr="00D573C2">
        <w:rPr>
          <w:rFonts w:ascii="Times New Roman" w:hAnsi="Times New Roman" w:cs="Times New Roman"/>
        </w:rPr>
        <w:t>ii</w:t>
      </w:r>
      <w:proofErr w:type="spellEnd"/>
      <w:r w:rsidRPr="00D573C2">
        <w:rPr>
          <w:rFonts w:ascii="Times New Roman" w:hAnsi="Times New Roman" w:cs="Times New Roman"/>
        </w:rPr>
        <w:t>) corrigida a premissa de “</w:t>
      </w:r>
      <w:r w:rsidRPr="00FD0FBA">
        <w:rPr>
          <w:rFonts w:ascii="Times New Roman" w:hAnsi="Times New Roman" w:cs="Times New Roman"/>
          <w:i/>
          <w:iCs/>
        </w:rPr>
        <w:t>inexistência jurídica</w:t>
      </w:r>
      <w:r w:rsidRPr="00D573C2">
        <w:rPr>
          <w:rFonts w:ascii="Times New Roman" w:hAnsi="Times New Roman" w:cs="Times New Roman"/>
        </w:rPr>
        <w:t>” para a de nulidade do negócio; (</w:t>
      </w:r>
      <w:proofErr w:type="spellStart"/>
      <w:r w:rsidRPr="00D573C2">
        <w:rPr>
          <w:rFonts w:ascii="Times New Roman" w:hAnsi="Times New Roman" w:cs="Times New Roman"/>
        </w:rPr>
        <w:t>iii</w:t>
      </w:r>
      <w:proofErr w:type="spellEnd"/>
      <w:r w:rsidRPr="00D573C2">
        <w:rPr>
          <w:rFonts w:ascii="Times New Roman" w:hAnsi="Times New Roman" w:cs="Times New Roman"/>
        </w:rPr>
        <w:t xml:space="preserve">) reconhecido que a sentença homologatória do evento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não foi objeto da ação anulatória, cujo dispositivo se limitou à restituição dos imóveis; e (</w:t>
      </w:r>
      <w:proofErr w:type="spellStart"/>
      <w:r w:rsidRPr="00D573C2">
        <w:rPr>
          <w:rFonts w:ascii="Times New Roman" w:hAnsi="Times New Roman" w:cs="Times New Roman"/>
        </w:rPr>
        <w:t>iv</w:t>
      </w:r>
      <w:proofErr w:type="spellEnd"/>
      <w:r w:rsidRPr="00D573C2">
        <w:rPr>
          <w:rFonts w:ascii="Times New Roman" w:hAnsi="Times New Roman" w:cs="Times New Roman"/>
        </w:rPr>
        <w:t xml:space="preserve">) enfrentadas as teses da coisa julgada material, da taxatividade das vias de desconstituição e da decadência do art. 975 do CPC, a única conclusão juridicamente possível é o desprovimento do agravo de instrumento, com o restabelecimento das r. decisões dos eventos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dos autos de origem.</w:t>
      </w:r>
    </w:p>
    <w:p w14:paraId="11C297EB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Registre-se, por lealdade processual e para que não se alegue comportamento contraditório, que o retorno ao status quo ante pedido e obtido pelo Embargante na ação anulatória é de natureza material e patrimonial. E como delimitado pelo próprio dispositivo daquela sentença: a restituição dos imóveis objeto da dação em pagamento, por ofício ao Registro de Imóveis. O Embargante jamais pleiteou, e a sentença jamais concedeu, a reabertura de processos extintos por sentenças homologatórias transitadas em julgado. Eventual direito material do Agravante permanece tutelável pela via própria.</w:t>
      </w:r>
    </w:p>
    <w:p w14:paraId="5E807163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Requer-se, por conseguinte, a intimação do Embargado para, querendo, manifestar-se no prazo de 5 [cinco] dias, nos termos do art. 1.023, §2º, do CPC.</w:t>
      </w:r>
    </w:p>
    <w:p w14:paraId="690C1361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VIII – DO EFEITO SUSPENSIVO [ART. 1.026, §1º, CPC]</w:t>
      </w:r>
    </w:p>
    <w:p w14:paraId="1AF98792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Os embargos de declaração não possuem efeito suspensivo ope legis, mas a eficácia da decisão embargada pode ser suspensa pelo relator ou pelo órgão colegiado se demonstrada a probabilidade de provimento do recurso ou, sendo relevante a fundamentação, se houver risco de dano grave ou de difícil reparação [art. 1.026, §1º, CPC].</w:t>
      </w:r>
    </w:p>
    <w:p w14:paraId="39946D3C" w14:textId="621EECD6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A probabilidade de provimento decorre da evidência documental dos vícios apontados, verificáveis pelo simples cotejo do v. acórdão com a decisão liminar do AI n.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e com a sentença anulatória. </w:t>
      </w:r>
    </w:p>
    <w:p w14:paraId="4E31A12D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risco de dano grave é igualmente manifesto: a imediata reativação de processo extinto há quase quatro anos, com a prática de atos instrutórios e, eventualmente, executivos contra o Espólio, sobre sentença homologatória acobertada pela coisa julgada, exporia o patrimônio do Espólio, em fase de inventário, a constrições de difícil reversão e acarretaria a prática de atos processuais fadados à nulidade, em prejuízo da economia processual e da segurança jurídica.</w:t>
      </w:r>
    </w:p>
    <w:p w14:paraId="050BFC48" w14:textId="05B95C91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Requer-se, assim, a atribuição de efeito suspensivo aos presentes embargos, com a suspensão da eficácia do v. acórdão e a comunicação ao Juízo da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ª Vara Cível da Comarca de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até o julgamento dos </w:t>
      </w:r>
      <w:proofErr w:type="spellStart"/>
      <w:r w:rsidRPr="00D573C2">
        <w:rPr>
          <w:rFonts w:ascii="Times New Roman" w:hAnsi="Times New Roman" w:cs="Times New Roman"/>
        </w:rPr>
        <w:t>aclaratórios</w:t>
      </w:r>
      <w:proofErr w:type="spellEnd"/>
      <w:r w:rsidRPr="00D573C2">
        <w:rPr>
          <w:rFonts w:ascii="Times New Roman" w:hAnsi="Times New Roman" w:cs="Times New Roman"/>
        </w:rPr>
        <w:t>.</w:t>
      </w:r>
    </w:p>
    <w:p w14:paraId="4220A3FD" w14:textId="3320DE33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IX – DO PREQUESTIONAMENTO EXPLÍCITO, INCLUSIVE EM RELAÇÃO AO ACÓRDÃO INTEGRATIVO</w:t>
      </w:r>
    </w:p>
    <w:p w14:paraId="79400888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IX.1 – Fundamento</w:t>
      </w:r>
    </w:p>
    <w:p w14:paraId="289451A1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lastRenderedPageBreak/>
        <w:t xml:space="preserve">A admissibilidade do recurso especial pressupõe que a questão federal tenha sido efetivamente debatida e decidida pelo Tribunal de origem [Súmula 211/STJ; Súmulas 282 e 356/STF, aplicadas por analogia]. </w:t>
      </w:r>
    </w:p>
    <w:p w14:paraId="3B728667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art. 1.025 do CPC considera incluídos no acórdão os elementos suscitados pelo embargante para fins de prequestionamento, ainda que os embargos sejam inadmitidos ou rejeitados, caso o tribunal superior considere existentes erro, omissão, contradição ou obscuridade. A jurisprudência do Superior Tribunal de Justiça, todavia, condiciona a aplicação do prequestionamento ficto à alegação, no recurso especial, de violação ao art. 1.022 do CPC; razão pela qual o Embargante, desde logo, delimita com precisão cada questão federal cuja apreciação expressa se requer.</w:t>
      </w:r>
    </w:p>
    <w:p w14:paraId="339AE520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Os presentes embargos, opostos com o notório propósito de prequestionamento, não têm caráter protelatório [Súmula 98/STJ], sendo inaplicável a multa do art. 1.026, §2º, do CPC.</w:t>
      </w:r>
    </w:p>
    <w:p w14:paraId="48BA5027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IX.2 – Questões federais cuja apreciação expressa se requer</w:t>
      </w:r>
    </w:p>
    <w:p w14:paraId="2EA1CED2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Requer-se pronunciamento expresso e fundamentado sobre as seguintes questões, com indicação dos respectivos dispositivos:</w:t>
      </w:r>
    </w:p>
    <w:p w14:paraId="10882249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(1)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11 e 489, §1º, III, IV, V e VI, do CPC — se é válida a fundamentação reproduzida de decisão proferida em processo diverso, sem enfrentamento das teses deduzidas pela parte adversa e sem demonstração da adequação do suposto precedente ao caso concreto;</w:t>
      </w:r>
    </w:p>
    <w:p w14:paraId="26225C6E" w14:textId="7C398776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(2)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 xml:space="preserve">. 487, III, “b”, 502 e 503 do CPC — se a sentença homologatória de transação do evento 424, transitada em julgado em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formou coisa julgada material;</w:t>
      </w:r>
    </w:p>
    <w:p w14:paraId="0F40B9DC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(3)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494, 505 e 507 do CPC — se é lícito ao juízo prolator, ou a qualquer outro, reabrir processo extinto com resolução de mérito e prosseguir em seu curso, sem prévia desconstituição da sentença por via própria;</w:t>
      </w:r>
    </w:p>
    <w:p w14:paraId="4126F4DA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(4) art. 508 do CPC — se a eficácia preclusiva da coisa julgada alcança os vícios de representação que poderiam ter sido deduzidos antes do trânsito em julgado;</w:t>
      </w:r>
    </w:p>
    <w:p w14:paraId="0E8C376D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(5) art. 966, caput e §4º, do CPC — se a procedência de ação anulatória cujo objeto se restringiu ao negócio jurídico produz, automaticamente e por simples petição, a desconstituição de sentença homologatória que não integrou o pedido nem o dispositivo daquela ação;</w:t>
      </w:r>
    </w:p>
    <w:p w14:paraId="3436F71D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(6) art. 975 do CPC — se a reabertura do processo findo após o decurso do biênio decadencial equivale a rescisão da sentença sem ação rescisória e fora do prazo legal;</w:t>
      </w:r>
    </w:p>
    <w:p w14:paraId="3BB2D4F3" w14:textId="01EC580A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(7)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 xml:space="preserve">. 141, 492 e 503 do CPC — quais os limites objetivos da coisa julgada formada na Ação Anulatória n.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à luz de seu pedido e de seu dispositivo;</w:t>
      </w:r>
    </w:p>
    <w:p w14:paraId="56A037B5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(8)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926 e 927 do CPC — se decisão monocrática liminar, proferida em processo diverso, vincula ou orienta o julgamento definitivo deste recurso;</w:t>
      </w:r>
    </w:p>
    <w:p w14:paraId="5B85F4E4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(9) art. 372 do CPC — se a via da nova ação, com prova emprestada, assegura a tutela do direito material do Agravante sem vulneração da coisa julgada;</w:t>
      </w:r>
    </w:p>
    <w:p w14:paraId="3D10BC60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lastRenderedPageBreak/>
        <w:t>(10) art. 182 do Código Civil — se a restituição das partes ao estado anterior, decorrente da anulação do negócio jurídico, opera no plano material [restituição das prestações] ou autoriza, por si só, a reabertura de processo extinto por sentença transitada em julgado;</w:t>
      </w:r>
    </w:p>
    <w:p w14:paraId="0D5B0362" w14:textId="62FA2364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(11) art. 5º, XXXVI, e art. 93, IX, da Constituição Federal — garantia da coisa julgada e dever de fundamentação, para fins de eventual recurso extraordinário.</w:t>
      </w:r>
    </w:p>
    <w:p w14:paraId="779D8444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IX.3 – Prequestionamento em relação ao próprio acórdão integrativo</w:t>
      </w:r>
    </w:p>
    <w:p w14:paraId="70E81159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Por cautela, e para que não se alegue inovação recursal, o Embargante registra, desde logo, que a eventual rejeição dos presentes embargos sem o enfrentamento específico de cada uma das questões acima enumeradas — ou o seu julgamento mediante fórmula genérica, segundo a qual o julgador não estaria obrigado a rebater todos os argumentos das partes — configurará violação autônoma aos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1.022, I, II e III, e parágrafo único, II, e 489, §1º, IV, do CPC, desta feita pelo próprio acórdão integrativo.</w:t>
      </w:r>
    </w:p>
    <w:p w14:paraId="11EE6BDC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Requer-se, portanto, que o acórdão a ser proferido nestes embargos aprecie, de forma expressa e individualizada, cada contradição [tópico III], cada erro material [tópico IV], cada obscuridade [tópico V] e cada omissão [tópico VI] ora suscitados, bem como as questões federais do item IX.2, de modo a viabilizar o pleno controle da legalidade pelo Superior Tribunal de Justiça.</w:t>
      </w:r>
    </w:p>
    <w:p w14:paraId="328522DD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 – DA FIXAÇÃO DAS PREMISSAS FÁTICAS DO DISSÍDIO JURISPRUDENCIAL [ART. 105, III, “C”, CF]</w:t>
      </w:r>
    </w:p>
    <w:p w14:paraId="1D5C5F27" w14:textId="3E90268F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O recurso especial fundado em divergência jurisprudencial exige a demonstração da similitude fática entre o acórdão recorrido e os paradigmas, mediante cotejo analítico [art. 1.029, §1º, CPC; art. 255, §1º, RISTJ]. Como o Superior Tribunal de Justiça não reexamina fatos [Súmula 7/STJ], o cotejo se faz a partir das premissas fáticas expressamente assentadas no acórdão recorrido. Daí a necessidade de que es</w:t>
      </w:r>
      <w:r w:rsidR="00FD0FBA">
        <w:rPr>
          <w:rFonts w:ascii="Times New Roman" w:hAnsi="Times New Roman" w:cs="Times New Roman"/>
        </w:rPr>
        <w:t>s</w:t>
      </w:r>
      <w:r w:rsidRPr="00D573C2">
        <w:rPr>
          <w:rFonts w:ascii="Times New Roman" w:hAnsi="Times New Roman" w:cs="Times New Roman"/>
        </w:rPr>
        <w:t>a Colenda Câmara declare, de forma expressa, as seguintes premissas, todas incontroversas nos autos:</w:t>
      </w:r>
    </w:p>
    <w:p w14:paraId="7BBB1010" w14:textId="07B0D7FD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(a) a sentença homologatória do evento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extinguiu o processo com resolução de mérito [art. 487, III, “b”, CPC] e transitou em julgado em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seguindo-se o arquivamento dos autos;</w:t>
      </w:r>
    </w:p>
    <w:p w14:paraId="52643F28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(b) a reabertura do processo foi postulada por simples petição de desarquivamento [evento 551 dos autos de origem], e não por ação autônoma;</w:t>
      </w:r>
    </w:p>
    <w:p w14:paraId="6AD7B96B" w14:textId="596C68CD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(c) a sentença do evento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não foi objeto de ação rescisória, nem integrou o pedido ou o dispositivo da Ação Anulatória n.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;</w:t>
      </w:r>
    </w:p>
    <w:p w14:paraId="70F1408B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(d) o v. acórdão autorizou o prosseguimento do processo findo sem prévia desconstituição da sentença homologatória por via autônoma.</w:t>
      </w:r>
    </w:p>
    <w:p w14:paraId="72460C4E" w14:textId="13231298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Fixadas essas premissas, evidencia-se a divergência com os seguintes julgados, todos de tribunais diversos deste </w:t>
      </w:r>
      <w:proofErr w:type="spellStart"/>
      <w:r w:rsidRPr="00D573C2">
        <w:rPr>
          <w:rFonts w:ascii="Times New Roman" w:hAnsi="Times New Roman" w:cs="Times New Roman"/>
        </w:rPr>
        <w:t>Eg</w:t>
      </w:r>
      <w:proofErr w:type="spellEnd"/>
      <w:r w:rsidRPr="00D573C2">
        <w:rPr>
          <w:rFonts w:ascii="Times New Roman" w:hAnsi="Times New Roman" w:cs="Times New Roman"/>
        </w:rPr>
        <w:t>. TJ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[Súmula 13/STJ], cujas teses se reproduzem para conhecimento desta Colenda Câmara e para manifestação expressa sobre a questão jurídica comum:</w:t>
      </w:r>
    </w:p>
    <w:p w14:paraId="0452F743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</w:p>
    <w:p w14:paraId="7DE4809B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X.1 – Superior Tribunal de Justiça: REsp n. 1.992.375/SP</w:t>
      </w:r>
    </w:p>
    <w:p w14:paraId="60F3BAC0" w14:textId="15D733E0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FD0FBA">
        <w:rPr>
          <w:rFonts w:ascii="Times New Roman" w:hAnsi="Times New Roman" w:cs="Times New Roman"/>
          <w:i/>
          <w:iCs/>
        </w:rPr>
        <w:t>RECURSO ESPECIAL. DIREITO PROCESSUAL CIVIL. CUMPRIMENTO DE SENTENÇA. [...] EXTINÇÃO PELA SATISFAÇÃO DA OBRIGAÇÃO. TRÂNSITO EM JULGADO. NOVA EXECUÇÃO DE VERBA REMANESCENTE. [...] COISA JULGADA MATERIAL. RECURSO ESPECIAL PROVIDO. [...] 2. A extinção da execução pelo adimplemento da obrigação, após o trânsito em julgado da decisão, opera os efeitos da coisa julgada material e impede a reabertura do feito ou a propositura de nova execução fundada no mesmo título. [...] 5. A reabertura de execução extinta por satisfação da dívida sob a alegação de erro de cálculo equivale a transformar uma petição simples em ação rescisória imune ao prazo decadencial, o que é vedado pela jurisprudência consolidada em sede de recursos repetitivos (REsp 1.143.471/PR). 6. Recurso especial provido</w:t>
      </w:r>
      <w:r w:rsidRPr="00D573C2">
        <w:rPr>
          <w:rFonts w:ascii="Times New Roman" w:hAnsi="Times New Roman" w:cs="Times New Roman"/>
        </w:rPr>
        <w:t>.”</w:t>
      </w:r>
      <w:r w:rsidR="00FD0FBA"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[STJ, REsp n. 1.992.375/SP, Rel. Min. Raul Araújo, Quarta Turma, j. 09/03/2026, DJEN 16/03/2026]</w:t>
      </w:r>
    </w:p>
    <w:p w14:paraId="7CFB5A7B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Similitude: em ambos os casos, processo extinto por sentença transitada em julgado; posterior pretensão de reabertura do mesmo feito por simples petição, fundada em circunstância que, segundo a parte, retiraria a higidez da extinção. Divergência: o paradigma veda a reabertura, por equivaler a rescisória sem ação e sem prazo; o acórdão recorrido a autoriza.</w:t>
      </w:r>
    </w:p>
    <w:p w14:paraId="77916EFE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X.2 – Tribunal de Justiça de Minas Gerais: Agravo de Instrumento n. 1133029-87.2026.8.13.0000</w:t>
      </w:r>
    </w:p>
    <w:p w14:paraId="6296A64F" w14:textId="6C3C612B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“</w:t>
      </w:r>
      <w:r w:rsidRPr="00FD0FBA">
        <w:rPr>
          <w:rFonts w:ascii="Times New Roman" w:hAnsi="Times New Roman" w:cs="Times New Roman"/>
          <w:i/>
          <w:iCs/>
        </w:rPr>
        <w:t>AGRAVO DE INSTRUMENTO. [...] FEITO EXECUTIVO EXTINTO POR CUMPRIMENTO DA OBRIGAÇÃO. TRÂNSITO EM JULGADO. PEDIDO DE DESARQUIVAMENTO E REMESSA DOS AUTOS À CONTADORIA JUDICIAL. INDEFERIMENTO. IMPOSSIBILIDADE DE REABERTURA PARA APURAÇÃO DE EVENTUAL SALDO REMANESCENTE. COISA JULGADA. PRECEDENTES DO STJ. RECURSO NÃO PROVIDO. [...] 2. Extinta a execução [...] e ocorrido o trânsito em julgado da sentença, a pretensão do exequente de reabertura do feito sob a alegação de existência de saldo remanescente configura afronta aos efeitos da coisa julgada</w:t>
      </w:r>
      <w:r w:rsidRPr="00D573C2">
        <w:rPr>
          <w:rFonts w:ascii="Times New Roman" w:hAnsi="Times New Roman" w:cs="Times New Roman"/>
        </w:rPr>
        <w:t>.”</w:t>
      </w:r>
      <w:r w:rsidR="00FD0FBA"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 xml:space="preserve">[TJMG, Agravo de Instrumento n. 1133029-87.2026.8.13.0000, Rel. Des. Júlio Cezar </w:t>
      </w:r>
      <w:proofErr w:type="spellStart"/>
      <w:r w:rsidRPr="00D573C2">
        <w:rPr>
          <w:rFonts w:ascii="Times New Roman" w:hAnsi="Times New Roman" w:cs="Times New Roman"/>
        </w:rPr>
        <w:t>Guttierrez</w:t>
      </w:r>
      <w:proofErr w:type="spellEnd"/>
      <w:r w:rsidRPr="00D573C2">
        <w:rPr>
          <w:rFonts w:ascii="Times New Roman" w:hAnsi="Times New Roman" w:cs="Times New Roman"/>
        </w:rPr>
        <w:t xml:space="preserve">, 2ª Câmara Cível, j. 14/07/2026, </w:t>
      </w:r>
      <w:proofErr w:type="spellStart"/>
      <w:r w:rsidRPr="00D573C2">
        <w:rPr>
          <w:rFonts w:ascii="Times New Roman" w:hAnsi="Times New Roman" w:cs="Times New Roman"/>
        </w:rPr>
        <w:t>publ</w:t>
      </w:r>
      <w:proofErr w:type="spellEnd"/>
      <w:r w:rsidRPr="00D573C2">
        <w:rPr>
          <w:rFonts w:ascii="Times New Roman" w:hAnsi="Times New Roman" w:cs="Times New Roman"/>
        </w:rPr>
        <w:t>. 16/07/2026]</w:t>
      </w:r>
    </w:p>
    <w:p w14:paraId="4877153E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Similitude: identidade de moldura processual — agravo de instrumento contra decisão que indeferiu pedido de desarquivamento de processo extinto com trânsito em julgado, formulado para a apuração de crédito remanescente. Divergência: o TJMG manteve o indeferimento por afronta à coisa julgada; o acórdão recorrido reformou decisão de idêntico teor para determinar o desarquivamento e o prosseguimento do feito.</w:t>
      </w:r>
    </w:p>
    <w:p w14:paraId="357B9E19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X.3 – Tribunal de Justiça de Minas Gerais: Agravo de Instrumento n. 0800778-26.2025.8.13.0000</w:t>
      </w:r>
    </w:p>
    <w:p w14:paraId="51837286" w14:textId="31433D4F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D573C2">
        <w:rPr>
          <w:rFonts w:ascii="Times New Roman" w:hAnsi="Times New Roman" w:cs="Times New Roman"/>
        </w:rPr>
        <w:t>“</w:t>
      </w:r>
      <w:r w:rsidRPr="00FD0FBA">
        <w:rPr>
          <w:rFonts w:ascii="Times New Roman" w:hAnsi="Times New Roman" w:cs="Times New Roman"/>
          <w:i/>
          <w:iCs/>
        </w:rPr>
        <w:t xml:space="preserve">DIREITO PROCESSUAL CIVIL. AGRAVO DE INSTRUMENTO. HOMOLOGAÇÃO DE NOVO ACORDO EM AÇÃO COM SENTENÇA TRANSITADA EM JULGADO. COISA JULGADA MATERIAL E PRECLUSÃO ENDOPROCESSUAL. IMPOSSIBILIDADE. [...] 3. A </w:t>
      </w:r>
      <w:r w:rsidRPr="00FD0FBA">
        <w:rPr>
          <w:rFonts w:ascii="Times New Roman" w:hAnsi="Times New Roman" w:cs="Times New Roman"/>
          <w:i/>
          <w:iCs/>
        </w:rPr>
        <w:lastRenderedPageBreak/>
        <w:t>sentença homologatória de transação faz coisa julgada material (CPC, art. 502), impedindo nova apreciação da mesma matéria no curso do processo, em razão da preclusão (CPC, art. 507). [...] 5. [...] a sentença homologatória de acordo encerra definitivamente a controvérsia, não sendo admissível sua reabertura nos mesmos autos [...]. Tese de julgamento: [...] 2. A modificação de sentença transitada em julgado somente é admissível pelas vias próprias, não se admitindo revisão informal nos autos originários</w:t>
      </w:r>
      <w:r w:rsidRPr="00D573C2">
        <w:rPr>
          <w:rFonts w:ascii="Times New Roman" w:hAnsi="Times New Roman" w:cs="Times New Roman"/>
        </w:rPr>
        <w:t>.”</w:t>
      </w:r>
      <w:r w:rsidR="00FD0FBA"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 xml:space="preserve">[TJMG, Agravo de Instrumento n. 0800778-26.2025.8.13.0000, Rel. Des.(a) Raquel Gomes Barbosa [JD], Núcleo da Justiça 4.0 – Câmara Especializada, j. 20/10/2025, </w:t>
      </w:r>
      <w:proofErr w:type="spellStart"/>
      <w:r w:rsidRPr="00D573C2">
        <w:rPr>
          <w:rFonts w:ascii="Times New Roman" w:hAnsi="Times New Roman" w:cs="Times New Roman"/>
        </w:rPr>
        <w:t>publ</w:t>
      </w:r>
      <w:proofErr w:type="spellEnd"/>
      <w:r w:rsidRPr="00D573C2">
        <w:rPr>
          <w:rFonts w:ascii="Times New Roman" w:hAnsi="Times New Roman" w:cs="Times New Roman"/>
        </w:rPr>
        <w:t>. 21/10/2025]</w:t>
      </w:r>
    </w:p>
    <w:p w14:paraId="3ACD506D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Similitude: sentença homologatória de transação transitada em julgado; pretensão de alterar, nos próprios autos originários, a situação jurídica por ela estabilizada. Divergência: o paradigma afirma que a modificação somente se admite pelas vias próprias, vedada a revisão informal nos autos originários; o acórdão recorrido admite a retomada do processo nos próprios autos, por simples petição.</w:t>
      </w:r>
    </w:p>
    <w:p w14:paraId="719345F4" w14:textId="2401DDB2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Requer-se, assim, que </w:t>
      </w:r>
      <w:proofErr w:type="spellStart"/>
      <w:proofErr w:type="gramStart"/>
      <w:r w:rsidRPr="00D573C2">
        <w:rPr>
          <w:rFonts w:ascii="Times New Roman" w:hAnsi="Times New Roman" w:cs="Times New Roman"/>
        </w:rPr>
        <w:t>es</w:t>
      </w:r>
      <w:r w:rsidR="00FD0FBA">
        <w:rPr>
          <w:rFonts w:ascii="Times New Roman" w:hAnsi="Times New Roman" w:cs="Times New Roman"/>
        </w:rPr>
        <w:t>t</w:t>
      </w:r>
      <w:r w:rsidRPr="00D573C2">
        <w:rPr>
          <w:rFonts w:ascii="Times New Roman" w:hAnsi="Times New Roman" w:cs="Times New Roman"/>
        </w:rPr>
        <w:t>a</w:t>
      </w:r>
      <w:proofErr w:type="spellEnd"/>
      <w:proofErr w:type="gramEnd"/>
      <w:r w:rsidRPr="00D573C2">
        <w:rPr>
          <w:rFonts w:ascii="Times New Roman" w:hAnsi="Times New Roman" w:cs="Times New Roman"/>
        </w:rPr>
        <w:t xml:space="preserve"> Colenda Câmara se manifeste expressamente sobre a tese jurídica comum aos paradigmas — a de que a sentença transitada em julgado, inclusive a homologatória de transação, somente pode ser desconstituída ou modificada pelas vias próprias, vedada a reabertura do processo findo por simples petição — à luz dos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494, 502, 505, 507, 966 e 975 do CPC.</w:t>
      </w:r>
    </w:p>
    <w:p w14:paraId="36C50860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XI – DA RELEVÂNCIA DA QUESTÃO FEDERAL E DOS NOVOS REQUISITOS REGIMENTAIS DO STJ</w:t>
      </w:r>
    </w:p>
    <w:p w14:paraId="6D00C420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XI.1 – O novo regime</w:t>
      </w:r>
    </w:p>
    <w:p w14:paraId="0E57B88E" w14:textId="181A1E9C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A Emenda Constitucional n. 125/2022 instituiu a relevância da questão de direito federal infraconstitucional como requisito de admissibilidade do recurso especial [art. 105, §§2º e 3º, CF], regulamentado pela Lei n. 15.484/2026, que inseriu o art. 1.035-A no CPC, e disciplinado no Regimento Interno do Superior Tribunal de Justiça pela Emenda Regimental n. 55/2026, aplicável aos recursos interpostos contra acórdãos publicados a partir de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como é o caso do v. acórdão embargado. A Emenda Regimental n. 53/2026, por sua vez, introduziu o art. 343-A do RISTJ, que exige resumo estruturado nas petições de recurso dirigidas àquela Corte.</w:t>
      </w:r>
    </w:p>
    <w:p w14:paraId="564FD65C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Embora a demonstração da relevância seja ônus do recorrente, a ser cumprido em tópico próprio do recurso especial, é imprescindível que o acórdão recorrido explicite as premissas das quais ela decorre. Por isso, o Embargante as delimita desde logo.</w:t>
      </w:r>
    </w:p>
    <w:p w14:paraId="465E47A0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XI.2 – Relevância presumida [art. 105, §3º, V, CF]</w:t>
      </w:r>
    </w:p>
    <w:p w14:paraId="29EEA3D6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Presume-se a relevância quando o acórdão recorrido contrariar jurisprudência dominante do Superior Tribunal de Justiça. É o caso. O v. acórdão: </w:t>
      </w:r>
    </w:p>
    <w:p w14:paraId="431012FF" w14:textId="3BF57CE2" w:rsidR="00D573C2" w:rsidRPr="00D573C2" w:rsidRDefault="00FD0FBA" w:rsidP="00D573C2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="00D573C2" w:rsidRPr="00D573C2">
        <w:rPr>
          <w:rFonts w:ascii="Times New Roman" w:hAnsi="Times New Roman" w:cs="Times New Roman"/>
        </w:rPr>
        <w:t>autoriza</w:t>
      </w:r>
      <w:proofErr w:type="gramEnd"/>
      <w:r w:rsidR="00D573C2" w:rsidRPr="00D573C2">
        <w:rPr>
          <w:rFonts w:ascii="Times New Roman" w:hAnsi="Times New Roman" w:cs="Times New Roman"/>
        </w:rPr>
        <w:t xml:space="preserve"> a reabertura de processo findo por simples petição, em contrariedade à orientação do REsp n. 1.992.375/SP, que, por sua vez, se apoia em entendimento firmado em recurso repetitivo [REsp n. 1.143.471/PR]; e </w:t>
      </w:r>
    </w:p>
    <w:p w14:paraId="5AB59AB3" w14:textId="634A97E8" w:rsidR="00D573C2" w:rsidRPr="00D573C2" w:rsidRDefault="00FD0FBA" w:rsidP="00D573C2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proofErr w:type="gramStart"/>
      <w:r w:rsidR="00D573C2" w:rsidRPr="00D573C2">
        <w:rPr>
          <w:rFonts w:ascii="Times New Roman" w:hAnsi="Times New Roman" w:cs="Times New Roman"/>
        </w:rPr>
        <w:t>dispensa</w:t>
      </w:r>
      <w:proofErr w:type="gramEnd"/>
      <w:r w:rsidR="00D573C2" w:rsidRPr="00D573C2">
        <w:rPr>
          <w:rFonts w:ascii="Times New Roman" w:hAnsi="Times New Roman" w:cs="Times New Roman"/>
        </w:rPr>
        <w:t xml:space="preserve"> a via autônoma para a desconstituição da sentença homologatória, em contrariedade aos próprios precedentes do STJ que invoca [</w:t>
      </w:r>
      <w:proofErr w:type="spellStart"/>
      <w:r w:rsidR="00D573C2" w:rsidRPr="00D573C2">
        <w:rPr>
          <w:rFonts w:ascii="Times New Roman" w:hAnsi="Times New Roman" w:cs="Times New Roman"/>
        </w:rPr>
        <w:t>AgRg</w:t>
      </w:r>
      <w:proofErr w:type="spellEnd"/>
      <w:r w:rsidR="00D573C2" w:rsidRPr="00D573C2">
        <w:rPr>
          <w:rFonts w:ascii="Times New Roman" w:hAnsi="Times New Roman" w:cs="Times New Roman"/>
        </w:rPr>
        <w:t xml:space="preserve"> no </w:t>
      </w:r>
      <w:proofErr w:type="spellStart"/>
      <w:r w:rsidR="00D573C2" w:rsidRPr="00D573C2">
        <w:rPr>
          <w:rFonts w:ascii="Times New Roman" w:hAnsi="Times New Roman" w:cs="Times New Roman"/>
        </w:rPr>
        <w:t>AREsp</w:t>
      </w:r>
      <w:proofErr w:type="spellEnd"/>
      <w:r w:rsidR="00D573C2" w:rsidRPr="00D573C2">
        <w:rPr>
          <w:rFonts w:ascii="Times New Roman" w:hAnsi="Times New Roman" w:cs="Times New Roman"/>
        </w:rPr>
        <w:t xml:space="preserve"> n. 505.804/SC; </w:t>
      </w:r>
      <w:proofErr w:type="spellStart"/>
      <w:r w:rsidR="00D573C2" w:rsidRPr="00D573C2">
        <w:rPr>
          <w:rFonts w:ascii="Times New Roman" w:hAnsi="Times New Roman" w:cs="Times New Roman"/>
        </w:rPr>
        <w:t>AgRg</w:t>
      </w:r>
      <w:proofErr w:type="spellEnd"/>
      <w:r w:rsidR="00D573C2" w:rsidRPr="00D573C2">
        <w:rPr>
          <w:rFonts w:ascii="Times New Roman" w:hAnsi="Times New Roman" w:cs="Times New Roman"/>
        </w:rPr>
        <w:t xml:space="preserve"> no REsp n. 915.705/SP]. </w:t>
      </w:r>
    </w:p>
    <w:p w14:paraId="0F502657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XI.3 – Relevância jurídica, social e econômica</w:t>
      </w:r>
    </w:p>
    <w:p w14:paraId="10DB8098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Independentemente da presunção, a questão transcende o interesse subjetivo das partes. Definir se a procedência de ação anulatória de negócio jurídico [art. 966, §4º, CPC] autoriza, automaticamente e por simples petição, a reabertura de processos extintos por sentenças homologatórias transitadas em julgado, inclusive em juízos diversos e sem que tais sentenças tenham integrado o pedido da anulatória, é tema de relevância jurídica evidente, com potencial de repercussão sobre incontável número de processos extintos por transação em todo o território nacional; e de relevância social e econômica, por envolver a estabilidade das soluções autocompositivas, que o próprio CPC elegeu como política pública prioritária [art. 3º, §§2º e 3º], e a segurança jurídica das partes que nelas confiam.</w:t>
      </w:r>
    </w:p>
    <w:p w14:paraId="070C58AC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XI.4 – Quadro-resumo [art. 343-A do RISTJ]</w:t>
      </w:r>
    </w:p>
    <w:p w14:paraId="7FB27E9F" w14:textId="3FB29B5D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Por cautela e para facilitar o exame da matéria, o Embargante antecipa o resumo estruturado que instruirá o eventual recurso especial:</w:t>
      </w:r>
    </w:p>
    <w:p w14:paraId="7DB0862E" w14:textId="74B929E5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1. Síntese fática e decisão </w:t>
      </w:r>
      <w:proofErr w:type="spellStart"/>
      <w:r w:rsidRPr="00D573C2">
        <w:rPr>
          <w:rFonts w:ascii="Times New Roman" w:hAnsi="Times New Roman" w:cs="Times New Roman"/>
        </w:rPr>
        <w:t>impugnadaAção</w:t>
      </w:r>
      <w:proofErr w:type="spellEnd"/>
      <w:r w:rsidRPr="00D573C2">
        <w:rPr>
          <w:rFonts w:ascii="Times New Roman" w:hAnsi="Times New Roman" w:cs="Times New Roman"/>
        </w:rPr>
        <w:t xml:space="preserve"> de exigir contas extinta com resolução de mérito por sentença homologatória de transação [art. 487, III, “b”, CPC], transitada em julgado em </w:t>
      </w:r>
      <w:r w:rsidR="00FD0FBA">
        <w:rPr>
          <w:rFonts w:ascii="Times New Roman" w:hAnsi="Times New Roman" w:cs="Times New Roman"/>
        </w:rPr>
        <w:t>..</w:t>
      </w:r>
      <w:r w:rsidRPr="00D573C2">
        <w:rPr>
          <w:rFonts w:ascii="Times New Roman" w:hAnsi="Times New Roman" w:cs="Times New Roman"/>
        </w:rPr>
        <w:t>. Em ação anulatória autônoma, ajuizada em outro juízo, decretou-se a nulidade do negócio jurídico subjacente, com restituição dos imóveis dados em pagamento, sem que a sentença homologatória integrasse o pedido ou o dispositivo. O autor requereu, por simples petição, o desarquivamento e a reativação do processo findo; o juízo indeferiu. O TJ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deu provimento ao agravo de instrumento para determinar o desarquivamento e o prosseguimento do feito, adotando fundamentação reproduzida de decisão liminar proferida em processo diverso.</w:t>
      </w:r>
    </w:p>
    <w:p w14:paraId="78188C9E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2. Fundamentos de direito e dispositivos violados</w:t>
      </w:r>
      <w:r w:rsidRPr="00D573C2">
        <w:rPr>
          <w:rFonts w:ascii="Times New Roman" w:hAnsi="Times New Roman" w:cs="Times New Roman"/>
        </w:rPr>
        <w:tab/>
        <w:t xml:space="preserve">Violação aos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 xml:space="preserve">. 11, 489, §1º, III, IV, V e VI, e 1.022, I, II e III, e parágrafo único, II, do CPC [fundamentação transplantada; contradições; omissões]. Violação aos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 xml:space="preserve">. 487, III, “b”, 494, 502, 503, 505 e 507 do CPC [coisa julgada material da sentença homologatória]; 966, </w:t>
      </w:r>
      <w:r w:rsidRPr="00FD0FBA">
        <w:rPr>
          <w:rFonts w:ascii="Times New Roman" w:hAnsi="Times New Roman" w:cs="Times New Roman"/>
          <w:i/>
          <w:iCs/>
        </w:rPr>
        <w:t>caput</w:t>
      </w:r>
      <w:r w:rsidRPr="00D573C2">
        <w:rPr>
          <w:rFonts w:ascii="Times New Roman" w:hAnsi="Times New Roman" w:cs="Times New Roman"/>
        </w:rPr>
        <w:t xml:space="preserve"> e §4º, e 975 do CPC [taxatividade das vias de desconstituição e decadência]; 141, 492 e 503 do CPC [limites objetivos da coisa julgada da anulatória]; 926 e 927 do CPC; e art. 182 do Código Civil [efeito material, e não processual, da anulação]. Divergência jurisprudencial com o REsp 1.992.375/SP [STJ] e com os </w:t>
      </w:r>
      <w:proofErr w:type="spellStart"/>
      <w:r w:rsidRPr="00D573C2">
        <w:rPr>
          <w:rFonts w:ascii="Times New Roman" w:hAnsi="Times New Roman" w:cs="Times New Roman"/>
        </w:rPr>
        <w:t>AIs</w:t>
      </w:r>
      <w:proofErr w:type="spellEnd"/>
      <w:r w:rsidRPr="00D573C2">
        <w:rPr>
          <w:rFonts w:ascii="Times New Roman" w:hAnsi="Times New Roman" w:cs="Times New Roman"/>
        </w:rPr>
        <w:t xml:space="preserve"> 1133029-87.2026.8.13.0000 e 0800778-26.2025.8.13.0000 [TJMG].</w:t>
      </w:r>
    </w:p>
    <w:p w14:paraId="60D7779E" w14:textId="6EF60983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3. Pedidos</w:t>
      </w:r>
      <w:r w:rsidR="00FD0FBA"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Principal: anulação do acórdão por negativa de prestação jurisdicional, com retorno dos autos para novo julgamento dos embargos de declaração. Sucessivo: provimento do recurso especial para negar provimento ao agravo de instrumento, restabelecendo as decisões que indeferiram o desarquivamento, ante a coisa julgada material da sentença homologatória e a inexistência de via processual que autorize a reabertura do processo findo por simples petição.</w:t>
      </w:r>
    </w:p>
    <w:p w14:paraId="4514C9BB" w14:textId="6FD7C8D1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4. Precedentes qualificados e </w:t>
      </w:r>
      <w:proofErr w:type="spellStart"/>
      <w:r w:rsidRPr="00D573C2">
        <w:rPr>
          <w:rFonts w:ascii="Times New Roman" w:hAnsi="Times New Roman" w:cs="Times New Roman"/>
        </w:rPr>
        <w:t>súmulasREsp</w:t>
      </w:r>
      <w:proofErr w:type="spellEnd"/>
      <w:r w:rsidRPr="00D573C2">
        <w:rPr>
          <w:rFonts w:ascii="Times New Roman" w:hAnsi="Times New Roman" w:cs="Times New Roman"/>
        </w:rPr>
        <w:t xml:space="preserve"> 1.143.471/PR [recurso repetitivo, referido no REsp 1.992.375/SP]; REsp 1.992.375/SP, 4ª Turma, j. 09/03/2026; </w:t>
      </w:r>
      <w:proofErr w:type="spellStart"/>
      <w:r w:rsidRPr="00D573C2">
        <w:rPr>
          <w:rFonts w:ascii="Times New Roman" w:hAnsi="Times New Roman" w:cs="Times New Roman"/>
        </w:rPr>
        <w:t>AgRg</w:t>
      </w:r>
      <w:proofErr w:type="spellEnd"/>
      <w:r w:rsidRPr="00D573C2">
        <w:rPr>
          <w:rFonts w:ascii="Times New Roman" w:hAnsi="Times New Roman" w:cs="Times New Roman"/>
        </w:rPr>
        <w:t xml:space="preserve"> no </w:t>
      </w:r>
      <w:proofErr w:type="spellStart"/>
      <w:r w:rsidRPr="00D573C2">
        <w:rPr>
          <w:rFonts w:ascii="Times New Roman" w:hAnsi="Times New Roman" w:cs="Times New Roman"/>
        </w:rPr>
        <w:t>AREsp</w:t>
      </w:r>
      <w:proofErr w:type="spellEnd"/>
      <w:r w:rsidRPr="00D573C2">
        <w:rPr>
          <w:rFonts w:ascii="Times New Roman" w:hAnsi="Times New Roman" w:cs="Times New Roman"/>
        </w:rPr>
        <w:t xml:space="preserve"> 505.804/SC; </w:t>
      </w:r>
      <w:proofErr w:type="spellStart"/>
      <w:r w:rsidRPr="00D573C2">
        <w:rPr>
          <w:rFonts w:ascii="Times New Roman" w:hAnsi="Times New Roman" w:cs="Times New Roman"/>
        </w:rPr>
        <w:lastRenderedPageBreak/>
        <w:t>AgRg</w:t>
      </w:r>
      <w:proofErr w:type="spellEnd"/>
      <w:r w:rsidRPr="00D573C2">
        <w:rPr>
          <w:rFonts w:ascii="Times New Roman" w:hAnsi="Times New Roman" w:cs="Times New Roman"/>
        </w:rPr>
        <w:t xml:space="preserve"> no REsp 915.705/SP; REsp 2.230.360/SE [distinção]; Súmulas 98 e 211/STJ; Súmulas 282 e 356/STF.</w:t>
      </w:r>
    </w:p>
    <w:p w14:paraId="498BE2E6" w14:textId="662F0CF0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5. Relevância da questão federal</w:t>
      </w:r>
      <w:r w:rsidR="00FD0FBA">
        <w:rPr>
          <w:rFonts w:ascii="Times New Roman" w:hAnsi="Times New Roman" w:cs="Times New Roman"/>
        </w:rPr>
        <w:t xml:space="preserve"> </w:t>
      </w:r>
      <w:r w:rsidRPr="00D573C2">
        <w:rPr>
          <w:rFonts w:ascii="Times New Roman" w:hAnsi="Times New Roman" w:cs="Times New Roman"/>
        </w:rPr>
        <w:t>Relevância presumida [art. 105, §3º, V, CF]: o acórdão contraria jurisprudência dominante do STJ quanto à vedação de reabertura de processo findo por simples petição, que equivale a rescisória sem ação e sem prazo. Relevância jurídica, social e econômica: definição, com alcance nacional, dos efeitos processuais da procedência da ação anulatória do art. 966, §4º, do CPC sobre processos extintos por transação homologada e transitada em julgado, com reflexos na estabilidade das soluções autocompositivas [art. 3º, §§2º e 3º, CPC].</w:t>
      </w:r>
    </w:p>
    <w:p w14:paraId="256B0312" w14:textId="77777777" w:rsidR="00D573C2" w:rsidRPr="00FD0FBA" w:rsidRDefault="00D573C2" w:rsidP="00D573C2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D0FBA">
        <w:rPr>
          <w:rFonts w:ascii="Times New Roman" w:hAnsi="Times New Roman" w:cs="Times New Roman"/>
          <w:b/>
          <w:bCs/>
        </w:rPr>
        <w:t>XII – DOS PEDIDOS</w:t>
      </w:r>
    </w:p>
    <w:p w14:paraId="5AA0B61F" w14:textId="36104E38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FD0FBA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FD0FBA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D573C2">
        <w:rPr>
          <w:rFonts w:ascii="Times New Roman" w:hAnsi="Times New Roman" w:cs="Times New Roman"/>
        </w:rPr>
        <w:t>, o Embargante requer:</w:t>
      </w:r>
    </w:p>
    <w:p w14:paraId="22347BB9" w14:textId="2A959DED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a) o conhecimento dos presentes embargos de declaração, porque tempestivos e cabíveis [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1.022 e 1.023, CPC];</w:t>
      </w:r>
    </w:p>
    <w:p w14:paraId="59D04400" w14:textId="77066D6D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b) a atribuição de efeito suspensivo aos embargos, com a suspensão da eficácia do v. acórdão e a comunicação ao Juízo da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ª Vara Cível da Comarca de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, até o seu julgamento [art. 1.026, §1º, CPC];</w:t>
      </w:r>
    </w:p>
    <w:p w14:paraId="5CB860E4" w14:textId="4CA0E1E9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c) a intimação do Embargado para, querendo, manifestar-se no prazo legal, ante o pedido de efeitos infringentes [art. 1.023, §2º, CPC];</w:t>
      </w:r>
    </w:p>
    <w:p w14:paraId="286A050A" w14:textId="77777777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d) o acolhimento dos embargos para: (d.1) eliminar as contradições apontadas no tópico III; (d.2) corrigir os erros materiais e as premissas fáticas equivocadas apontados no tópico IV; (d.3) esclarecer as obscuridades apontadas no tópico V; e (d.4) suprir as omissões apontadas no tópico VI;</w:t>
      </w:r>
    </w:p>
    <w:p w14:paraId="6BD08FAB" w14:textId="2C0D3ABF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e) em consequência necessária do saneamento dos vícios, a atribuição de efeitos infringentes, para negar provimento ao agravo de instrumento, restabelecendo integralmente as r. decisões dos eventos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dos autos de origem e cassando a determinação de desarquivamento e prosseguimento da Ação de Exigir Contas n.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, com comunicação ao Juízo </w:t>
      </w:r>
      <w:r w:rsidRPr="00FD0FBA">
        <w:rPr>
          <w:rFonts w:ascii="Times New Roman" w:hAnsi="Times New Roman" w:cs="Times New Roman"/>
          <w:i/>
          <w:iCs/>
        </w:rPr>
        <w:t>a quo</w:t>
      </w:r>
      <w:r w:rsidRPr="00D573C2">
        <w:rPr>
          <w:rFonts w:ascii="Times New Roman" w:hAnsi="Times New Roman" w:cs="Times New Roman"/>
        </w:rPr>
        <w:t>;</w:t>
      </w:r>
    </w:p>
    <w:p w14:paraId="02CAA4A2" w14:textId="39A09349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f) subsidiariamente, caso não se atribuam efeitos infringentes, a integração do v. acórdão para que conste, de forma expressa: (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) que o julgamento encerra juízo exauriente e definitivo; (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) o destino jurídico da sentença homologatória do evento 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 xml:space="preserve"> e o fundamento legal correspondente; (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) o marco processual da retomada do feito; e (</w:t>
      </w:r>
      <w:r w:rsidR="00FD0FBA">
        <w:rPr>
          <w:rFonts w:ascii="Times New Roman" w:hAnsi="Times New Roman" w:cs="Times New Roman"/>
        </w:rPr>
        <w:t>...</w:t>
      </w:r>
      <w:r w:rsidRPr="00D573C2">
        <w:rPr>
          <w:rFonts w:ascii="Times New Roman" w:hAnsi="Times New Roman" w:cs="Times New Roman"/>
        </w:rPr>
        <w:t>) as premissas fáticas enumeradas no tópico X;</w:t>
      </w:r>
    </w:p>
    <w:p w14:paraId="1D4E98A2" w14:textId="603F2106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 xml:space="preserve">g) em qualquer hipótese, o prequestionamento explícito das questões federais enumeradas no item IX.2 —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 xml:space="preserve">. 11, 141, 372, 487, III, “b”, 489, §1º, III, IV, V e VI, 492, 494, 502, 503, 505, 507, 508, 926, 927, 966, caput e §4º, e 975 do CPC; art. 182 do Código Civil; e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 xml:space="preserve">. 5º, XXXVI, e 93, IX, da Constituição Federal —, bem como a apreciação individualizada de cada vício ora apontado, sob pena de violação, pelo próprio acórdão integrativo, aos </w:t>
      </w:r>
      <w:proofErr w:type="spellStart"/>
      <w:r w:rsidRPr="00D573C2">
        <w:rPr>
          <w:rFonts w:ascii="Times New Roman" w:hAnsi="Times New Roman" w:cs="Times New Roman"/>
        </w:rPr>
        <w:t>arts</w:t>
      </w:r>
      <w:proofErr w:type="spellEnd"/>
      <w:r w:rsidRPr="00D573C2">
        <w:rPr>
          <w:rFonts w:ascii="Times New Roman" w:hAnsi="Times New Roman" w:cs="Times New Roman"/>
        </w:rPr>
        <w:t>. 1.022 e 489, §1º, IV, do CPC [item IX.3];</w:t>
      </w:r>
    </w:p>
    <w:p w14:paraId="65639441" w14:textId="70E2C449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lastRenderedPageBreak/>
        <w:t>h) a manifestação expressa sobre a tese jurídica comum aos paradigmas transcritos no tópico X;</w:t>
      </w:r>
    </w:p>
    <w:p w14:paraId="5C4693BD" w14:textId="46910DF2" w:rsidR="00D573C2" w:rsidRPr="00D573C2" w:rsidRDefault="00D573C2" w:rsidP="00D573C2">
      <w:pPr>
        <w:ind w:right="-568"/>
        <w:jc w:val="both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i) o reconhecimento de que os embargos são opostos com o propósito de prequestionamento e não têm caráter protelatório [Súmula 98/STJ].</w:t>
      </w:r>
    </w:p>
    <w:p w14:paraId="1A9E8F28" w14:textId="128648D7" w:rsidR="00D573C2" w:rsidRPr="00D573C2" w:rsidRDefault="00D573C2" w:rsidP="00FD0FBA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D573C2">
        <w:rPr>
          <w:rFonts w:ascii="Times New Roman" w:hAnsi="Times New Roman" w:cs="Times New Roman"/>
        </w:rPr>
        <w:t>P</w:t>
      </w:r>
      <w:r w:rsidR="00FD0FBA">
        <w:rPr>
          <w:rFonts w:ascii="Times New Roman" w:hAnsi="Times New Roman" w:cs="Times New Roman"/>
        </w:rPr>
        <w:t>ede</w:t>
      </w:r>
      <w:r w:rsidRPr="00D573C2">
        <w:rPr>
          <w:rFonts w:ascii="Times New Roman" w:hAnsi="Times New Roman" w:cs="Times New Roman"/>
        </w:rPr>
        <w:t xml:space="preserve"> Deferimento.</w:t>
      </w:r>
    </w:p>
    <w:p w14:paraId="26D232D2" w14:textId="3E71C3AE" w:rsidR="00D573C2" w:rsidRDefault="00FD0FBA" w:rsidP="00FD0FBA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3D378019" w14:textId="7E3591A0" w:rsidR="00FD0FBA" w:rsidRPr="00D573C2" w:rsidRDefault="00FD0FBA" w:rsidP="00FD0FBA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FD0FBA" w:rsidRPr="00D573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C2"/>
    <w:rsid w:val="000D324A"/>
    <w:rsid w:val="002F6971"/>
    <w:rsid w:val="00D573C2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6F8FD"/>
  <w15:chartTrackingRefBased/>
  <w15:docId w15:val="{ABE793AB-F5DC-4F40-9D95-26DD2569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57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7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73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57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573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57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57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57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57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573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73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73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573C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573C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573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573C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573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573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57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57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57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57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57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573C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573C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573C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573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573C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573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18</Pages>
  <Words>7637</Words>
  <Characters>41243</Characters>
  <Application>Microsoft Office Word</Application>
  <DocSecurity>0</DocSecurity>
  <Lines>343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2026-10-05T21:42:00Z</dcterms:created>
  <dcterms:modified xsi:type="dcterms:W3CDTF">2026-10-05T22:13:00Z</dcterms:modified>
</cp:coreProperties>
</file>