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D9E44" w14:textId="77777777" w:rsidR="009908F3" w:rsidRPr="009908F3" w:rsidRDefault="009908F3" w:rsidP="009908F3">
      <w:pPr>
        <w:spacing w:after="0" w:line="240" w:lineRule="auto"/>
        <w:ind w:right="-568"/>
        <w:jc w:val="center"/>
        <w:rPr>
          <w:rFonts w:ascii="Arial Black" w:hAnsi="Arial Black" w:cs="Times New Roman"/>
        </w:rPr>
      </w:pPr>
      <w:r w:rsidRPr="009908F3">
        <w:rPr>
          <w:rFonts w:ascii="Arial Black" w:hAnsi="Arial Black" w:cs="Times New Roman"/>
        </w:rPr>
        <w:t>MODELO DE PETIÇÃO</w:t>
      </w:r>
    </w:p>
    <w:p w14:paraId="7828DC0A" w14:textId="7FFF04E3" w:rsidR="009908F3" w:rsidRPr="009908F3" w:rsidRDefault="009908F3" w:rsidP="009908F3">
      <w:pPr>
        <w:spacing w:after="0" w:line="240" w:lineRule="auto"/>
        <w:ind w:right="-568"/>
        <w:jc w:val="center"/>
        <w:rPr>
          <w:rFonts w:ascii="Arial Black" w:hAnsi="Arial Black" w:cs="Times New Roman"/>
        </w:rPr>
      </w:pPr>
      <w:r w:rsidRPr="009908F3">
        <w:rPr>
          <w:rFonts w:ascii="Arial Black" w:hAnsi="Arial Black" w:cs="Times New Roman"/>
        </w:rPr>
        <w:t>EMBARGOS DE DECLARAÇÃO. REDISCUSSÃO. MATÉRIA DE MÉRITO</w:t>
      </w:r>
      <w:r>
        <w:rPr>
          <w:rFonts w:ascii="Arial Black" w:hAnsi="Arial Black" w:cs="Times New Roman"/>
        </w:rPr>
        <w:t xml:space="preserve">. </w:t>
      </w:r>
      <w:r w:rsidRPr="009908F3">
        <w:rPr>
          <w:rFonts w:ascii="Arial Black" w:hAnsi="Arial Black" w:cs="Times New Roman"/>
        </w:rPr>
        <w:t>REJEIÇÃO</w:t>
      </w:r>
    </w:p>
    <w:p w14:paraId="528E7008" w14:textId="77777777" w:rsidR="009908F3" w:rsidRPr="009908F3" w:rsidRDefault="009908F3" w:rsidP="009908F3">
      <w:pPr>
        <w:spacing w:after="0" w:line="240" w:lineRule="auto"/>
        <w:ind w:right="-568"/>
        <w:jc w:val="right"/>
        <w:rPr>
          <w:rFonts w:ascii="Arial Black" w:hAnsi="Arial Black" w:cs="Times New Roman"/>
        </w:rPr>
      </w:pPr>
      <w:r w:rsidRPr="009908F3">
        <w:rPr>
          <w:rFonts w:ascii="Arial Black" w:hAnsi="Arial Black" w:cs="Times New Roman"/>
        </w:rPr>
        <w:t>Rénan Kfuri Lopes</w:t>
      </w:r>
    </w:p>
    <w:p w14:paraId="3D6CBB3F" w14:textId="77777777" w:rsidR="009908F3" w:rsidRPr="009908F3" w:rsidRDefault="009908F3" w:rsidP="009908F3">
      <w:pPr>
        <w:ind w:right="-568"/>
        <w:jc w:val="both"/>
        <w:rPr>
          <w:rFonts w:ascii="Times New Roman" w:hAnsi="Times New Roman" w:cs="Times New Roman"/>
        </w:rPr>
      </w:pPr>
    </w:p>
    <w:p w14:paraId="0042332B" w14:textId="77777777" w:rsidR="009908F3" w:rsidRDefault="009908F3" w:rsidP="009908F3">
      <w:pPr>
        <w:ind w:right="-568"/>
        <w:jc w:val="both"/>
        <w:rPr>
          <w:rFonts w:ascii="Times New Roman" w:hAnsi="Times New Roman" w:cs="Times New Roman"/>
        </w:rPr>
      </w:pPr>
      <w:r w:rsidRPr="009908F3">
        <w:rPr>
          <w:rFonts w:ascii="Times New Roman" w:hAnsi="Times New Roman" w:cs="Times New Roman"/>
        </w:rPr>
        <w:t>E</w:t>
      </w:r>
      <w:r>
        <w:rPr>
          <w:rFonts w:ascii="Times New Roman" w:hAnsi="Times New Roman" w:cs="Times New Roman"/>
        </w:rPr>
        <w:t>xma. Sra. Juíza de Direito da ... Vara Cível da Comarca de ...</w:t>
      </w:r>
    </w:p>
    <w:p w14:paraId="26D3AC97" w14:textId="0153CD99" w:rsidR="009908F3" w:rsidRPr="009908F3" w:rsidRDefault="009908F3" w:rsidP="009908F3">
      <w:pPr>
        <w:ind w:right="-568"/>
        <w:jc w:val="both"/>
        <w:rPr>
          <w:rFonts w:ascii="Times New Roman" w:hAnsi="Times New Roman" w:cs="Times New Roman"/>
        </w:rPr>
      </w:pPr>
      <w:proofErr w:type="spellStart"/>
      <w:r w:rsidRPr="009908F3">
        <w:rPr>
          <w:rFonts w:ascii="Times New Roman" w:hAnsi="Times New Roman" w:cs="Times New Roman"/>
        </w:rPr>
        <w:t>PJe</w:t>
      </w:r>
      <w:proofErr w:type="spellEnd"/>
      <w:r w:rsidRPr="009908F3">
        <w:rPr>
          <w:rFonts w:ascii="Times New Roman" w:hAnsi="Times New Roman" w:cs="Times New Roman"/>
        </w:rPr>
        <w:t xml:space="preserve"> </w:t>
      </w:r>
      <w:r>
        <w:rPr>
          <w:rFonts w:ascii="Times New Roman" w:hAnsi="Times New Roman" w:cs="Times New Roman"/>
        </w:rPr>
        <w:t>...</w:t>
      </w:r>
    </w:p>
    <w:p w14:paraId="4D83CC9C" w14:textId="7E9614EB" w:rsidR="009908F3" w:rsidRPr="009908F3" w:rsidRDefault="009908F3" w:rsidP="009908F3">
      <w:pPr>
        <w:ind w:right="-568"/>
        <w:jc w:val="both"/>
        <w:rPr>
          <w:rFonts w:ascii="Times New Roman" w:hAnsi="Times New Roman" w:cs="Times New Roman"/>
        </w:rPr>
      </w:pPr>
      <w:r>
        <w:rPr>
          <w:rFonts w:ascii="Times New Roman" w:hAnsi="Times New Roman" w:cs="Times New Roman"/>
        </w:rPr>
        <w:t>(nome)</w:t>
      </w:r>
      <w:r w:rsidRPr="009908F3">
        <w:rPr>
          <w:rFonts w:ascii="Times New Roman" w:hAnsi="Times New Roman" w:cs="Times New Roman"/>
        </w:rPr>
        <w:t xml:space="preserve"> e </w:t>
      </w:r>
      <w:r>
        <w:rPr>
          <w:rFonts w:ascii="Times New Roman" w:hAnsi="Times New Roman" w:cs="Times New Roman"/>
        </w:rPr>
        <w:t>(nome)</w:t>
      </w:r>
      <w:r w:rsidRPr="009908F3">
        <w:rPr>
          <w:rFonts w:ascii="Times New Roman" w:hAnsi="Times New Roman" w:cs="Times New Roman"/>
        </w:rPr>
        <w:t xml:space="preserve">, ora embargados, pelos comuns advogados </w:t>
      </w:r>
      <w:r w:rsidRPr="009908F3">
        <w:rPr>
          <w:rFonts w:ascii="Times New Roman" w:hAnsi="Times New Roman" w:cs="Times New Roman"/>
          <w:i/>
          <w:iCs/>
        </w:rPr>
        <w:t>in fine</w:t>
      </w:r>
      <w:r w:rsidRPr="009908F3">
        <w:rPr>
          <w:rFonts w:ascii="Times New Roman" w:hAnsi="Times New Roman" w:cs="Times New Roman"/>
        </w:rPr>
        <w:t xml:space="preserve"> assinados, nos autos epigrafados da “</w:t>
      </w:r>
      <w:r w:rsidRPr="009908F3">
        <w:rPr>
          <w:rFonts w:ascii="Times New Roman" w:hAnsi="Times New Roman" w:cs="Times New Roman"/>
          <w:i/>
          <w:iCs/>
        </w:rPr>
        <w:t>ação ordinária de obrigação de fazer cumulada com indenização por danos materiais e morais e pedido de tutela antecipada</w:t>
      </w:r>
      <w:r w:rsidRPr="009908F3">
        <w:rPr>
          <w:rFonts w:ascii="Times New Roman" w:hAnsi="Times New Roman" w:cs="Times New Roman"/>
        </w:rPr>
        <w:t xml:space="preserve">” que contende contra </w:t>
      </w:r>
      <w:r>
        <w:rPr>
          <w:rFonts w:ascii="Times New Roman" w:hAnsi="Times New Roman" w:cs="Times New Roman"/>
        </w:rPr>
        <w:t>(nome)</w:t>
      </w:r>
      <w:r w:rsidRPr="009908F3">
        <w:rPr>
          <w:rFonts w:ascii="Times New Roman" w:hAnsi="Times New Roman" w:cs="Times New Roman"/>
        </w:rPr>
        <w:t xml:space="preserve"> e </w:t>
      </w:r>
      <w:r>
        <w:rPr>
          <w:rFonts w:ascii="Times New Roman" w:hAnsi="Times New Roman" w:cs="Times New Roman"/>
        </w:rPr>
        <w:t>(nome)</w:t>
      </w:r>
      <w:r w:rsidRPr="009908F3">
        <w:rPr>
          <w:rFonts w:ascii="Times New Roman" w:hAnsi="Times New Roman" w:cs="Times New Roman"/>
        </w:rPr>
        <w:t xml:space="preserve">, coautores, vêm, respeitosamente, apresentar sua MANIFESTAÇÃO DE CONTRARIEDADE AOS EMBARGOS DE DECLARAÇÃO opostos pela litisconsorte passiva </w:t>
      </w:r>
      <w:r>
        <w:rPr>
          <w:rFonts w:ascii="Times New Roman" w:hAnsi="Times New Roman" w:cs="Times New Roman"/>
        </w:rPr>
        <w:t>..</w:t>
      </w:r>
      <w:r w:rsidRPr="009908F3">
        <w:rPr>
          <w:rFonts w:ascii="Times New Roman" w:hAnsi="Times New Roman" w:cs="Times New Roman"/>
        </w:rPr>
        <w:t xml:space="preserve">. no Id </w:t>
      </w:r>
      <w:r>
        <w:rPr>
          <w:rFonts w:ascii="Times New Roman" w:hAnsi="Times New Roman" w:cs="Times New Roman"/>
        </w:rPr>
        <w:t>...</w:t>
      </w:r>
      <w:r w:rsidRPr="009908F3">
        <w:rPr>
          <w:rFonts w:ascii="Times New Roman" w:hAnsi="Times New Roman" w:cs="Times New Roman"/>
        </w:rPr>
        <w:t xml:space="preserve"> [CPC, art. 1.023, §2º]</w:t>
      </w:r>
      <w:r>
        <w:rPr>
          <w:rStyle w:val="Refdenotaderodap"/>
          <w:rFonts w:ascii="Times New Roman" w:hAnsi="Times New Roman" w:cs="Times New Roman"/>
        </w:rPr>
        <w:footnoteReference w:id="1"/>
      </w:r>
      <w:r w:rsidRPr="009908F3">
        <w:rPr>
          <w:rFonts w:ascii="Times New Roman" w:hAnsi="Times New Roman" w:cs="Times New Roman"/>
        </w:rPr>
        <w:t>, pelas razões adiante articuladas:</w:t>
      </w:r>
    </w:p>
    <w:p w14:paraId="6785BC1F" w14:textId="77777777" w:rsidR="009908F3" w:rsidRPr="009908F3" w:rsidRDefault="009908F3" w:rsidP="009908F3">
      <w:pPr>
        <w:ind w:right="-568"/>
        <w:jc w:val="both"/>
        <w:rPr>
          <w:rFonts w:ascii="Times New Roman" w:hAnsi="Times New Roman" w:cs="Times New Roman"/>
          <w:b/>
          <w:bCs/>
        </w:rPr>
      </w:pPr>
      <w:r w:rsidRPr="009908F3">
        <w:rPr>
          <w:rFonts w:ascii="Times New Roman" w:hAnsi="Times New Roman" w:cs="Times New Roman"/>
          <w:b/>
          <w:bCs/>
        </w:rPr>
        <w:t>REJEIÇÃO DOS EMBARGOS DE DECLARAÇÃO</w:t>
      </w:r>
    </w:p>
    <w:p w14:paraId="108ED67E" w14:textId="66E718B0"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Sem quebra de reverência, de conhecimento geral que os embargos declaratórios têm por objetivo sanar obscuridade ou contradição, suprir omissão de ponto ou questão sobre o qual devia se pronunciar o juiz de ofício ou a requerimento, bem como para corrigir erro material eventualmente identificado na decisão judicial hostilizada [CPC, art. 1.022]</w:t>
      </w:r>
      <w:r>
        <w:rPr>
          <w:rStyle w:val="Refdenotaderodap"/>
          <w:rFonts w:ascii="Times New Roman" w:hAnsi="Times New Roman" w:cs="Times New Roman"/>
        </w:rPr>
        <w:footnoteReference w:id="2"/>
      </w:r>
      <w:r w:rsidRPr="009908F3">
        <w:rPr>
          <w:rFonts w:ascii="Times New Roman" w:hAnsi="Times New Roman" w:cs="Times New Roman"/>
        </w:rPr>
        <w:t xml:space="preserve">. </w:t>
      </w:r>
    </w:p>
    <w:p w14:paraId="461915AB" w14:textId="1879F4E8"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Conforme expressa delimitação impositiva da lei, o recurso possui fundamentação vinculada, bastante restrita, exigindo da parte recorrente não apenas a demonstração clara e objetiva do vício que se busca corrigir, mas principalmente as razões portadoras de uma crítica ao ato jurisdicional impugnado, acompanhado de um novo pedido de decisão, não se furtando essa modalidade recursal específica aos pressupostos de admissibilidade, dentre eles o da regularidade formal.</w:t>
      </w:r>
    </w:p>
    <w:p w14:paraId="685F7502" w14:textId="44FD3C66"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Vem a calhar, aqui, o percuciente ponto de vista do renomado jurista Alexandre Freitas Câmara: “</w:t>
      </w:r>
      <w:r w:rsidRPr="009908F3">
        <w:rPr>
          <w:rFonts w:ascii="Times New Roman" w:hAnsi="Times New Roman" w:cs="Times New Roman"/>
          <w:i/>
          <w:iCs/>
        </w:rPr>
        <w:t>cabe ao embargante apontar, na petição de interposição do recurso, qual a obscuridade ou contradição contida no provimento embargado, ou ainda qual o ponto sobre o qual o pronunciamento judicial permaneceu omisso</w:t>
      </w:r>
      <w:r w:rsidRPr="009908F3">
        <w:rPr>
          <w:rFonts w:ascii="Times New Roman" w:hAnsi="Times New Roman" w:cs="Times New Roman"/>
        </w:rPr>
        <w:t>”</w:t>
      </w:r>
      <w:r>
        <w:rPr>
          <w:rStyle w:val="Refdenotaderodap"/>
          <w:rFonts w:ascii="Times New Roman" w:hAnsi="Times New Roman" w:cs="Times New Roman"/>
        </w:rPr>
        <w:footnoteReference w:id="3"/>
      </w:r>
      <w:r w:rsidRPr="009908F3">
        <w:rPr>
          <w:rFonts w:ascii="Times New Roman" w:hAnsi="Times New Roman" w:cs="Times New Roman"/>
        </w:rPr>
        <w:t xml:space="preserve"> [sic.]. </w:t>
      </w:r>
    </w:p>
    <w:p w14:paraId="1F9E1544" w14:textId="0CDB160A"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lastRenderedPageBreak/>
        <w:t xml:space="preserve">Entretanto, basta uma singela leitura da v. sentença e dos subsequentes </w:t>
      </w:r>
      <w:proofErr w:type="spellStart"/>
      <w:r w:rsidRPr="009908F3">
        <w:rPr>
          <w:rFonts w:ascii="Times New Roman" w:hAnsi="Times New Roman" w:cs="Times New Roman"/>
        </w:rPr>
        <w:t>aclaratórios</w:t>
      </w:r>
      <w:proofErr w:type="spellEnd"/>
      <w:r w:rsidRPr="009908F3">
        <w:rPr>
          <w:rFonts w:ascii="Times New Roman" w:hAnsi="Times New Roman" w:cs="Times New Roman"/>
        </w:rPr>
        <w:t xml:space="preserve"> aviados pela litisconsorte passiva </w:t>
      </w:r>
      <w:r>
        <w:rPr>
          <w:rFonts w:ascii="Times New Roman" w:hAnsi="Times New Roman" w:cs="Times New Roman"/>
        </w:rPr>
        <w:t>..</w:t>
      </w:r>
      <w:r w:rsidRPr="009908F3">
        <w:rPr>
          <w:rFonts w:ascii="Times New Roman" w:hAnsi="Times New Roman" w:cs="Times New Roman"/>
        </w:rPr>
        <w:t xml:space="preserve">.  para verificar seu clarividente propósito de rediscutir o mérito da </w:t>
      </w:r>
      <w:r w:rsidRPr="009908F3">
        <w:rPr>
          <w:rFonts w:ascii="Times New Roman" w:hAnsi="Times New Roman" w:cs="Times New Roman"/>
          <w:i/>
          <w:iCs/>
        </w:rPr>
        <w:t>quaestio juris</w:t>
      </w:r>
      <w:r w:rsidRPr="009908F3">
        <w:rPr>
          <w:rFonts w:ascii="Times New Roman" w:hAnsi="Times New Roman" w:cs="Times New Roman"/>
        </w:rPr>
        <w:t xml:space="preserve"> submetida a julgamento, absolutamente nada mais.</w:t>
      </w:r>
    </w:p>
    <w:p w14:paraId="4821C455" w14:textId="4EB15274"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 xml:space="preserve">Não há uma linha sequer dos embargos declaratórios que enfrente o </w:t>
      </w:r>
      <w:proofErr w:type="spellStart"/>
      <w:r w:rsidRPr="009908F3">
        <w:rPr>
          <w:rFonts w:ascii="Times New Roman" w:hAnsi="Times New Roman" w:cs="Times New Roman"/>
          <w:i/>
          <w:iCs/>
        </w:rPr>
        <w:t>punctum</w:t>
      </w:r>
      <w:proofErr w:type="spellEnd"/>
      <w:r w:rsidRPr="009908F3">
        <w:rPr>
          <w:rFonts w:ascii="Times New Roman" w:hAnsi="Times New Roman" w:cs="Times New Roman"/>
          <w:i/>
          <w:iCs/>
        </w:rPr>
        <w:t xml:space="preserve"> </w:t>
      </w:r>
      <w:proofErr w:type="spellStart"/>
      <w:r w:rsidRPr="009908F3">
        <w:rPr>
          <w:rFonts w:ascii="Times New Roman" w:hAnsi="Times New Roman" w:cs="Times New Roman"/>
          <w:i/>
          <w:iCs/>
        </w:rPr>
        <w:t>pruniens</w:t>
      </w:r>
      <w:proofErr w:type="spellEnd"/>
      <w:r w:rsidRPr="009908F3">
        <w:rPr>
          <w:rFonts w:ascii="Times New Roman" w:hAnsi="Times New Roman" w:cs="Times New Roman"/>
        </w:rPr>
        <w:t xml:space="preserve"> trazendo </w:t>
      </w:r>
      <w:proofErr w:type="spellStart"/>
      <w:r w:rsidRPr="009908F3">
        <w:rPr>
          <w:rFonts w:ascii="Times New Roman" w:hAnsi="Times New Roman" w:cs="Times New Roman"/>
        </w:rPr>
        <w:t>a</w:t>
      </w:r>
      <w:proofErr w:type="spellEnd"/>
      <w:r w:rsidRPr="009908F3">
        <w:rPr>
          <w:rFonts w:ascii="Times New Roman" w:hAnsi="Times New Roman" w:cs="Times New Roman"/>
        </w:rPr>
        <w:t xml:space="preserve"> baila alguma hipótese de obscuridade, contradição, omissão ou erro material. Muito ao contrário, deflui-se da leitura do recurso que a embargante simplesmente reeditou seu inconformismo com o mérito da sentença, sem apontar na forma legal o vício que autorize a utilização dos embargos declaratórios opostos, motivando a sua rejeição liminar por lhe faltarem os pressupostos de admissibilidade recursal.</w:t>
      </w:r>
    </w:p>
    <w:p w14:paraId="5275D701" w14:textId="03B4FC2B"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Em miúdos, todas as teses soerguidas em tópicos específicos intitulados “</w:t>
      </w:r>
      <w:r w:rsidRPr="009908F3">
        <w:rPr>
          <w:rFonts w:ascii="Times New Roman" w:hAnsi="Times New Roman" w:cs="Times New Roman"/>
          <w:i/>
          <w:iCs/>
        </w:rPr>
        <w:t>3.1. Fruição de vagas paralelas pelos autores: inexistência de prejuízo e risco de enriquecimento ilícito</w:t>
      </w:r>
      <w:r w:rsidRPr="009908F3">
        <w:rPr>
          <w:rFonts w:ascii="Times New Roman" w:hAnsi="Times New Roman" w:cs="Times New Roman"/>
        </w:rPr>
        <w:t>”, “</w:t>
      </w:r>
      <w:r w:rsidRPr="009908F3">
        <w:rPr>
          <w:rFonts w:ascii="Times New Roman" w:hAnsi="Times New Roman" w:cs="Times New Roman"/>
          <w:i/>
          <w:iCs/>
        </w:rPr>
        <w:t>3.2. Ressarcimento dos valores do muro de arrimo e da cobertura das vagas</w:t>
      </w:r>
      <w:r w:rsidRPr="009908F3">
        <w:rPr>
          <w:rFonts w:ascii="Times New Roman" w:hAnsi="Times New Roman" w:cs="Times New Roman"/>
        </w:rPr>
        <w:t>”, “</w:t>
      </w:r>
      <w:r w:rsidRPr="009908F3">
        <w:rPr>
          <w:rFonts w:ascii="Times New Roman" w:hAnsi="Times New Roman" w:cs="Times New Roman"/>
          <w:i/>
          <w:iCs/>
        </w:rPr>
        <w:t>3.3. Condenação ao reembolso de honorários advocatícios</w:t>
      </w:r>
      <w:r w:rsidRPr="009908F3">
        <w:rPr>
          <w:rFonts w:ascii="Times New Roman" w:hAnsi="Times New Roman" w:cs="Times New Roman"/>
        </w:rPr>
        <w:t>” e “</w:t>
      </w:r>
      <w:r w:rsidRPr="009908F3">
        <w:rPr>
          <w:rFonts w:ascii="Times New Roman" w:hAnsi="Times New Roman" w:cs="Times New Roman"/>
          <w:i/>
          <w:iCs/>
        </w:rPr>
        <w:t>3.4. Causalidade por ato de terceiros</w:t>
      </w:r>
      <w:r w:rsidRPr="009908F3">
        <w:rPr>
          <w:rFonts w:ascii="Times New Roman" w:hAnsi="Times New Roman" w:cs="Times New Roman"/>
        </w:rPr>
        <w:t>” constituem enfrentamento ao mérito da decisão terminativa, não se prestando a via recursal eleita para alterar o pronunciamento jurisdicional.</w:t>
      </w:r>
    </w:p>
    <w:p w14:paraId="075E656A" w14:textId="513AB0CC"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A jurisprudência se orienta a primeiro relance de olhos no sentido que “</w:t>
      </w:r>
      <w:r w:rsidRPr="009908F3">
        <w:rPr>
          <w:rFonts w:ascii="Times New Roman" w:hAnsi="Times New Roman" w:cs="Times New Roman"/>
          <w:i/>
          <w:iCs/>
        </w:rPr>
        <w:t>Os embargos de declaração não se prestam à rediscussão da matéria, sendo cabíveis apenas para sanar obscuridade, contradição, omissão ou erro material</w:t>
      </w:r>
      <w:r w:rsidRPr="009908F3">
        <w:rPr>
          <w:rFonts w:ascii="Times New Roman" w:hAnsi="Times New Roman" w:cs="Times New Roman"/>
        </w:rPr>
        <w:t xml:space="preserve">” [TJMG, Embargos de Declaração n. 1.0000.24.454607-3/002, Relatora Desembargadora Maria Lúcia Cabral Caruso, 12ª Câmara Cível,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02.04.2025].</w:t>
      </w:r>
    </w:p>
    <w:p w14:paraId="0918CF6F" w14:textId="539D5E45"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No mesmo sentido o colendo Tribunal de Justiça do Estado de Minas Gerais, no ponto:</w:t>
      </w:r>
    </w:p>
    <w:p w14:paraId="61335DE3" w14:textId="01AE7782" w:rsidR="009908F3" w:rsidRPr="009908F3" w:rsidRDefault="009908F3" w:rsidP="009908F3">
      <w:pPr>
        <w:ind w:right="-568"/>
        <w:jc w:val="both"/>
        <w:rPr>
          <w:rFonts w:ascii="Times New Roman" w:hAnsi="Times New Roman" w:cs="Times New Roman"/>
        </w:rPr>
      </w:pPr>
      <w:r>
        <w:rPr>
          <w:rFonts w:ascii="Times New Roman" w:hAnsi="Times New Roman" w:cs="Times New Roman"/>
        </w:rPr>
        <w:t>“</w:t>
      </w:r>
      <w:r w:rsidRPr="009908F3">
        <w:rPr>
          <w:rFonts w:ascii="Times New Roman" w:hAnsi="Times New Roman" w:cs="Times New Roman"/>
          <w:i/>
          <w:iCs/>
        </w:rPr>
        <w:t>A oposição de embargos de declaração se encontra vinculada à existência de obscuridade, contradição ou omissão no julgado, bem como para sanar a ocorrência de erro material (art. 1.022, I, II e III do novo CPC). Ausente quaisquer das hipóteses previstas no art. 1.022, do CPC, incabível a utilização dos embargos de declaração para o reexame de matéria já apreciada e decidida, ainda que sob o eventual pretexto de prequestionamento...</w:t>
      </w:r>
      <w:proofErr w:type="spellStart"/>
      <w:r w:rsidRPr="009908F3">
        <w:rPr>
          <w:rFonts w:ascii="Times New Roman" w:hAnsi="Times New Roman" w:cs="Times New Roman"/>
          <w:i/>
          <w:iCs/>
        </w:rPr>
        <w:t>omissis</w:t>
      </w:r>
      <w:proofErr w:type="spellEnd"/>
      <w:r w:rsidRPr="009908F3">
        <w:rPr>
          <w:rFonts w:ascii="Times New Roman" w:hAnsi="Times New Roman" w:cs="Times New Roman"/>
        </w:rPr>
        <w:t>...</w:t>
      </w:r>
      <w:r>
        <w:rPr>
          <w:rFonts w:ascii="Times New Roman" w:hAnsi="Times New Roman" w:cs="Times New Roman"/>
        </w:rPr>
        <w:t>”</w:t>
      </w:r>
      <w:r w:rsidRPr="009908F3">
        <w:rPr>
          <w:rFonts w:ascii="Times New Roman" w:hAnsi="Times New Roman" w:cs="Times New Roman"/>
        </w:rPr>
        <w:t xml:space="preserve"> [TJMG, Embargos de Declaração n. 1.0000.25.018178-1/002, Relator Desembargador Marco Aurelio </w:t>
      </w:r>
      <w:proofErr w:type="spellStart"/>
      <w:r w:rsidRPr="009908F3">
        <w:rPr>
          <w:rFonts w:ascii="Times New Roman" w:hAnsi="Times New Roman" w:cs="Times New Roman"/>
        </w:rPr>
        <w:t>Ferenzini</w:t>
      </w:r>
      <w:proofErr w:type="spellEnd"/>
      <w:r w:rsidRPr="009908F3">
        <w:rPr>
          <w:rFonts w:ascii="Times New Roman" w:hAnsi="Times New Roman" w:cs="Times New Roman"/>
        </w:rPr>
        <w:t xml:space="preserve">, 14ª Câmara Cível,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13.05.2025]</w:t>
      </w:r>
    </w:p>
    <w:p w14:paraId="74E8D275" w14:textId="46851CDF" w:rsidR="009908F3" w:rsidRPr="009908F3" w:rsidRDefault="009908F3" w:rsidP="009908F3">
      <w:pPr>
        <w:ind w:right="-568"/>
        <w:jc w:val="both"/>
        <w:rPr>
          <w:rFonts w:ascii="Times New Roman" w:hAnsi="Times New Roman" w:cs="Times New Roman"/>
        </w:rPr>
      </w:pPr>
      <w:r>
        <w:rPr>
          <w:rFonts w:ascii="Times New Roman" w:hAnsi="Times New Roman" w:cs="Times New Roman"/>
        </w:rPr>
        <w:t>“</w:t>
      </w:r>
      <w:r w:rsidRPr="009908F3">
        <w:rPr>
          <w:rFonts w:ascii="Times New Roman" w:hAnsi="Times New Roman" w:cs="Times New Roman"/>
          <w:i/>
          <w:iCs/>
        </w:rPr>
        <w:t>Os embargos de declaração não se prestam à rediscussão de mérito, sendo cabíveis apenas para sanar omissão, obscuridade, contradição ou erro material, nos termos do art. 1.022 do CPC</w:t>
      </w:r>
      <w:r w:rsidRPr="009908F3">
        <w:rPr>
          <w:rFonts w:ascii="Times New Roman" w:hAnsi="Times New Roman" w:cs="Times New Roman"/>
        </w:rPr>
        <w:t>.</w:t>
      </w:r>
      <w:r>
        <w:rPr>
          <w:rFonts w:ascii="Times New Roman" w:hAnsi="Times New Roman" w:cs="Times New Roman"/>
        </w:rPr>
        <w:t>”</w:t>
      </w:r>
      <w:r w:rsidRPr="009908F3">
        <w:rPr>
          <w:rFonts w:ascii="Times New Roman" w:hAnsi="Times New Roman" w:cs="Times New Roman"/>
        </w:rPr>
        <w:t xml:space="preserve"> [TJMG, Embargos de Declaração n. 1.0000.25.090433-1/002, Relator Desembargador Newton Teixeira Carvalho, 13ª Câmara Cível,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19.09.2025]</w:t>
      </w:r>
    </w:p>
    <w:p w14:paraId="5A501F80" w14:textId="7BB18228"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 xml:space="preserve">Essa orientação constitui álveo remansado e caudaloso no Tribunal de Justiça do Estado de Minas Gerais, bastando conferir, v.g.: TJMG, Embargos de Declaração n. 1.0000.25.074221-0/003, Relator Desembargador Roberto Apolinário de Castro, 4ª Câmara Cível Especializada,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19.09.2025; TJMG n. 1.0000.23.086015-7/001, Relator Desembargador Alexandre Victor de Carvalho, 21ª Câmara Cível Especializada,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19.09.2025; TJMG, Embargos de Declaração n. 1.0000.25.156329-2/002, Relator Desembargador Amauri Pinto Ferreira, 17ª Câmara Cível, </w:t>
      </w:r>
      <w:proofErr w:type="spellStart"/>
      <w:r w:rsidRPr="009908F3">
        <w:rPr>
          <w:rFonts w:ascii="Times New Roman" w:hAnsi="Times New Roman" w:cs="Times New Roman"/>
        </w:rPr>
        <w:t>DJe</w:t>
      </w:r>
      <w:proofErr w:type="spellEnd"/>
      <w:r w:rsidRPr="009908F3">
        <w:rPr>
          <w:rFonts w:ascii="Times New Roman" w:hAnsi="Times New Roman" w:cs="Times New Roman"/>
        </w:rPr>
        <w:t xml:space="preserve"> 18.09.2025.</w:t>
      </w:r>
    </w:p>
    <w:p w14:paraId="6889F0D6" w14:textId="77362796"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lastRenderedPageBreak/>
        <w:t xml:space="preserve">Outrossim, embora suscitada a rejeição liminar dos </w:t>
      </w:r>
      <w:proofErr w:type="spellStart"/>
      <w:r w:rsidRPr="009908F3">
        <w:rPr>
          <w:rFonts w:ascii="Times New Roman" w:hAnsi="Times New Roman" w:cs="Times New Roman"/>
        </w:rPr>
        <w:t>aclaratórios</w:t>
      </w:r>
      <w:proofErr w:type="spellEnd"/>
      <w:r w:rsidRPr="009908F3">
        <w:rPr>
          <w:rFonts w:ascii="Times New Roman" w:hAnsi="Times New Roman" w:cs="Times New Roman"/>
        </w:rPr>
        <w:t xml:space="preserve"> pela falta de pressupostos de admissibilidade recursal, importante salientar que no tópico específico da “</w:t>
      </w:r>
      <w:r w:rsidRPr="009908F3">
        <w:rPr>
          <w:rFonts w:ascii="Times New Roman" w:hAnsi="Times New Roman" w:cs="Times New Roman"/>
          <w:i/>
          <w:iCs/>
        </w:rPr>
        <w:t>3.1 Fruição de vagas paralelas pelos autores: inexistência de prejuízo e risco de enriquecimento ilícito</w:t>
      </w:r>
      <w:r w:rsidRPr="009908F3">
        <w:rPr>
          <w:rFonts w:ascii="Times New Roman" w:hAnsi="Times New Roman" w:cs="Times New Roman"/>
        </w:rPr>
        <w:t>”, a embargante na realidade incorre em verdadeira defesa de direito alheio em nome próprio, cuja prática é vedada pelo ordenamento jurídico [CPC, art. 18]</w:t>
      </w:r>
      <w:r>
        <w:rPr>
          <w:rStyle w:val="Refdenotaderodap"/>
          <w:rFonts w:ascii="Times New Roman" w:hAnsi="Times New Roman" w:cs="Times New Roman"/>
        </w:rPr>
        <w:footnoteReference w:id="4"/>
      </w:r>
      <w:r w:rsidRPr="009908F3">
        <w:rPr>
          <w:rFonts w:ascii="Times New Roman" w:hAnsi="Times New Roman" w:cs="Times New Roman"/>
        </w:rPr>
        <w:t xml:space="preserve">. </w:t>
      </w:r>
    </w:p>
    <w:p w14:paraId="48AEC792" w14:textId="77777777" w:rsidR="009908F3" w:rsidRDefault="009908F3" w:rsidP="009908F3">
      <w:pPr>
        <w:ind w:right="-568"/>
        <w:jc w:val="both"/>
        <w:rPr>
          <w:rFonts w:ascii="Times New Roman" w:hAnsi="Times New Roman" w:cs="Times New Roman"/>
        </w:rPr>
      </w:pPr>
      <w:r w:rsidRPr="009908F3">
        <w:rPr>
          <w:rFonts w:ascii="Times New Roman" w:hAnsi="Times New Roman" w:cs="Times New Roman"/>
        </w:rPr>
        <w:t>Isso porque a utilização precária e ilícita das vagas de garagem “</w:t>
      </w:r>
      <w:r w:rsidRPr="009908F3">
        <w:rPr>
          <w:rFonts w:ascii="Times New Roman" w:hAnsi="Times New Roman" w:cs="Times New Roman"/>
          <w:i/>
          <w:iCs/>
        </w:rPr>
        <w:t>paralelas</w:t>
      </w:r>
      <w:r w:rsidRPr="009908F3">
        <w:rPr>
          <w:rFonts w:ascii="Times New Roman" w:hAnsi="Times New Roman" w:cs="Times New Roman"/>
        </w:rPr>
        <w:t xml:space="preserve">” pelos coautores </w:t>
      </w:r>
      <w:r>
        <w:rPr>
          <w:rFonts w:ascii="Times New Roman" w:hAnsi="Times New Roman" w:cs="Times New Roman"/>
        </w:rPr>
        <w:t>...</w:t>
      </w:r>
      <w:r w:rsidRPr="009908F3">
        <w:rPr>
          <w:rFonts w:ascii="Times New Roman" w:hAnsi="Times New Roman" w:cs="Times New Roman"/>
        </w:rPr>
        <w:t xml:space="preserve"> e </w:t>
      </w:r>
      <w:r>
        <w:rPr>
          <w:rFonts w:ascii="Times New Roman" w:hAnsi="Times New Roman" w:cs="Times New Roman"/>
        </w:rPr>
        <w:t>...</w:t>
      </w:r>
      <w:r w:rsidRPr="009908F3">
        <w:rPr>
          <w:rFonts w:ascii="Times New Roman" w:hAnsi="Times New Roman" w:cs="Times New Roman"/>
        </w:rPr>
        <w:t xml:space="preserve"> não se relaciona com prejuízo direto à embargante </w:t>
      </w:r>
      <w:r>
        <w:rPr>
          <w:rFonts w:ascii="Times New Roman" w:hAnsi="Times New Roman" w:cs="Times New Roman"/>
        </w:rPr>
        <w:t>..</w:t>
      </w:r>
      <w:r w:rsidRPr="009908F3">
        <w:rPr>
          <w:rFonts w:ascii="Times New Roman" w:hAnsi="Times New Roman" w:cs="Times New Roman"/>
        </w:rPr>
        <w:t>., tampouco lhe confere legitimidade para reclamar em nome dos terceiros titulares dominiais da área objeto das referias vagas de garagem que foram diretamente atingidos pela fruição indevida e não autorizada do espaço.</w:t>
      </w:r>
    </w:p>
    <w:p w14:paraId="6D71ACB7" w14:textId="392BCB00" w:rsidR="009908F3" w:rsidRPr="009908F3" w:rsidRDefault="009908F3" w:rsidP="009908F3">
      <w:pPr>
        <w:ind w:right="-568"/>
        <w:jc w:val="both"/>
        <w:rPr>
          <w:rFonts w:ascii="Times New Roman" w:hAnsi="Times New Roman" w:cs="Times New Roman"/>
        </w:rPr>
      </w:pPr>
      <w:r w:rsidRPr="009908F3">
        <w:rPr>
          <w:rFonts w:ascii="Times New Roman" w:hAnsi="Times New Roman" w:cs="Times New Roman"/>
        </w:rPr>
        <w:t xml:space="preserve">Neste particular da inapropriada ocupação das vagas de garagem, insta pontuar que serão oportunamente responsabilizados pela fruição aqueles que desde a notificação extrajudicial realizada em </w:t>
      </w:r>
      <w:r>
        <w:rPr>
          <w:rFonts w:ascii="Times New Roman" w:hAnsi="Times New Roman" w:cs="Times New Roman"/>
        </w:rPr>
        <w:t>...</w:t>
      </w:r>
      <w:r w:rsidRPr="009908F3">
        <w:rPr>
          <w:rFonts w:ascii="Times New Roman" w:hAnsi="Times New Roman" w:cs="Times New Roman"/>
        </w:rPr>
        <w:t xml:space="preserve">[Id </w:t>
      </w:r>
      <w:r>
        <w:rPr>
          <w:rFonts w:ascii="Times New Roman" w:hAnsi="Times New Roman" w:cs="Times New Roman"/>
        </w:rPr>
        <w:t>...</w:t>
      </w:r>
      <w:r w:rsidRPr="009908F3">
        <w:rPr>
          <w:rFonts w:ascii="Times New Roman" w:hAnsi="Times New Roman" w:cs="Times New Roman"/>
        </w:rPr>
        <w:t>] até hoje permanecem utilizando-as ilicitamente, mesmo após julgamento procedente do pedido indenizatório “</w:t>
      </w:r>
      <w:r w:rsidRPr="009908F3">
        <w:rPr>
          <w:rFonts w:ascii="Times New Roman" w:hAnsi="Times New Roman" w:cs="Times New Roman"/>
          <w:i/>
          <w:iCs/>
        </w:rPr>
        <w:t>correspondente à diferença de valor de mercado entre o imóvel com as vagas em linha (efetivamente recebido) e o mesmo imóvel com duas vagas paralelas (prometidas)</w:t>
      </w:r>
      <w:r w:rsidRPr="009908F3">
        <w:rPr>
          <w:rFonts w:ascii="Times New Roman" w:hAnsi="Times New Roman" w:cs="Times New Roman"/>
        </w:rPr>
        <w:t xml:space="preserve">” [sic – sentença Id </w:t>
      </w:r>
      <w:r>
        <w:rPr>
          <w:rFonts w:ascii="Times New Roman" w:hAnsi="Times New Roman" w:cs="Times New Roman"/>
        </w:rPr>
        <w:t>...</w:t>
      </w:r>
      <w:r w:rsidRPr="009908F3">
        <w:rPr>
          <w:rFonts w:ascii="Times New Roman" w:hAnsi="Times New Roman" w:cs="Times New Roman"/>
        </w:rPr>
        <w:t>], estando os ora embargados dispostos a resolverem de pronto essa questão, preservando as partes e evitando judicialização de novos procedimentos [indenizatório e reivindicatório]</w:t>
      </w:r>
      <w:r>
        <w:rPr>
          <w:rStyle w:val="Refdenotaderodap"/>
          <w:rFonts w:ascii="Times New Roman" w:hAnsi="Times New Roman" w:cs="Times New Roman"/>
        </w:rPr>
        <w:footnoteReference w:id="5"/>
      </w:r>
      <w:r w:rsidRPr="009908F3">
        <w:rPr>
          <w:rFonts w:ascii="Times New Roman" w:hAnsi="Times New Roman" w:cs="Times New Roman"/>
        </w:rPr>
        <w:t xml:space="preserve">. </w:t>
      </w:r>
    </w:p>
    <w:p w14:paraId="14C65F25" w14:textId="77777777" w:rsidR="009908F3" w:rsidRPr="009908F3" w:rsidRDefault="009908F3" w:rsidP="009908F3">
      <w:pPr>
        <w:ind w:right="-568"/>
        <w:jc w:val="both"/>
        <w:rPr>
          <w:rFonts w:ascii="Times New Roman" w:hAnsi="Times New Roman" w:cs="Times New Roman"/>
          <w:b/>
          <w:bCs/>
        </w:rPr>
      </w:pPr>
      <w:r w:rsidRPr="009908F3">
        <w:rPr>
          <w:rFonts w:ascii="Times New Roman" w:hAnsi="Times New Roman" w:cs="Times New Roman"/>
          <w:b/>
          <w:bCs/>
        </w:rPr>
        <w:t>PEDIDO</w:t>
      </w:r>
    </w:p>
    <w:p w14:paraId="4CDC4F8A" w14:textId="4E594578" w:rsidR="009908F3" w:rsidRPr="009908F3" w:rsidRDefault="009908F3" w:rsidP="009908F3">
      <w:pPr>
        <w:ind w:right="-568"/>
        <w:jc w:val="both"/>
        <w:rPr>
          <w:rFonts w:ascii="Times New Roman" w:hAnsi="Times New Roman" w:cs="Times New Roman"/>
        </w:rPr>
      </w:pPr>
      <w:proofErr w:type="spellStart"/>
      <w:r w:rsidRPr="009908F3">
        <w:rPr>
          <w:rFonts w:ascii="Times New Roman" w:hAnsi="Times New Roman" w:cs="Times New Roman"/>
          <w:b/>
          <w:bCs/>
          <w:i/>
          <w:iCs/>
        </w:rPr>
        <w:t>Ex</w:t>
      </w:r>
      <w:proofErr w:type="spellEnd"/>
      <w:r w:rsidRPr="009908F3">
        <w:rPr>
          <w:rFonts w:ascii="Times New Roman" w:hAnsi="Times New Roman" w:cs="Times New Roman"/>
          <w:b/>
          <w:bCs/>
          <w:i/>
          <w:iCs/>
        </w:rPr>
        <w:t xml:space="preserve"> positis</w:t>
      </w:r>
      <w:r w:rsidRPr="009908F3">
        <w:rPr>
          <w:rFonts w:ascii="Times New Roman" w:hAnsi="Times New Roman" w:cs="Times New Roman"/>
        </w:rPr>
        <w:t xml:space="preserve">, os embargados requerem sejam LIMINARMENTE REJEITADOS OS EMBARGOS DECLARATÓRIOS DO ID </w:t>
      </w:r>
      <w:r>
        <w:rPr>
          <w:rFonts w:ascii="Times New Roman" w:hAnsi="Times New Roman" w:cs="Times New Roman"/>
        </w:rPr>
        <w:t>...</w:t>
      </w:r>
      <w:r w:rsidRPr="009908F3">
        <w:rPr>
          <w:rFonts w:ascii="Times New Roman" w:hAnsi="Times New Roman" w:cs="Times New Roman"/>
        </w:rPr>
        <w:t xml:space="preserve">, tendo em vista que os </w:t>
      </w:r>
      <w:proofErr w:type="spellStart"/>
      <w:r w:rsidRPr="009908F3">
        <w:rPr>
          <w:rFonts w:ascii="Times New Roman" w:hAnsi="Times New Roman" w:cs="Times New Roman"/>
        </w:rPr>
        <w:t>aclaratórios</w:t>
      </w:r>
      <w:proofErr w:type="spellEnd"/>
      <w:r w:rsidRPr="009908F3">
        <w:rPr>
          <w:rFonts w:ascii="Times New Roman" w:hAnsi="Times New Roman" w:cs="Times New Roman"/>
        </w:rPr>
        <w:t xml:space="preserve"> não constituem meio adequado para rediscutir o mérito da decisão terminativa, deixando a recorrente de delimitar os vícios assinalados no art. 1.022 do CPC.</w:t>
      </w:r>
    </w:p>
    <w:p w14:paraId="3AE4465D" w14:textId="71CBAA2A" w:rsidR="009908F3" w:rsidRPr="009908F3" w:rsidRDefault="009908F3" w:rsidP="009908F3">
      <w:pPr>
        <w:spacing w:after="0" w:line="240" w:lineRule="auto"/>
        <w:ind w:right="-567"/>
        <w:jc w:val="center"/>
        <w:rPr>
          <w:rFonts w:ascii="Times New Roman" w:hAnsi="Times New Roman" w:cs="Times New Roman"/>
        </w:rPr>
      </w:pPr>
      <w:r w:rsidRPr="009908F3">
        <w:rPr>
          <w:rFonts w:ascii="Times New Roman" w:hAnsi="Times New Roman" w:cs="Times New Roman"/>
        </w:rPr>
        <w:t>P</w:t>
      </w:r>
      <w:r>
        <w:rPr>
          <w:rFonts w:ascii="Times New Roman" w:hAnsi="Times New Roman" w:cs="Times New Roman"/>
        </w:rPr>
        <w:t>ede</w:t>
      </w:r>
      <w:r w:rsidRPr="009908F3">
        <w:rPr>
          <w:rFonts w:ascii="Times New Roman" w:hAnsi="Times New Roman" w:cs="Times New Roman"/>
        </w:rPr>
        <w:t xml:space="preserve"> Deferimento.</w:t>
      </w:r>
    </w:p>
    <w:p w14:paraId="70EA6173" w14:textId="5E608531" w:rsidR="009908F3" w:rsidRDefault="009908F3" w:rsidP="009908F3">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078CA153" w14:textId="60F53E9D" w:rsidR="009908F3" w:rsidRPr="009908F3" w:rsidRDefault="009908F3" w:rsidP="009908F3">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9908F3" w:rsidRPr="009908F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181C6" w14:textId="77777777" w:rsidR="00820CAE" w:rsidRDefault="00820CAE" w:rsidP="009908F3">
      <w:pPr>
        <w:spacing w:after="0" w:line="240" w:lineRule="auto"/>
      </w:pPr>
      <w:r>
        <w:separator/>
      </w:r>
    </w:p>
  </w:endnote>
  <w:endnote w:type="continuationSeparator" w:id="0">
    <w:p w14:paraId="569DC7DA" w14:textId="77777777" w:rsidR="00820CAE" w:rsidRDefault="00820CAE" w:rsidP="00990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9ECAD" w14:textId="77777777" w:rsidR="00820CAE" w:rsidRDefault="00820CAE" w:rsidP="009908F3">
      <w:pPr>
        <w:spacing w:after="0" w:line="240" w:lineRule="auto"/>
      </w:pPr>
      <w:r>
        <w:separator/>
      </w:r>
    </w:p>
  </w:footnote>
  <w:footnote w:type="continuationSeparator" w:id="0">
    <w:p w14:paraId="78C9C4B2" w14:textId="77777777" w:rsidR="00820CAE" w:rsidRDefault="00820CAE" w:rsidP="009908F3">
      <w:pPr>
        <w:spacing w:after="0" w:line="240" w:lineRule="auto"/>
      </w:pPr>
      <w:r>
        <w:continuationSeparator/>
      </w:r>
    </w:p>
  </w:footnote>
  <w:footnote w:id="1">
    <w:p w14:paraId="5EAD659E" w14:textId="090E6E38" w:rsidR="009908F3" w:rsidRPr="009908F3" w:rsidRDefault="009908F3" w:rsidP="009908F3">
      <w:pPr>
        <w:pStyle w:val="Textodenotaderodap"/>
        <w:ind w:right="-568"/>
        <w:jc w:val="both"/>
        <w:rPr>
          <w:rFonts w:ascii="Times New Roman" w:hAnsi="Times New Roman" w:cs="Times New Roman"/>
        </w:rPr>
      </w:pPr>
      <w:r w:rsidRPr="009908F3">
        <w:rPr>
          <w:rStyle w:val="Refdenotaderodap"/>
          <w:rFonts w:ascii="Times New Roman" w:hAnsi="Times New Roman" w:cs="Times New Roman"/>
        </w:rPr>
        <w:footnoteRef/>
      </w:r>
      <w:r w:rsidRPr="009908F3">
        <w:rPr>
          <w:rFonts w:ascii="Times New Roman" w:hAnsi="Times New Roman" w:cs="Times New Roman"/>
        </w:rPr>
        <w:t xml:space="preserve"> </w:t>
      </w:r>
      <w:r w:rsidRPr="009908F3">
        <w:rPr>
          <w:rFonts w:ascii="Times New Roman" w:hAnsi="Times New Roman" w:cs="Times New Roman"/>
        </w:rPr>
        <w:t>CPC, art. 1.023. Os embargos serão opostos, no prazo de 5 (cinco) dias, em petição dirigida ao juiz, com indicação do erro, obscuridade, contradição ou omissão, e não se sujeitam a preparo...§2º O juiz intimará o embargado para, querendo, manifestar-se, no prazo de 5 (cinco) dias, sobre os embargos opostos, caso seu eventual acolhimento implique a modificação da decisão embargada.</w:t>
      </w:r>
    </w:p>
  </w:footnote>
  <w:footnote w:id="2">
    <w:p w14:paraId="4AAAF320" w14:textId="120930D1" w:rsidR="009908F3" w:rsidRPr="009908F3" w:rsidRDefault="009908F3" w:rsidP="009908F3">
      <w:pPr>
        <w:pStyle w:val="Textodenotaderodap"/>
        <w:ind w:right="-568"/>
        <w:jc w:val="both"/>
        <w:rPr>
          <w:rFonts w:ascii="Times New Roman" w:hAnsi="Times New Roman" w:cs="Times New Roman"/>
        </w:rPr>
      </w:pPr>
      <w:r w:rsidRPr="009908F3">
        <w:rPr>
          <w:rStyle w:val="Refdenotaderodap"/>
          <w:rFonts w:ascii="Times New Roman" w:hAnsi="Times New Roman" w:cs="Times New Roman"/>
        </w:rPr>
        <w:footnoteRef/>
      </w:r>
      <w:r w:rsidRPr="009908F3">
        <w:rPr>
          <w:rFonts w:ascii="Times New Roman" w:hAnsi="Times New Roman" w:cs="Times New Roman"/>
        </w:rPr>
        <w:t xml:space="preserve"> </w:t>
      </w:r>
      <w:r w:rsidRPr="009908F3">
        <w:rPr>
          <w:rFonts w:ascii="Times New Roman" w:hAnsi="Times New Roman" w:cs="Times New Roman"/>
        </w:rPr>
        <w:t>CPC, art. 1.022. Cabem embargos de declaração contra qualquer decisão judicial para: I - esclarecer obscuridade ou eliminar contradição; II - suprir omissão de ponto ou questão sobre o qual devia se pronunciar o juiz de ofício ou a requerimento; III - corrigir erro material. Parágrafo único. Considera-se omissa a decisão que: I - deixe de se manifestar sobre tese firmada em julgamento de casos repetitivos ou em incidente de assunção de competência aplicável ao caso sob julgamento; II - incorra em qualquer das condutas descritas no art. 489, § 1º.</w:t>
      </w:r>
    </w:p>
  </w:footnote>
  <w:footnote w:id="3">
    <w:p w14:paraId="4202F8EF" w14:textId="3A830F64" w:rsidR="009908F3" w:rsidRPr="009908F3" w:rsidRDefault="009908F3" w:rsidP="009908F3">
      <w:pPr>
        <w:pStyle w:val="Textodenotaderodap"/>
        <w:ind w:right="-568"/>
        <w:jc w:val="both"/>
        <w:rPr>
          <w:rFonts w:ascii="Times New Roman" w:hAnsi="Times New Roman" w:cs="Times New Roman"/>
        </w:rPr>
      </w:pPr>
      <w:r w:rsidRPr="009908F3">
        <w:rPr>
          <w:rStyle w:val="Refdenotaderodap"/>
          <w:rFonts w:ascii="Times New Roman" w:hAnsi="Times New Roman" w:cs="Times New Roman"/>
        </w:rPr>
        <w:footnoteRef/>
      </w:r>
      <w:r w:rsidRPr="009908F3">
        <w:rPr>
          <w:rFonts w:ascii="Times New Roman" w:hAnsi="Times New Roman" w:cs="Times New Roman"/>
        </w:rPr>
        <w:t xml:space="preserve"> </w:t>
      </w:r>
      <w:r w:rsidRPr="009908F3">
        <w:rPr>
          <w:rFonts w:ascii="Times New Roman" w:hAnsi="Times New Roman" w:cs="Times New Roman"/>
        </w:rPr>
        <w:t xml:space="preserve">CÂMARA, Alexandre Freitas. Lições de Direito Processual Civil, Vol. II, 8ª Ed. </w:t>
      </w:r>
      <w:proofErr w:type="spellStart"/>
      <w:r w:rsidRPr="009908F3">
        <w:rPr>
          <w:rFonts w:ascii="Times New Roman" w:hAnsi="Times New Roman" w:cs="Times New Roman"/>
        </w:rPr>
        <w:t>Lumen</w:t>
      </w:r>
      <w:proofErr w:type="spellEnd"/>
      <w:r w:rsidRPr="009908F3">
        <w:rPr>
          <w:rFonts w:ascii="Times New Roman" w:hAnsi="Times New Roman" w:cs="Times New Roman"/>
        </w:rPr>
        <w:t xml:space="preserve"> Juris, págs. 118/119.</w:t>
      </w:r>
    </w:p>
  </w:footnote>
  <w:footnote w:id="4">
    <w:p w14:paraId="7399A518" w14:textId="2D062E96" w:rsidR="009908F3" w:rsidRPr="009908F3" w:rsidRDefault="009908F3" w:rsidP="009908F3">
      <w:pPr>
        <w:pStyle w:val="Textodenotaderodap"/>
        <w:ind w:right="-568"/>
        <w:jc w:val="both"/>
        <w:rPr>
          <w:rFonts w:ascii="Times New Roman" w:hAnsi="Times New Roman" w:cs="Times New Roman"/>
        </w:rPr>
      </w:pPr>
      <w:r w:rsidRPr="009908F3">
        <w:rPr>
          <w:rStyle w:val="Refdenotaderodap"/>
          <w:rFonts w:ascii="Times New Roman" w:hAnsi="Times New Roman" w:cs="Times New Roman"/>
        </w:rPr>
        <w:footnoteRef/>
      </w:r>
      <w:r w:rsidRPr="009908F3">
        <w:rPr>
          <w:rFonts w:ascii="Times New Roman" w:hAnsi="Times New Roman" w:cs="Times New Roman"/>
        </w:rPr>
        <w:t xml:space="preserve"> </w:t>
      </w:r>
      <w:r w:rsidRPr="009908F3">
        <w:rPr>
          <w:rFonts w:ascii="Times New Roman" w:hAnsi="Times New Roman" w:cs="Times New Roman"/>
        </w:rPr>
        <w:t>CPC, art. 18. Ninguém poderá pleitear direito alheio em nome próprio, salvo quando autorizado pelo ordenamento jurídico.  Parágrafo único. Havendo substituição processual, o substituído poderá intervir como assistente litisconsorcial.</w:t>
      </w:r>
    </w:p>
  </w:footnote>
  <w:footnote w:id="5">
    <w:p w14:paraId="3A0341D4" w14:textId="77777777" w:rsidR="009908F3" w:rsidRPr="009908F3" w:rsidRDefault="009908F3" w:rsidP="009908F3">
      <w:pPr>
        <w:pStyle w:val="Textodenotaderodap"/>
        <w:ind w:right="-568"/>
        <w:jc w:val="both"/>
        <w:rPr>
          <w:rFonts w:ascii="Times New Roman" w:hAnsi="Times New Roman" w:cs="Times New Roman"/>
        </w:rPr>
      </w:pPr>
      <w:r w:rsidRPr="009908F3">
        <w:rPr>
          <w:rStyle w:val="Refdenotaderodap"/>
          <w:rFonts w:ascii="Times New Roman" w:hAnsi="Times New Roman" w:cs="Times New Roman"/>
        </w:rPr>
        <w:footnoteRef/>
      </w:r>
      <w:r w:rsidRPr="009908F3">
        <w:rPr>
          <w:rFonts w:ascii="Times New Roman" w:hAnsi="Times New Roman" w:cs="Times New Roman"/>
        </w:rPr>
        <w:t xml:space="preserve"> </w:t>
      </w:r>
      <w:r w:rsidRPr="009908F3">
        <w:rPr>
          <w:rFonts w:ascii="Times New Roman" w:hAnsi="Times New Roman" w:cs="Times New Roman"/>
        </w:rPr>
        <w:t>CC, art. 186. Aquele que, por ação ou omissão voluntária, negligência ou imprudência, violar direito e causar dano a outrem, ainda que exclusivamente moral, comete ato ilícito.</w:t>
      </w:r>
    </w:p>
    <w:p w14:paraId="2A014047" w14:textId="77777777" w:rsidR="009908F3" w:rsidRPr="009908F3" w:rsidRDefault="009908F3" w:rsidP="009908F3">
      <w:pPr>
        <w:pStyle w:val="Textodenotaderodap"/>
        <w:ind w:right="-568"/>
        <w:jc w:val="both"/>
        <w:rPr>
          <w:rFonts w:ascii="Times New Roman" w:hAnsi="Times New Roman" w:cs="Times New Roman"/>
        </w:rPr>
      </w:pPr>
      <w:r w:rsidRPr="009908F3">
        <w:rPr>
          <w:rFonts w:ascii="Times New Roman" w:hAnsi="Times New Roman" w:cs="Times New Roman"/>
        </w:rPr>
        <w:t>CC, art. 884, caput. Aquele que, sem justa causa, se enriquecer à custa de outrem, será obrigado a restituir o indevidamente auferido, feita a atualização dos valores monetários.</w:t>
      </w:r>
    </w:p>
    <w:p w14:paraId="0D0BAA9B" w14:textId="77777777" w:rsidR="009908F3" w:rsidRPr="009908F3" w:rsidRDefault="009908F3" w:rsidP="009908F3">
      <w:pPr>
        <w:pStyle w:val="Textodenotaderodap"/>
        <w:ind w:right="-568"/>
        <w:jc w:val="both"/>
        <w:rPr>
          <w:rFonts w:ascii="Times New Roman" w:hAnsi="Times New Roman" w:cs="Times New Roman"/>
        </w:rPr>
      </w:pPr>
      <w:r w:rsidRPr="009908F3">
        <w:rPr>
          <w:rFonts w:ascii="Times New Roman" w:hAnsi="Times New Roman" w:cs="Times New Roman"/>
        </w:rPr>
        <w:t>CC, art. 927, caput. Aquele que, por ato ilícito (</w:t>
      </w:r>
      <w:proofErr w:type="spellStart"/>
      <w:r w:rsidRPr="009908F3">
        <w:rPr>
          <w:rFonts w:ascii="Times New Roman" w:hAnsi="Times New Roman" w:cs="Times New Roman"/>
        </w:rPr>
        <w:t>arts</w:t>
      </w:r>
      <w:proofErr w:type="spellEnd"/>
      <w:r w:rsidRPr="009908F3">
        <w:rPr>
          <w:rFonts w:ascii="Times New Roman" w:hAnsi="Times New Roman" w:cs="Times New Roman"/>
        </w:rPr>
        <w:t>. 186 e 187), causar dano a outrem, fica obrigado a repará-lo.</w:t>
      </w:r>
    </w:p>
    <w:p w14:paraId="139CA260" w14:textId="77777777" w:rsidR="009908F3" w:rsidRPr="009908F3" w:rsidRDefault="009908F3" w:rsidP="009908F3">
      <w:pPr>
        <w:pStyle w:val="Textodenotaderodap"/>
        <w:ind w:right="-568"/>
        <w:jc w:val="both"/>
        <w:rPr>
          <w:rFonts w:ascii="Times New Roman" w:hAnsi="Times New Roman" w:cs="Times New Roman"/>
        </w:rPr>
      </w:pPr>
      <w:r w:rsidRPr="009908F3">
        <w:rPr>
          <w:rFonts w:ascii="Times New Roman" w:hAnsi="Times New Roman" w:cs="Times New Roman"/>
        </w:rPr>
        <w:t>CC, art. 1.228, caput. O proprietário tem a faculdade de usar, gozar e dispor da coisa, e o direito de reavê-la do poder de quem quer que injustamente a possua ou detenha.</w:t>
      </w:r>
    </w:p>
    <w:p w14:paraId="601780C9" w14:textId="7B0DFAD6" w:rsidR="009908F3" w:rsidRPr="009908F3" w:rsidRDefault="009908F3" w:rsidP="009908F3">
      <w:pPr>
        <w:pStyle w:val="Textodenotaderodap"/>
        <w:ind w:right="-568"/>
        <w:jc w:val="both"/>
        <w:rPr>
          <w:rFonts w:ascii="Times New Roman" w:hAnsi="Times New Roman" w:cs="Times New Roman"/>
        </w:rPr>
      </w:pPr>
      <w:r w:rsidRPr="009908F3">
        <w:rPr>
          <w:rFonts w:ascii="Times New Roman" w:hAnsi="Times New Roman" w:cs="Times New Roman"/>
        </w:rPr>
        <w:t>CC, art. 1.335. São direitos do condômino: I - usar, fruir e livremente dispor das suas unidades;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F3"/>
    <w:rsid w:val="00246409"/>
    <w:rsid w:val="00820CAE"/>
    <w:rsid w:val="009908F3"/>
    <w:rsid w:val="00D470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7518D"/>
  <w15:chartTrackingRefBased/>
  <w15:docId w15:val="{C3F22E57-4ABF-4001-A5F1-70CAA645F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908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908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908F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908F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908F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908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908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908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908F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908F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908F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908F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908F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908F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908F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908F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908F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908F3"/>
    <w:rPr>
      <w:rFonts w:eastAsiaTheme="majorEastAsia" w:cstheme="majorBidi"/>
      <w:color w:val="272727" w:themeColor="text1" w:themeTint="D8"/>
    </w:rPr>
  </w:style>
  <w:style w:type="paragraph" w:styleId="Ttulo">
    <w:name w:val="Title"/>
    <w:basedOn w:val="Normal"/>
    <w:next w:val="Normal"/>
    <w:link w:val="TtuloChar"/>
    <w:uiPriority w:val="10"/>
    <w:qFormat/>
    <w:rsid w:val="009908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908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908F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908F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908F3"/>
    <w:pPr>
      <w:spacing w:before="160"/>
      <w:jc w:val="center"/>
    </w:pPr>
    <w:rPr>
      <w:i/>
      <w:iCs/>
      <w:color w:val="404040" w:themeColor="text1" w:themeTint="BF"/>
    </w:rPr>
  </w:style>
  <w:style w:type="character" w:customStyle="1" w:styleId="CitaoChar">
    <w:name w:val="Citação Char"/>
    <w:basedOn w:val="Fontepargpadro"/>
    <w:link w:val="Citao"/>
    <w:uiPriority w:val="29"/>
    <w:rsid w:val="009908F3"/>
    <w:rPr>
      <w:i/>
      <w:iCs/>
      <w:color w:val="404040" w:themeColor="text1" w:themeTint="BF"/>
    </w:rPr>
  </w:style>
  <w:style w:type="paragraph" w:styleId="PargrafodaLista">
    <w:name w:val="List Paragraph"/>
    <w:basedOn w:val="Normal"/>
    <w:uiPriority w:val="34"/>
    <w:qFormat/>
    <w:rsid w:val="009908F3"/>
    <w:pPr>
      <w:ind w:left="720"/>
      <w:contextualSpacing/>
    </w:pPr>
  </w:style>
  <w:style w:type="character" w:styleId="nfaseIntensa">
    <w:name w:val="Intense Emphasis"/>
    <w:basedOn w:val="Fontepargpadro"/>
    <w:uiPriority w:val="21"/>
    <w:qFormat/>
    <w:rsid w:val="009908F3"/>
    <w:rPr>
      <w:i/>
      <w:iCs/>
      <w:color w:val="2F5496" w:themeColor="accent1" w:themeShade="BF"/>
    </w:rPr>
  </w:style>
  <w:style w:type="paragraph" w:styleId="CitaoIntensa">
    <w:name w:val="Intense Quote"/>
    <w:basedOn w:val="Normal"/>
    <w:next w:val="Normal"/>
    <w:link w:val="CitaoIntensaChar"/>
    <w:uiPriority w:val="30"/>
    <w:qFormat/>
    <w:rsid w:val="009908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908F3"/>
    <w:rPr>
      <w:i/>
      <w:iCs/>
      <w:color w:val="2F5496" w:themeColor="accent1" w:themeShade="BF"/>
    </w:rPr>
  </w:style>
  <w:style w:type="character" w:styleId="RefernciaIntensa">
    <w:name w:val="Intense Reference"/>
    <w:basedOn w:val="Fontepargpadro"/>
    <w:uiPriority w:val="32"/>
    <w:qFormat/>
    <w:rsid w:val="009908F3"/>
    <w:rPr>
      <w:b/>
      <w:bCs/>
      <w:smallCaps/>
      <w:color w:val="2F5496" w:themeColor="accent1" w:themeShade="BF"/>
      <w:spacing w:val="5"/>
    </w:rPr>
  </w:style>
  <w:style w:type="paragraph" w:styleId="Textodenotaderodap">
    <w:name w:val="footnote text"/>
    <w:basedOn w:val="Normal"/>
    <w:link w:val="TextodenotaderodapChar"/>
    <w:uiPriority w:val="99"/>
    <w:unhideWhenUsed/>
    <w:rsid w:val="009908F3"/>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908F3"/>
    <w:rPr>
      <w:sz w:val="20"/>
      <w:szCs w:val="20"/>
    </w:rPr>
  </w:style>
  <w:style w:type="character" w:styleId="Refdenotaderodap">
    <w:name w:val="footnote reference"/>
    <w:basedOn w:val="Fontepargpadro"/>
    <w:uiPriority w:val="99"/>
    <w:semiHidden/>
    <w:unhideWhenUsed/>
    <w:rsid w:val="009908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16819-3D09-4408-BDB3-7701F1CF4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1069</Words>
  <Characters>5776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2025-09-30T16:43:00Z</dcterms:created>
  <dcterms:modified xsi:type="dcterms:W3CDTF">2025-09-30T16:54:00Z</dcterms:modified>
</cp:coreProperties>
</file>