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4261" w14:textId="77777777" w:rsidR="00162384" w:rsidRPr="00162384" w:rsidRDefault="00162384" w:rsidP="00162384">
      <w:pPr>
        <w:spacing w:after="0" w:line="240" w:lineRule="auto"/>
        <w:ind w:right="-567"/>
        <w:jc w:val="center"/>
        <w:rPr>
          <w:rFonts w:ascii="Arial Black" w:hAnsi="Arial Black" w:cs="Times New Roman"/>
        </w:rPr>
      </w:pPr>
      <w:r w:rsidRPr="00162384">
        <w:rPr>
          <w:rFonts w:ascii="Arial Black" w:hAnsi="Arial Black" w:cs="Times New Roman"/>
        </w:rPr>
        <w:t>MODELO DE PETIÇÃO</w:t>
      </w:r>
    </w:p>
    <w:p w14:paraId="4D9969BD" w14:textId="77777777" w:rsidR="00162384" w:rsidRPr="00162384" w:rsidRDefault="00162384" w:rsidP="00162384">
      <w:pPr>
        <w:spacing w:after="0" w:line="240" w:lineRule="auto"/>
        <w:ind w:right="-567"/>
        <w:jc w:val="center"/>
        <w:rPr>
          <w:rFonts w:ascii="Arial Black" w:hAnsi="Arial Black" w:cs="Times New Roman"/>
        </w:rPr>
      </w:pPr>
      <w:r w:rsidRPr="00162384">
        <w:rPr>
          <w:rFonts w:ascii="Arial Black" w:hAnsi="Arial Black" w:cs="Times New Roman"/>
        </w:rPr>
        <w:t>EMBARGOS DE DECLARAÇÃO. PROVA PERICIAL.</w:t>
      </w:r>
    </w:p>
    <w:p w14:paraId="117A6416" w14:textId="19FB721E" w:rsidR="00162384" w:rsidRPr="00162384" w:rsidRDefault="00162384" w:rsidP="00162384">
      <w:pPr>
        <w:spacing w:after="0" w:line="240" w:lineRule="auto"/>
        <w:ind w:right="-567"/>
        <w:jc w:val="center"/>
        <w:rPr>
          <w:rFonts w:ascii="Arial Black" w:hAnsi="Arial Black" w:cs="Times New Roman"/>
        </w:rPr>
      </w:pPr>
      <w:r w:rsidRPr="00162384">
        <w:rPr>
          <w:rFonts w:ascii="Arial Black" w:hAnsi="Arial Black" w:cs="Times New Roman"/>
        </w:rPr>
        <w:t>ACÓRDÃO NÃO PRECISA RESPONDER TODOS OS PONTOS.</w:t>
      </w:r>
    </w:p>
    <w:p w14:paraId="1F5E4D1A" w14:textId="77777777" w:rsidR="00162384" w:rsidRPr="00162384" w:rsidRDefault="00162384" w:rsidP="00162384">
      <w:pPr>
        <w:spacing w:after="0" w:line="240" w:lineRule="auto"/>
        <w:ind w:right="-567"/>
        <w:jc w:val="center"/>
        <w:rPr>
          <w:rFonts w:ascii="Arial Black" w:hAnsi="Arial Black" w:cs="Times New Roman"/>
        </w:rPr>
      </w:pPr>
      <w:r w:rsidRPr="00162384">
        <w:rPr>
          <w:rFonts w:ascii="Arial Black" w:hAnsi="Arial Black" w:cs="Times New Roman"/>
        </w:rPr>
        <w:t>APENAS OS RELEVANTES. CONTRARIEDADE.</w:t>
      </w:r>
    </w:p>
    <w:p w14:paraId="7FC09F41" w14:textId="77777777" w:rsidR="00162384" w:rsidRPr="00162384" w:rsidRDefault="00162384" w:rsidP="00162384">
      <w:pPr>
        <w:spacing w:after="0" w:line="240" w:lineRule="auto"/>
        <w:ind w:right="-567"/>
        <w:jc w:val="right"/>
        <w:rPr>
          <w:rFonts w:ascii="Arial Black" w:hAnsi="Arial Black" w:cs="Times New Roman"/>
        </w:rPr>
      </w:pPr>
      <w:proofErr w:type="spellStart"/>
      <w:r w:rsidRPr="00162384">
        <w:rPr>
          <w:rFonts w:ascii="Arial Black" w:hAnsi="Arial Black" w:cs="Times New Roman"/>
        </w:rPr>
        <w:t>Rénan</w:t>
      </w:r>
      <w:proofErr w:type="spellEnd"/>
      <w:r w:rsidRPr="00162384">
        <w:rPr>
          <w:rFonts w:ascii="Arial Black" w:hAnsi="Arial Black" w:cs="Times New Roman"/>
        </w:rPr>
        <w:t xml:space="preserve"> </w:t>
      </w:r>
      <w:proofErr w:type="spellStart"/>
      <w:r w:rsidRPr="00162384">
        <w:rPr>
          <w:rFonts w:ascii="Arial Black" w:hAnsi="Arial Black" w:cs="Times New Roman"/>
        </w:rPr>
        <w:t>Kfuri</w:t>
      </w:r>
      <w:proofErr w:type="spellEnd"/>
      <w:r w:rsidRPr="00162384">
        <w:rPr>
          <w:rFonts w:ascii="Arial Black" w:hAnsi="Arial Black" w:cs="Times New Roman"/>
        </w:rPr>
        <w:t xml:space="preserve"> Lopes</w:t>
      </w:r>
    </w:p>
    <w:p w14:paraId="1BAA8564" w14:textId="77777777" w:rsidR="00162384" w:rsidRPr="00162384" w:rsidRDefault="00162384" w:rsidP="00162384">
      <w:pPr>
        <w:ind w:right="-568"/>
        <w:jc w:val="both"/>
        <w:rPr>
          <w:rFonts w:ascii="Times New Roman" w:hAnsi="Times New Roman" w:cs="Times New Roman"/>
        </w:rPr>
      </w:pPr>
    </w:p>
    <w:p w14:paraId="704F4A14" w14:textId="77777777" w:rsidR="00162384" w:rsidRDefault="00162384" w:rsidP="00162384">
      <w:pPr>
        <w:ind w:right="-568"/>
        <w:jc w:val="both"/>
        <w:rPr>
          <w:rFonts w:ascii="Times New Roman" w:hAnsi="Times New Roman" w:cs="Times New Roman"/>
        </w:rPr>
      </w:pPr>
      <w:r w:rsidRPr="00162384">
        <w:rPr>
          <w:rFonts w:ascii="Times New Roman" w:hAnsi="Times New Roman" w:cs="Times New Roman"/>
        </w:rPr>
        <w:t>E</w:t>
      </w:r>
      <w:r>
        <w:rPr>
          <w:rFonts w:ascii="Times New Roman" w:hAnsi="Times New Roman" w:cs="Times New Roman"/>
        </w:rPr>
        <w:t>xma. Sra. Des. ..., DD Relatora da Apelação Cível n. ... - ...ª Câmara Cível do TJ...</w:t>
      </w:r>
    </w:p>
    <w:p w14:paraId="76806AC7" w14:textId="06351FA2"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Apelação Cível n. </w:t>
      </w:r>
      <w:r>
        <w:rPr>
          <w:rFonts w:ascii="Times New Roman" w:hAnsi="Times New Roman" w:cs="Times New Roman"/>
        </w:rPr>
        <w:t>...</w:t>
      </w:r>
    </w:p>
    <w:p w14:paraId="378D5D90" w14:textId="27D3AAA6"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Origem: Cumprimento de Sentença n. </w:t>
      </w:r>
      <w:r>
        <w:rPr>
          <w:rFonts w:ascii="Times New Roman" w:hAnsi="Times New Roman" w:cs="Times New Roman"/>
        </w:rPr>
        <w:t>...</w:t>
      </w:r>
    </w:p>
    <w:p w14:paraId="454B2E29" w14:textId="5234EF67"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Comarca de </w:t>
      </w:r>
      <w:r>
        <w:rPr>
          <w:rFonts w:ascii="Times New Roman" w:hAnsi="Times New Roman" w:cs="Times New Roman"/>
        </w:rPr>
        <w:t>...</w:t>
      </w:r>
    </w:p>
    <w:p w14:paraId="3ABF354D" w14:textId="6A17E8BD"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ESPÓLIO DE </w:t>
      </w:r>
      <w:r>
        <w:rPr>
          <w:rFonts w:ascii="Times New Roman" w:hAnsi="Times New Roman" w:cs="Times New Roman"/>
        </w:rPr>
        <w:t>...</w:t>
      </w:r>
      <w:r w:rsidRPr="00162384">
        <w:rPr>
          <w:rFonts w:ascii="Times New Roman" w:hAnsi="Times New Roman" w:cs="Times New Roman"/>
        </w:rPr>
        <w:t xml:space="preserve"> e </w:t>
      </w:r>
      <w:r>
        <w:rPr>
          <w:rFonts w:ascii="Times New Roman" w:hAnsi="Times New Roman" w:cs="Times New Roman"/>
        </w:rPr>
        <w:t>...</w:t>
      </w:r>
      <w:r w:rsidRPr="00162384">
        <w:rPr>
          <w:rFonts w:ascii="Times New Roman" w:hAnsi="Times New Roman" w:cs="Times New Roman"/>
        </w:rPr>
        <w:t xml:space="preserve">, embargados, pelo comum advogado </w:t>
      </w:r>
      <w:r w:rsidRPr="00162384">
        <w:rPr>
          <w:rFonts w:ascii="Times New Roman" w:hAnsi="Times New Roman" w:cs="Times New Roman"/>
          <w:i/>
          <w:iCs/>
        </w:rPr>
        <w:t>in fine</w:t>
      </w:r>
      <w:r w:rsidRPr="00162384">
        <w:rPr>
          <w:rFonts w:ascii="Times New Roman" w:hAnsi="Times New Roman" w:cs="Times New Roman"/>
        </w:rPr>
        <w:t xml:space="preserve"> assinado, nos autos da apelação em epígrafe, vêm, respeitosamente, apresentar a presente MANIFESTAÇÃO DE CONTRARIEDADE AOS EMBARGOS DE DECLARAÇÃO opostos por </w:t>
      </w:r>
      <w:r>
        <w:rPr>
          <w:rFonts w:ascii="Times New Roman" w:hAnsi="Times New Roman" w:cs="Times New Roman"/>
        </w:rPr>
        <w:t>...</w:t>
      </w:r>
      <w:r w:rsidRPr="00162384">
        <w:rPr>
          <w:rFonts w:ascii="Times New Roman" w:hAnsi="Times New Roman" w:cs="Times New Roman"/>
        </w:rPr>
        <w:t xml:space="preserve"> E OUTROS, sucessores de </w:t>
      </w:r>
      <w:r>
        <w:rPr>
          <w:rFonts w:ascii="Times New Roman" w:hAnsi="Times New Roman" w:cs="Times New Roman"/>
        </w:rPr>
        <w:t>...</w:t>
      </w:r>
      <w:r w:rsidRPr="00162384">
        <w:rPr>
          <w:rFonts w:ascii="Times New Roman" w:hAnsi="Times New Roman" w:cs="Times New Roman"/>
        </w:rPr>
        <w:t>, pelas razões de direito adiante articuladas:</w:t>
      </w:r>
    </w:p>
    <w:p w14:paraId="546CA436" w14:textId="166F2832"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 xml:space="preserve"> I- </w:t>
      </w:r>
      <w:r w:rsidRPr="00162384">
        <w:rPr>
          <w:rFonts w:ascii="Times New Roman" w:hAnsi="Times New Roman" w:cs="Times New Roman"/>
          <w:b/>
          <w:bCs/>
        </w:rPr>
        <w:t>SÍNTESE OBJETIVA DOS EMBARGOS AVIADOS</w:t>
      </w:r>
    </w:p>
    <w:p w14:paraId="66E49244" w14:textId="3412A531"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Os embargantes opõem </w:t>
      </w:r>
      <w:proofErr w:type="spellStart"/>
      <w:r w:rsidRPr="00162384">
        <w:rPr>
          <w:rFonts w:ascii="Times New Roman" w:hAnsi="Times New Roman" w:cs="Times New Roman"/>
        </w:rPr>
        <w:t>aclaratórios</w:t>
      </w:r>
      <w:proofErr w:type="spellEnd"/>
      <w:r w:rsidRPr="00162384">
        <w:rPr>
          <w:rFonts w:ascii="Times New Roman" w:hAnsi="Times New Roman" w:cs="Times New Roman"/>
        </w:rPr>
        <w:t xml:space="preserve"> contra o v. acórdão que deu provimento à apelação interposta pelos ora embargados, reformando a sentença que havia julgado improcedente o pedido de liquidação e determinado o prosseguimento da liquidação de sentença.</w:t>
      </w:r>
    </w:p>
    <w:p w14:paraId="5A1C720A" w14:textId="4A5823EA"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Sustentam, em síntese, que o v. acórdão teria incorrido em omissão ao afirmar que a sentença recorrida partiu de premissa jurídica já afastada no próprio processo; que teria deixado de analisar o conjunto fático-probatório invocado na sentença e nas contrarrazões; que não teria enfrentado adequadamente as críticas às duas perícias judiciais; que não teria considerado a suposta ausência de documentos contemporâneos ao negócio jurídico; e que a liquidação buscaria, em verdade, rediscutir perdas e danos já afastados na fase de conhecimento.</w:t>
      </w:r>
    </w:p>
    <w:p w14:paraId="61273250" w14:textId="32669D0D"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Invocam, ainda, os </w:t>
      </w:r>
      <w:proofErr w:type="spellStart"/>
      <w:r w:rsidRPr="00162384">
        <w:rPr>
          <w:rFonts w:ascii="Times New Roman" w:hAnsi="Times New Roman" w:cs="Times New Roman"/>
        </w:rPr>
        <w:t>arts</w:t>
      </w:r>
      <w:proofErr w:type="spellEnd"/>
      <w:r w:rsidRPr="00162384">
        <w:rPr>
          <w:rFonts w:ascii="Times New Roman" w:hAnsi="Times New Roman" w:cs="Times New Roman"/>
        </w:rPr>
        <w:t xml:space="preserve">. 371, 479, 489, § 1º, IV, 502, 505, 507, 508 e 509, § 4º, do CPC, pretendendo o acolhimento dos </w:t>
      </w:r>
      <w:proofErr w:type="spellStart"/>
      <w:r w:rsidRPr="00162384">
        <w:rPr>
          <w:rFonts w:ascii="Times New Roman" w:hAnsi="Times New Roman" w:cs="Times New Roman"/>
        </w:rPr>
        <w:t>aclaratórios</w:t>
      </w:r>
      <w:proofErr w:type="spellEnd"/>
      <w:r w:rsidRPr="00162384">
        <w:rPr>
          <w:rFonts w:ascii="Times New Roman" w:hAnsi="Times New Roman" w:cs="Times New Roman"/>
        </w:rPr>
        <w:t xml:space="preserve"> com efeito modificativo, para que seja restabelecida a sentença de primeiro grau.</w:t>
      </w:r>
    </w:p>
    <w:p w14:paraId="2D387B16" w14:textId="25A3DBC8"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i/>
          <w:iCs/>
        </w:rPr>
        <w:t xml:space="preserve">Data </w:t>
      </w:r>
      <w:proofErr w:type="spellStart"/>
      <w:r w:rsidRPr="00162384">
        <w:rPr>
          <w:rFonts w:ascii="Times New Roman" w:hAnsi="Times New Roman" w:cs="Times New Roman"/>
          <w:i/>
          <w:iCs/>
        </w:rPr>
        <w:t>venia</w:t>
      </w:r>
      <w:proofErr w:type="spellEnd"/>
      <w:r w:rsidRPr="00162384">
        <w:rPr>
          <w:rFonts w:ascii="Times New Roman" w:hAnsi="Times New Roman" w:cs="Times New Roman"/>
        </w:rPr>
        <w:t>, os embargos não merecem prosperar.</w:t>
      </w:r>
    </w:p>
    <w:p w14:paraId="6F898C3F" w14:textId="3F66DFDD"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que se tem, em verdade, é a tentativa de reabrir, pela via estreita dos embargos de declaração, o mérito recursal já examinado por esta Colenda Câmara, buscando-se transformar inconformismo com o resultado do julgamento em suposta omissão inexistente.</w:t>
      </w:r>
    </w:p>
    <w:p w14:paraId="3B134620" w14:textId="37E61C8D"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II-</w:t>
      </w:r>
      <w:r w:rsidRPr="00162384">
        <w:rPr>
          <w:rFonts w:ascii="Times New Roman" w:hAnsi="Times New Roman" w:cs="Times New Roman"/>
          <w:b/>
          <w:bCs/>
        </w:rPr>
        <w:t xml:space="preserve"> </w:t>
      </w:r>
      <w:r w:rsidRPr="00162384">
        <w:rPr>
          <w:rFonts w:ascii="Times New Roman" w:hAnsi="Times New Roman" w:cs="Times New Roman"/>
          <w:b/>
          <w:bCs/>
        </w:rPr>
        <w:t>INEXISTE OMISSÃO: O ACÓRDÃO ENFRENTOU OS PONTOS NODAIS DA CONTROVÉRSIA</w:t>
      </w:r>
    </w:p>
    <w:p w14:paraId="6D760034" w14:textId="11E23022"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Os embargos partem de premissa equivocada: a de que o julgador estaria obrigado a responder, uma a uma, todas as alegações periféricas, todos os recortes argumentativos e todos os fragmentos de prova invocados pela parte vencida.</w:t>
      </w:r>
    </w:p>
    <w:p w14:paraId="1801627C" w14:textId="2D5D32D6"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lastRenderedPageBreak/>
        <w:t>Não é esse o regime jurídico dos embargos de declaração.</w:t>
      </w:r>
    </w:p>
    <w:p w14:paraId="18BD47E9" w14:textId="6B74153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órgão julgador deve enfrentar as questões essenciais ao deslinde da controvérsia, apresentando fundamentação suficiente, coerente e compatível com a solução adotada. Não lhe incumbe, contudo, rebater individualmente cada argumento lateral, cada citação isolada, cada excerto de petição ou cada tentativa de rediscussão probatória, quando a fundamentação adotada é bastante para infirmar a tese da parte vencida.</w:t>
      </w:r>
    </w:p>
    <w:p w14:paraId="33CA8E8B" w14:textId="5F5E6772"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Foi exatamente o que ocorreu.</w:t>
      </w:r>
    </w:p>
    <w:p w14:paraId="18EA7861" w14:textId="43B36E7C"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v. acórdão embargado examinou o núcleo decisivo da demanda: se a liquidação de sentença destinada à apuração do valor necessário à recomposição dos imóveis rurais devolvidos em estado diverso daquele existente ao tempo da contratação configuraria indevida rediscussão de perdas e danos ou, ao revés, instrumento de efetivação do próprio título judicial.</w:t>
      </w:r>
    </w:p>
    <w:p w14:paraId="3406A6BC" w14:textId="55A25E5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 respondeu de forma direta, expressa e suficiente: a liquidação não configura rediscussão de perdas e danos, mas meio necessário para cumprir a sentença que determinou a restituição dos imóveis “</w:t>
      </w:r>
      <w:r w:rsidRPr="00162384">
        <w:rPr>
          <w:rFonts w:ascii="Times New Roman" w:hAnsi="Times New Roman" w:cs="Times New Roman"/>
          <w:i/>
          <w:iCs/>
        </w:rPr>
        <w:t>no estado em que se encontravam</w:t>
      </w:r>
      <w:r w:rsidRPr="00162384">
        <w:rPr>
          <w:rFonts w:ascii="Times New Roman" w:hAnsi="Times New Roman" w:cs="Times New Roman"/>
        </w:rPr>
        <w:t>”.</w:t>
      </w:r>
    </w:p>
    <w:p w14:paraId="753F0EBB" w14:textId="510B1563"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Mais do que isso, o acórdão enfrentou os pontos estruturantes da controvérsia: a autoridade dos julgados anteriores proferidos no mesmo processo; a necessidade de observância da coisa julgada formada em torno da viabilidade da liquidação; a existência de duas perícias judiciais; a conclusão técnica de degradação das áreas; a impossibilidade de afastar a prova pericial sem fundamento técnico idôneo; e a necessidade de prosseguimento da liquidação.</w:t>
      </w:r>
    </w:p>
    <w:p w14:paraId="1E843327" w14:textId="31405D9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Portanto, não há omissão. Há, isto sim, inconformismo dos embargantes com a conclusão alcançada pelo Colegiado.</w:t>
      </w:r>
    </w:p>
    <w:p w14:paraId="2A5B3F0B" w14:textId="0153524D"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III-</w:t>
      </w:r>
      <w:r w:rsidRPr="00162384">
        <w:rPr>
          <w:rFonts w:ascii="Times New Roman" w:hAnsi="Times New Roman" w:cs="Times New Roman"/>
          <w:b/>
          <w:bCs/>
        </w:rPr>
        <w:t xml:space="preserve"> </w:t>
      </w:r>
      <w:r w:rsidRPr="00162384">
        <w:rPr>
          <w:rFonts w:ascii="Times New Roman" w:hAnsi="Times New Roman" w:cs="Times New Roman"/>
          <w:b/>
          <w:bCs/>
        </w:rPr>
        <w:t xml:space="preserve">O </w:t>
      </w:r>
      <w:proofErr w:type="gramStart"/>
      <w:r w:rsidRPr="00162384">
        <w:rPr>
          <w:rFonts w:ascii="Times New Roman" w:hAnsi="Times New Roman" w:cs="Times New Roman"/>
          <w:b/>
          <w:bCs/>
        </w:rPr>
        <w:t>V.ACÓRDÃO</w:t>
      </w:r>
      <w:proofErr w:type="gramEnd"/>
      <w:r w:rsidRPr="00162384">
        <w:rPr>
          <w:rFonts w:ascii="Times New Roman" w:hAnsi="Times New Roman" w:cs="Times New Roman"/>
          <w:b/>
          <w:bCs/>
        </w:rPr>
        <w:t xml:space="preserve"> NÃO PRECISAVA RESPONDER INDIVIDUALMENTE A PONTOS PERIFÉRICOS DA ARGUMENTAÇÃO DOS EMBARGANTES</w:t>
      </w:r>
    </w:p>
    <w:p w14:paraId="098E5E0B" w14:textId="7489050C"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Os embargantes pretendem impor ao acórdão um modelo de fundamentação exauriente, atomizada e cartorial, como se o órgão julgador tivesse o dever de dissecar, em compartimentos estanques, cada argumento defensivo lançado nas contrarrazões ou em manifestações anteriores. Essa exigência não decorre do art. 489, § 1º, IV, do CPC.</w:t>
      </w:r>
    </w:p>
    <w:p w14:paraId="4FA7ABE5" w14:textId="47939C97"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dever de fundamentação exige enfrentamento dos argumentos capazes, em tese, de infirmar a conclusão adotada. Contudo, uma vez acolhida tese jurídica incompatível com a linha defensiva da parte vencida, ficam rejeitados, ainda que implicitamente, os argumentos que dela dependiam.</w:t>
      </w:r>
    </w:p>
    <w:p w14:paraId="30A5E330" w14:textId="4AA5DE71"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No caso concreto, ao assentar que a sentença partiu de premissa jurídica já afastada no curso do próprio processo, que a liquidação não tem natureza indenizatória e que a perícia é indispensável para a efetivação do título, o acórdão afastou, de forma lógica e suficiente, toda a construção argumentativa dos embargantes fundada na suposta impossibilidade jurídica da liquidação.</w:t>
      </w:r>
    </w:p>
    <w:p w14:paraId="67096521" w14:textId="58536FF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Do mesmo modo, ao reconhecer que foram realizadas duas perícias judiciais apontando a necessidade de recomposição, sem demonstração técnica idônea bastante para infirmá-las, o </w:t>
      </w:r>
      <w:r w:rsidRPr="00162384">
        <w:rPr>
          <w:rFonts w:ascii="Times New Roman" w:hAnsi="Times New Roman" w:cs="Times New Roman"/>
        </w:rPr>
        <w:lastRenderedPageBreak/>
        <w:t>acórdão enfrentou o núcleo da insurgência probatória deduzida pelos embargantes - questão probatória.</w:t>
      </w:r>
    </w:p>
    <w:p w14:paraId="46745A27" w14:textId="13FA30B1"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Não havia necessidade de o v. acórdão reproduzir, ponto por ponto, a sentença reformada, nem de responder separadamente cada trecho das contrarrazões, pois a fundamentação adotada foi frontalmente incompatível com a pretensão dos embargantes.</w:t>
      </w:r>
    </w:p>
    <w:p w14:paraId="31FB34D6" w14:textId="0288E8E5"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Embargos de declaração não são instrumento de conferência analítica da extensão retórica do voto. São recurso de integração, e somente se prestam a sanar omissão, contradição, obscuridade ou erro material. Nenhum desses vícios está presente.</w:t>
      </w:r>
    </w:p>
    <w:p w14:paraId="0D26D6ED" w14:textId="2098C526"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rPr>
        <w:t xml:space="preserve"> </w:t>
      </w:r>
      <w:r w:rsidRPr="00162384">
        <w:rPr>
          <w:rFonts w:ascii="Times New Roman" w:hAnsi="Times New Roman" w:cs="Times New Roman"/>
          <w:b/>
          <w:bCs/>
        </w:rPr>
        <w:t>IV-</w:t>
      </w:r>
      <w:r w:rsidRPr="00162384">
        <w:rPr>
          <w:rFonts w:ascii="Times New Roman" w:hAnsi="Times New Roman" w:cs="Times New Roman"/>
          <w:b/>
          <w:bCs/>
        </w:rPr>
        <w:t xml:space="preserve"> </w:t>
      </w:r>
      <w:r w:rsidRPr="00162384">
        <w:rPr>
          <w:rFonts w:ascii="Times New Roman" w:hAnsi="Times New Roman" w:cs="Times New Roman"/>
          <w:b/>
          <w:bCs/>
        </w:rPr>
        <w:t>A QUESTÃO DA COISA JULGADA FOI EXPRESSAMENTE ENFRENTADA</w:t>
      </w:r>
    </w:p>
    <w:p w14:paraId="26100C21" w14:textId="1FD012D5"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Os embargantes insistem em sustentar que a liquidação pretendida pelos exequentes equivaleria à rediscussão de perdas e danos já repelidos na fase de conhecimento.</w:t>
      </w:r>
    </w:p>
    <w:p w14:paraId="41216562" w14:textId="0C6F288F"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Essa tese, todavia, foi expressamente enfrentada e afastada pelo v. acórdão embargado.</w:t>
      </w:r>
    </w:p>
    <w:p w14:paraId="2E272AC7" w14:textId="4086902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O voto condutor deixou claro que, no próprio curso deste processo, a </w:t>
      </w:r>
      <w:r>
        <w:rPr>
          <w:rFonts w:ascii="Times New Roman" w:hAnsi="Times New Roman" w:cs="Times New Roman"/>
        </w:rPr>
        <w:t>...</w:t>
      </w:r>
      <w:r w:rsidRPr="00162384">
        <w:rPr>
          <w:rFonts w:ascii="Times New Roman" w:hAnsi="Times New Roman" w:cs="Times New Roman"/>
        </w:rPr>
        <w:t>ª Câmara Cível já havia decidido que a liquidação não ofende a coisa julgada, porque não busca indenização por perdas e danos, mas sim o efetivo cumprimento da sentença que determinou a restituição dos imóveis no estado em que se encontravam.</w:t>
      </w:r>
    </w:p>
    <w:p w14:paraId="7BF60151" w14:textId="7300AC87"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Essa questão não é nova. Ela já havia sido enfrentada no Agravo de Instrumento n. </w:t>
      </w:r>
      <w:r>
        <w:rPr>
          <w:rFonts w:ascii="Times New Roman" w:hAnsi="Times New Roman" w:cs="Times New Roman"/>
        </w:rPr>
        <w:t>...</w:t>
      </w:r>
      <w:r w:rsidRPr="00162384">
        <w:rPr>
          <w:rFonts w:ascii="Times New Roman" w:hAnsi="Times New Roman" w:cs="Times New Roman"/>
        </w:rPr>
        <w:t xml:space="preserve"> e, novamente, na Apelação n. </w:t>
      </w:r>
      <w:r>
        <w:rPr>
          <w:rFonts w:ascii="Times New Roman" w:hAnsi="Times New Roman" w:cs="Times New Roman"/>
        </w:rPr>
        <w:t>...</w:t>
      </w:r>
      <w:r w:rsidRPr="00162384">
        <w:rPr>
          <w:rFonts w:ascii="Times New Roman" w:hAnsi="Times New Roman" w:cs="Times New Roman"/>
        </w:rPr>
        <w:t>, quando esta mesma Câmara reconheceu a necessidade de perícia para quantificar o valor necessário à recomposição dos imóveis.</w:t>
      </w:r>
    </w:p>
    <w:p w14:paraId="5DB8F08D" w14:textId="7BE7A29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Portanto, não há omissão alguma quanto aos </w:t>
      </w:r>
      <w:proofErr w:type="spellStart"/>
      <w:r w:rsidRPr="00162384">
        <w:rPr>
          <w:rFonts w:ascii="Times New Roman" w:hAnsi="Times New Roman" w:cs="Times New Roman"/>
        </w:rPr>
        <w:t>arts</w:t>
      </w:r>
      <w:proofErr w:type="spellEnd"/>
      <w:r w:rsidRPr="00162384">
        <w:rPr>
          <w:rFonts w:ascii="Times New Roman" w:hAnsi="Times New Roman" w:cs="Times New Roman"/>
        </w:rPr>
        <w:t>. 502, 505, 507, 508 e 509, § 4º, do CPC.</w:t>
      </w:r>
    </w:p>
    <w:p w14:paraId="3263E719" w14:textId="00546155"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acórdão não ignorou a coisa julgada. Ao contrário: prestigiou-a.</w:t>
      </w:r>
    </w:p>
    <w:p w14:paraId="0D30DB0C" w14:textId="25CCD9A2"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coisa julgada, no caso concreto, não autoriza a extinção da liquidação. A coisa julgada impõe o cumprimento do título judicial como já interpretado pelos precedentes internos do próprio processo: os imóveis deveriam ser restituídos no estado em que se encontravam, e a apuração do valor correspondente à recomposição exige prova técnica.</w:t>
      </w:r>
    </w:p>
    <w:p w14:paraId="784C0791" w14:textId="4719CAE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Pretendem os embargantes, a pretexto de proteger a coisa julgada, esvaziá-la. Essa inversão não pode prevalecer.</w:t>
      </w:r>
    </w:p>
    <w:p w14:paraId="17CB2B6E" w14:textId="0BCF61CB"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rPr>
        <w:t xml:space="preserve"> </w:t>
      </w:r>
      <w:r w:rsidRPr="00162384">
        <w:rPr>
          <w:rFonts w:ascii="Times New Roman" w:hAnsi="Times New Roman" w:cs="Times New Roman"/>
          <w:b/>
          <w:bCs/>
        </w:rPr>
        <w:t>V-</w:t>
      </w:r>
      <w:r w:rsidRPr="00162384">
        <w:rPr>
          <w:rFonts w:ascii="Times New Roman" w:hAnsi="Times New Roman" w:cs="Times New Roman"/>
          <w:b/>
          <w:bCs/>
        </w:rPr>
        <w:t xml:space="preserve"> </w:t>
      </w:r>
      <w:r w:rsidRPr="00162384">
        <w:rPr>
          <w:rFonts w:ascii="Times New Roman" w:hAnsi="Times New Roman" w:cs="Times New Roman"/>
          <w:b/>
          <w:bCs/>
        </w:rPr>
        <w:t>A LIQUIDAÇÃO NÃO SE CONFUNDE COM NOVA INDENIZAÇÃO POR PERDAS E DANOS</w:t>
      </w:r>
    </w:p>
    <w:p w14:paraId="684DE836" w14:textId="2DE75EC5"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Também frágil a tentativa dos embargantes de atribuir natureza indenizatória imprópria à liquidação, </w:t>
      </w:r>
      <w:r w:rsidRPr="00162384">
        <w:rPr>
          <w:rFonts w:ascii="Times New Roman" w:hAnsi="Times New Roman" w:cs="Times New Roman"/>
          <w:i/>
          <w:iCs/>
        </w:rPr>
        <w:t xml:space="preserve">data </w:t>
      </w:r>
      <w:proofErr w:type="spellStart"/>
      <w:r w:rsidRPr="00162384">
        <w:rPr>
          <w:rFonts w:ascii="Times New Roman" w:hAnsi="Times New Roman" w:cs="Times New Roman"/>
          <w:i/>
          <w:iCs/>
        </w:rPr>
        <w:t>venia</w:t>
      </w:r>
      <w:proofErr w:type="spellEnd"/>
      <w:r w:rsidRPr="00162384">
        <w:rPr>
          <w:rFonts w:ascii="Times New Roman" w:hAnsi="Times New Roman" w:cs="Times New Roman"/>
        </w:rPr>
        <w:t>.</w:t>
      </w:r>
    </w:p>
    <w:p w14:paraId="7DD58989" w14:textId="40731AE9"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distinção foi traçada de forma precisa pelo v. acórdão embargado: uma coisa é pretender perdas e danos decorrentes da rescisão contratual; outra, absolutamente diversa, é apurar o valor necessário para efetivar a restituição dos imóveis no estado determinado pelo título judicial.</w:t>
      </w:r>
    </w:p>
    <w:p w14:paraId="38F54C78" w14:textId="77777777" w:rsidR="00162384" w:rsidRDefault="00162384" w:rsidP="00162384">
      <w:pPr>
        <w:ind w:right="-568"/>
        <w:jc w:val="both"/>
        <w:rPr>
          <w:rFonts w:ascii="Times New Roman" w:hAnsi="Times New Roman" w:cs="Times New Roman"/>
        </w:rPr>
      </w:pPr>
      <w:r w:rsidRPr="00162384">
        <w:rPr>
          <w:rFonts w:ascii="Times New Roman" w:hAnsi="Times New Roman" w:cs="Times New Roman"/>
        </w:rPr>
        <w:t>A liquidação não cria uma nova obrigação. Apenas quantifica a obrigação já contida no título. Não houve ampliação da sentença liquidanda. Há sua concretização.</w:t>
      </w:r>
    </w:p>
    <w:p w14:paraId="773C462F" w14:textId="50B7DF1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lastRenderedPageBreak/>
        <w:t>A obrigação de restituir o imóvel “</w:t>
      </w:r>
      <w:r w:rsidRPr="00162384">
        <w:rPr>
          <w:rFonts w:ascii="Times New Roman" w:hAnsi="Times New Roman" w:cs="Times New Roman"/>
          <w:i/>
          <w:iCs/>
        </w:rPr>
        <w:t>no estado em que se encontrava</w:t>
      </w:r>
      <w:r w:rsidRPr="00162384">
        <w:rPr>
          <w:rFonts w:ascii="Times New Roman" w:hAnsi="Times New Roman" w:cs="Times New Roman"/>
        </w:rPr>
        <w:t>” não se satisfaz por mera devolução formal da posse, se a coisa foi entregue em situação degradada, deteriorada ou diversa daquela existente no momento juridicamente relevante. Exatamente por isso se instaurou a liquidação por arbitramento: para que se apurasse tecnicamente o valor necessário à recomposição.</w:t>
      </w:r>
    </w:p>
    <w:p w14:paraId="42393398" w14:textId="35836166"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tese dos embargantes, caso acolhida, conduziria a resultado manifestamente incompatível com a autoridade do título executivo: bastaria devolver a posse de imóveis rurais em qualquer condição, ainda que deteriorados, para se considerar cumprida a sentença.</w:t>
      </w:r>
    </w:p>
    <w:p w14:paraId="05AD8DB0" w14:textId="324FA5CA"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Não foi isso que decidiu o título judicial. Não foi isso que decidiu a </w:t>
      </w:r>
      <w:r>
        <w:rPr>
          <w:rFonts w:ascii="Times New Roman" w:hAnsi="Times New Roman" w:cs="Times New Roman"/>
        </w:rPr>
        <w:t>...</w:t>
      </w:r>
      <w:r w:rsidRPr="00162384">
        <w:rPr>
          <w:rFonts w:ascii="Times New Roman" w:hAnsi="Times New Roman" w:cs="Times New Roman"/>
        </w:rPr>
        <w:t>ª Câmara Cível nos julgamentos anteriores. E não foi isso que decidiu o v. acórdão ora embargado.</w:t>
      </w:r>
    </w:p>
    <w:p w14:paraId="0C1A485A" w14:textId="664249C5"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VI-</w:t>
      </w:r>
      <w:r w:rsidRPr="00162384">
        <w:rPr>
          <w:rFonts w:ascii="Times New Roman" w:hAnsi="Times New Roman" w:cs="Times New Roman"/>
          <w:b/>
          <w:bCs/>
        </w:rPr>
        <w:t xml:space="preserve"> </w:t>
      </w:r>
      <w:r w:rsidRPr="00162384">
        <w:rPr>
          <w:rFonts w:ascii="Times New Roman" w:hAnsi="Times New Roman" w:cs="Times New Roman"/>
          <w:b/>
          <w:bCs/>
        </w:rPr>
        <w:t>A PROVA DOCUMENTAL, TESTEMUNHAL E PERICIAL FOI CONSIDERADA PELO ACÓRDÃO, DIRETA E INDIRETAMENTE</w:t>
      </w:r>
    </w:p>
    <w:p w14:paraId="09A10112" w14:textId="5CFF46AF"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Sustentam os embargantes que o acórdão teria deixado de examinar o conjunto fático-probatório, especialmente os fundamentos da sentença quanto à suposta ausência de prova documental contemporânea, às alegadas fragilidades das perícias e aos depoimentos testemunhais.</w:t>
      </w:r>
      <w:r>
        <w:rPr>
          <w:rFonts w:ascii="Times New Roman" w:hAnsi="Times New Roman" w:cs="Times New Roman"/>
        </w:rPr>
        <w:t xml:space="preserve"> </w:t>
      </w:r>
      <w:r w:rsidRPr="00162384">
        <w:rPr>
          <w:rFonts w:ascii="Times New Roman" w:hAnsi="Times New Roman" w:cs="Times New Roman"/>
        </w:rPr>
        <w:t>Sem razão.</w:t>
      </w:r>
    </w:p>
    <w:p w14:paraId="5CA441F3" w14:textId="7AC9454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O v. acórdão não estava obrigado a reproduzir a sentença reformada </w:t>
      </w:r>
      <w:proofErr w:type="gramStart"/>
      <w:r w:rsidRPr="00162384">
        <w:rPr>
          <w:rFonts w:ascii="Times New Roman" w:hAnsi="Times New Roman" w:cs="Times New Roman"/>
        </w:rPr>
        <w:t>para, linha</w:t>
      </w:r>
      <w:proofErr w:type="gramEnd"/>
      <w:r w:rsidRPr="00162384">
        <w:rPr>
          <w:rFonts w:ascii="Times New Roman" w:hAnsi="Times New Roman" w:cs="Times New Roman"/>
        </w:rPr>
        <w:t xml:space="preserve"> a linha, refutá-la. Bastava enfrentar os elementos essenciais que justificavam a reforma, e isso foi feito. </w:t>
      </w:r>
    </w:p>
    <w:p w14:paraId="4C1FCC47" w14:textId="48479485"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conclusão do acórdão foi edificada sobre três pilares probatórios e processuais:</w:t>
      </w:r>
    </w:p>
    <w:p w14:paraId="7AEC9655" w14:textId="7D199033"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primeiro, a prova documental e o histórico processual demonstravam que a sentença exequenda determinou a restituição dos imóveis “</w:t>
      </w:r>
      <w:r w:rsidRPr="00162384">
        <w:rPr>
          <w:rFonts w:ascii="Times New Roman" w:hAnsi="Times New Roman" w:cs="Times New Roman"/>
          <w:i/>
          <w:iCs/>
        </w:rPr>
        <w:t>no estado em que se encontravam</w:t>
      </w:r>
      <w:r w:rsidRPr="00162384">
        <w:rPr>
          <w:rFonts w:ascii="Times New Roman" w:hAnsi="Times New Roman" w:cs="Times New Roman"/>
        </w:rPr>
        <w:t>”, e que julgados anteriores do próprio processo já haviam reconhecido a necessidade de liquidação para apurar esse valor;</w:t>
      </w:r>
    </w:p>
    <w:p w14:paraId="5CC99407" w14:textId="58BDE538" w:rsidR="00162384" w:rsidRPr="00162384" w:rsidRDefault="00162384" w:rsidP="00162384">
      <w:pPr>
        <w:ind w:right="-568"/>
        <w:jc w:val="both"/>
        <w:rPr>
          <w:rFonts w:ascii="Times New Roman" w:hAnsi="Times New Roman" w:cs="Times New Roman"/>
        </w:rPr>
      </w:pPr>
      <w:proofErr w:type="gramStart"/>
      <w:r w:rsidRPr="00162384">
        <w:rPr>
          <w:rFonts w:ascii="Times New Roman" w:hAnsi="Times New Roman" w:cs="Times New Roman"/>
        </w:rPr>
        <w:t>segundo, a</w:t>
      </w:r>
      <w:proofErr w:type="gramEnd"/>
      <w:r w:rsidRPr="00162384">
        <w:rPr>
          <w:rFonts w:ascii="Times New Roman" w:hAnsi="Times New Roman" w:cs="Times New Roman"/>
        </w:rPr>
        <w:t xml:space="preserve"> prova pericial foi produzida em duas oportunidades, por peritos judiciais, ambos engenheiros agrônomos, tendo apontado a existência de degradação e a necessidade de recomposição das áreas, sem que os embargantes tenham apresentado elemento técnico idôneo capaz de desconstituir, de modo seguro, a conclusão pericial;</w:t>
      </w:r>
    </w:p>
    <w:p w14:paraId="1B75B981" w14:textId="080F7661"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terceiro, a prova testemunhal e os demais elementos dos autos não foram ignorados, mas valorados dentro do contexto da controvérsia, à luz da premissa correta: a liquidação não discutia novamente perdas e danos, mas a efetivação do comando de restituição ao status quo ante.</w:t>
      </w:r>
    </w:p>
    <w:p w14:paraId="389C5102" w14:textId="543D235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Portanto, a alegação de que o v. acórdão teria silenciado sobre a prova dos autos não se sustenta.</w:t>
      </w:r>
    </w:p>
    <w:p w14:paraId="39C08CC2" w14:textId="21B232FC"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Na verdade, os embargantes pretendem substituir a valoração feita pelo Tribunal pela valoração anteriormente acolhida na sentença reformada. Essa pretensão é incompatível com a finalidade dos embargos de declaração.</w:t>
      </w:r>
    </w:p>
    <w:p w14:paraId="2AE4BF8D" w14:textId="77777777"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rPr>
        <w:t xml:space="preserve"> </w:t>
      </w:r>
      <w:r w:rsidRPr="00162384">
        <w:rPr>
          <w:rFonts w:ascii="Times New Roman" w:hAnsi="Times New Roman" w:cs="Times New Roman"/>
          <w:b/>
          <w:bCs/>
        </w:rPr>
        <w:t>VII-</w:t>
      </w:r>
      <w:r w:rsidRPr="00162384">
        <w:rPr>
          <w:rFonts w:ascii="Times New Roman" w:hAnsi="Times New Roman" w:cs="Times New Roman"/>
          <w:b/>
          <w:bCs/>
        </w:rPr>
        <w:tab/>
        <w:t>A DISCUSSÃO SOBRE A PRIMEIRA PERÍCIA NÃO REVELA OMISSÃO, MAS TENTATIVA DE REABRIR MATÉRIA JÁ SUPERADA</w:t>
      </w:r>
    </w:p>
    <w:p w14:paraId="24954C3B" w14:textId="4C5AC07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lastRenderedPageBreak/>
        <w:t>Os embargantes alegam que o acórdão teria sido omisso quanto à primeira perícia, ao afirmar que foram realizadas duas perícias judiciais e que ambas apontaram necessidade de recomposição. A insurgência não procede.</w:t>
      </w:r>
    </w:p>
    <w:p w14:paraId="4E06C575" w14:textId="50977E89"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primeira perícia integrou o histórico processual e foi devidamente contextualizada. Tanto é assim que, em julgamento anterior, esta Corte reconheceu que a matéria não estava suficientemente esclarecida e determinou a realização de nova prova técnica, justamente para afastar qualquer dúvida e preservar o contraditório.</w:t>
      </w:r>
    </w:p>
    <w:p w14:paraId="37964FF1" w14:textId="5EDE22A9"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existência de críticas à primeira perícia não a transforma em inexistente, nem apaga o fato processual de que houve, efetivamente, duas provas técnicas judiciais no curso da liquidação.</w:t>
      </w:r>
    </w:p>
    <w:p w14:paraId="4BDE72EB" w14:textId="0AE4A5E2"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Mais importante: a segunda perícia, realizada após a cassação da sentença anterior, concluiu no mesmo sentido substancial da primeira quanto à degradação e à necessidade de recomposição, ratificando a pertinência da liquidação.</w:t>
      </w:r>
    </w:p>
    <w:p w14:paraId="77D718CE" w14:textId="00BC859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Assim, a tentativa dos embargantes de deslocar o debate para supostas fragilidades da primeira perícia é irrelevante para infirmar o acórdão, porque a decisão embargada não se apoiou isoladamente nela. O acórdão considerou o conjunto técnico-probatório, especialmente a prova pericial renovada, produzida sob contraditório e destinada justamente a superar a controvérsia anterior.</w:t>
      </w:r>
    </w:p>
    <w:p w14:paraId="6A3A0C42" w14:textId="21AAE2B5"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Não há omissão. Há inconformismo com a valoração da prova técnica.</w:t>
      </w:r>
    </w:p>
    <w:p w14:paraId="4FF5402E" w14:textId="77777777"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 xml:space="preserve"> VIII-</w:t>
      </w:r>
      <w:r w:rsidRPr="00162384">
        <w:rPr>
          <w:rFonts w:ascii="Times New Roman" w:hAnsi="Times New Roman" w:cs="Times New Roman"/>
          <w:b/>
          <w:bCs/>
        </w:rPr>
        <w:tab/>
        <w:t>A ALEGAÇÃO DE AUSÊNCIA DE DOCUMENTOS CONTEMPORÂNEOS NÃO INFIRMA O ACÓRDÃO</w:t>
      </w:r>
    </w:p>
    <w:p w14:paraId="0EABF663" w14:textId="33C7FC11"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Outro ponto reiterado nos embargos diz respeito à suposta ausência de documentos contemporâneos à celebração do negócio jurídico que comprovassem a exata situação produtiva das áreas rurais.</w:t>
      </w:r>
    </w:p>
    <w:p w14:paraId="0E056C80" w14:textId="1A1DE88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Esse argumento também não configura omissão, vez que:</w:t>
      </w:r>
    </w:p>
    <w:p w14:paraId="01203642" w14:textId="44464BED" w:rsidR="00162384" w:rsidRPr="00162384" w:rsidRDefault="00162384" w:rsidP="00162384">
      <w:pPr>
        <w:ind w:right="-568"/>
        <w:jc w:val="both"/>
        <w:rPr>
          <w:rFonts w:ascii="Times New Roman" w:hAnsi="Times New Roman" w:cs="Times New Roman"/>
        </w:rPr>
      </w:pPr>
      <w:r>
        <w:rPr>
          <w:rFonts w:ascii="Segoe UI Emoji" w:hAnsi="Segoe UI Emoji" w:cs="Segoe UI Emoji"/>
        </w:rPr>
        <w:t xml:space="preserve">- </w:t>
      </w:r>
      <w:proofErr w:type="gramStart"/>
      <w:r w:rsidRPr="00162384">
        <w:rPr>
          <w:rFonts w:ascii="Times New Roman" w:hAnsi="Times New Roman" w:cs="Times New Roman"/>
        </w:rPr>
        <w:t>foi</w:t>
      </w:r>
      <w:proofErr w:type="gramEnd"/>
      <w:r w:rsidRPr="00162384">
        <w:rPr>
          <w:rFonts w:ascii="Times New Roman" w:hAnsi="Times New Roman" w:cs="Times New Roman"/>
        </w:rPr>
        <w:t xml:space="preserve"> considerado no contexto do debate probatório e não se mostrou suficiente para afastar a conclusão pericial;</w:t>
      </w:r>
    </w:p>
    <w:p w14:paraId="4BCE2797" w14:textId="6A2B9705" w:rsidR="00162384" w:rsidRPr="00162384" w:rsidRDefault="00162384" w:rsidP="00162384">
      <w:pPr>
        <w:ind w:right="-568"/>
        <w:jc w:val="both"/>
        <w:rPr>
          <w:rFonts w:ascii="Times New Roman" w:hAnsi="Times New Roman" w:cs="Times New Roman"/>
        </w:rPr>
      </w:pPr>
      <w:r>
        <w:rPr>
          <w:rFonts w:ascii="Segoe UI Emoji" w:hAnsi="Segoe UI Emoji" w:cs="Segoe UI Emoji"/>
        </w:rPr>
        <w:t xml:space="preserve">- </w:t>
      </w:r>
      <w:proofErr w:type="gramStart"/>
      <w:r w:rsidRPr="00162384">
        <w:rPr>
          <w:rFonts w:ascii="Times New Roman" w:hAnsi="Times New Roman" w:cs="Times New Roman"/>
        </w:rPr>
        <w:t>a</w:t>
      </w:r>
      <w:proofErr w:type="gramEnd"/>
      <w:r w:rsidRPr="00162384">
        <w:rPr>
          <w:rFonts w:ascii="Times New Roman" w:hAnsi="Times New Roman" w:cs="Times New Roman"/>
        </w:rPr>
        <w:t xml:space="preserve"> liquidação por arbitramento existe precisamente para apurar, por conhecimento técnico, o valor de recomposição quando a determinação sentencial depende de avaliação especializada;</w:t>
      </w:r>
    </w:p>
    <w:p w14:paraId="3ED1ACBD" w14:textId="39917041" w:rsidR="00162384" w:rsidRPr="00162384" w:rsidRDefault="00162384" w:rsidP="00162384">
      <w:pPr>
        <w:ind w:right="-568"/>
        <w:jc w:val="both"/>
        <w:rPr>
          <w:rFonts w:ascii="Times New Roman" w:hAnsi="Times New Roman" w:cs="Times New Roman"/>
        </w:rPr>
      </w:pPr>
      <w:r>
        <w:rPr>
          <w:rFonts w:ascii="Segoe UI Emoji" w:hAnsi="Segoe UI Emoji" w:cs="Segoe UI Emoji"/>
        </w:rPr>
        <w:t xml:space="preserve">- </w:t>
      </w:r>
      <w:proofErr w:type="gramStart"/>
      <w:r w:rsidRPr="00162384">
        <w:rPr>
          <w:rFonts w:ascii="Times New Roman" w:hAnsi="Times New Roman" w:cs="Times New Roman"/>
        </w:rPr>
        <w:t>a</w:t>
      </w:r>
      <w:proofErr w:type="gramEnd"/>
      <w:r w:rsidRPr="00162384">
        <w:rPr>
          <w:rFonts w:ascii="Times New Roman" w:hAnsi="Times New Roman" w:cs="Times New Roman"/>
        </w:rPr>
        <w:t xml:space="preserve"> prova pericial não se limita à existência de notas fiscais, registros contábeis ou documentos fiscais da atividade rural. A perícia pode se valer de imagens, fotografias, histórico de ocupação, depoimentos, constatações de oficiais de justiça, análise agronômica e demais elementos técnicos disponíveis e;</w:t>
      </w:r>
    </w:p>
    <w:p w14:paraId="386457DD" w14:textId="77777777" w:rsidR="00162384" w:rsidRDefault="00162384" w:rsidP="00162384">
      <w:pPr>
        <w:ind w:right="-568"/>
        <w:jc w:val="both"/>
        <w:rPr>
          <w:rFonts w:ascii="Times New Roman" w:hAnsi="Times New Roman" w:cs="Times New Roman"/>
        </w:rPr>
      </w:pPr>
      <w:r>
        <w:rPr>
          <w:rFonts w:ascii="Segoe UI Emoji" w:hAnsi="Segoe UI Emoji" w:cs="Segoe UI Emoji"/>
        </w:rPr>
        <w:t xml:space="preserve">- </w:t>
      </w:r>
      <w:proofErr w:type="gramStart"/>
      <w:r w:rsidRPr="00162384">
        <w:rPr>
          <w:rFonts w:ascii="Times New Roman" w:hAnsi="Times New Roman" w:cs="Times New Roman"/>
        </w:rPr>
        <w:t>a</w:t>
      </w:r>
      <w:proofErr w:type="gramEnd"/>
      <w:r w:rsidRPr="00162384">
        <w:rPr>
          <w:rFonts w:ascii="Times New Roman" w:hAnsi="Times New Roman" w:cs="Times New Roman"/>
        </w:rPr>
        <w:t xml:space="preserve"> sentença reformada incorreu exatamente no equívoco identificado pelo acórdão: partiu de uma premissa jurídica restritiva — a de que a liquidação seria uma indenização disfarçada — e, a partir dela, enfraqueceu artificialmente a prova técnica produzida nos autos.</w:t>
      </w:r>
    </w:p>
    <w:p w14:paraId="61894468" w14:textId="10E4E65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lastRenderedPageBreak/>
        <w:t>O v. acórdão, ao corrigir essa premissa, não estava obrigado a acolher a tese dos embargantes de que a ausência de determinado tipo documental inviabilizaria toda a liquidação. Ao contrário, reconheceu que havia prova técnica suficiente para justificar o prosseguimento do procedimento.</w:t>
      </w:r>
    </w:p>
    <w:p w14:paraId="153E5859" w14:textId="1F7E28E8"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IX-</w:t>
      </w:r>
      <w:r w:rsidRPr="00162384">
        <w:rPr>
          <w:rFonts w:ascii="Times New Roman" w:hAnsi="Times New Roman" w:cs="Times New Roman"/>
          <w:b/>
          <w:bCs/>
        </w:rPr>
        <w:t xml:space="preserve"> </w:t>
      </w:r>
      <w:r w:rsidRPr="00162384">
        <w:rPr>
          <w:rFonts w:ascii="Times New Roman" w:hAnsi="Times New Roman" w:cs="Times New Roman"/>
          <w:b/>
          <w:bCs/>
        </w:rPr>
        <w:t>O V. ACÓRDÃO NÃO INCORREU EM VIOLAÇÃO AOS ARTS. 371 E 479 DO CPC</w:t>
      </w:r>
    </w:p>
    <w:p w14:paraId="13D01A2A" w14:textId="45F41DF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Os embargantes invocam os </w:t>
      </w:r>
      <w:proofErr w:type="spellStart"/>
      <w:r w:rsidRPr="00162384">
        <w:rPr>
          <w:rFonts w:ascii="Times New Roman" w:hAnsi="Times New Roman" w:cs="Times New Roman"/>
        </w:rPr>
        <w:t>arts</w:t>
      </w:r>
      <w:proofErr w:type="spellEnd"/>
      <w:r w:rsidRPr="00162384">
        <w:rPr>
          <w:rFonts w:ascii="Times New Roman" w:hAnsi="Times New Roman" w:cs="Times New Roman"/>
        </w:rPr>
        <w:t xml:space="preserve">. 371 e 479 do CPC, alegando que o acórdão teria deixado de valorar adequadamente a prova ou de justificar a prevalência da perícia. Também aqui não há vício integrativo, </w:t>
      </w:r>
      <w:r w:rsidRPr="00162384">
        <w:rPr>
          <w:rFonts w:ascii="Times New Roman" w:hAnsi="Times New Roman" w:cs="Times New Roman"/>
          <w:i/>
          <w:iCs/>
        </w:rPr>
        <w:t xml:space="preserve">redobrada </w:t>
      </w:r>
      <w:proofErr w:type="spellStart"/>
      <w:r w:rsidRPr="00162384">
        <w:rPr>
          <w:rFonts w:ascii="Times New Roman" w:hAnsi="Times New Roman" w:cs="Times New Roman"/>
          <w:i/>
          <w:iCs/>
        </w:rPr>
        <w:t>venia</w:t>
      </w:r>
      <w:proofErr w:type="spellEnd"/>
      <w:r w:rsidRPr="00162384">
        <w:rPr>
          <w:rFonts w:ascii="Times New Roman" w:hAnsi="Times New Roman" w:cs="Times New Roman"/>
        </w:rPr>
        <w:t>.</w:t>
      </w:r>
    </w:p>
    <w:p w14:paraId="595139DE" w14:textId="412DF308"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art. 371 do CPC garante ao julgador a apreciação da prova constante dos autos, devendo indicar as razões de seu convencimento. O acórdão o fez!</w:t>
      </w:r>
    </w:p>
    <w:p w14:paraId="71717C9D" w14:textId="1AD14822"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art. 479 do CPC dispõe que o juiz apreciará a prova pericial de acordo com o art. 371, indicando os motivos que o levaram a considerar ou deixar de considerar as conclusões do laudo. O acórdão também o fez, ao reconhecer que a prova pericial foi produzida em duas oportunidades e que não houve demonstração técnica idônea bastante para afastá-la.</w:t>
      </w:r>
    </w:p>
    <w:p w14:paraId="427E57BC" w14:textId="69C90C1A"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que os embargantes pretendem, sob o rótulo de omissão, é obter nova apreciação do peso da prova pericial, da prova testemunhal e da prova documental.</w:t>
      </w:r>
    </w:p>
    <w:p w14:paraId="738FB5CA" w14:textId="60E233C9"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 isso não é matéria de embargos de declaração.</w:t>
      </w:r>
    </w:p>
    <w:p w14:paraId="362E425D" w14:textId="7F8E3E54" w:rsidR="00162384" w:rsidRPr="00162384" w:rsidRDefault="00162384" w:rsidP="00162384">
      <w:pPr>
        <w:ind w:right="-568"/>
        <w:jc w:val="both"/>
        <w:rPr>
          <w:rFonts w:ascii="Times New Roman" w:hAnsi="Times New Roman" w:cs="Times New Roman"/>
          <w:b/>
          <w:bCs/>
        </w:rPr>
      </w:pPr>
      <w:r w:rsidRPr="00162384">
        <w:rPr>
          <w:rFonts w:ascii="Times New Roman" w:hAnsi="Times New Roman" w:cs="Times New Roman"/>
          <w:b/>
          <w:bCs/>
        </w:rPr>
        <w:t>X-</w:t>
      </w:r>
      <w:r w:rsidRPr="00162384">
        <w:rPr>
          <w:rFonts w:ascii="Times New Roman" w:hAnsi="Times New Roman" w:cs="Times New Roman"/>
          <w:b/>
          <w:bCs/>
        </w:rPr>
        <w:t xml:space="preserve"> </w:t>
      </w:r>
      <w:r w:rsidRPr="00162384">
        <w:rPr>
          <w:rFonts w:ascii="Times New Roman" w:hAnsi="Times New Roman" w:cs="Times New Roman"/>
          <w:b/>
          <w:bCs/>
        </w:rPr>
        <w:t>NÃO HÁ OMISSÃO QUANTO ÀS CONTRARRAZÕES À APELAÇÃO</w:t>
      </w:r>
    </w:p>
    <w:p w14:paraId="27B4B95C" w14:textId="0EFA0E09"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Os embargantes afirmam que o v. acórdão teria deixado de analisar argumentos deduzidos nas contrarrazões. A assertiva não procede.</w:t>
      </w:r>
    </w:p>
    <w:p w14:paraId="07E09A7B" w14:textId="29F929F1"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 xml:space="preserve">As contrarrazões foram consideradas. O fato de suas teses não terem sido acolhidas não significa que tenham sido ignoradas. </w:t>
      </w:r>
    </w:p>
    <w:p w14:paraId="2F714DC9" w14:textId="56CABEA4"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 jurisprudência é pacífica no sentido de que o julgador não precisa responder a todos os argumentos das partes, bastando que exponha fundamentos suficientes para a solução da controvérsia. E, no caso concreto, o acórdão enfrentou exatamente os pontos que estruturavam as contrarrazões: coisa julgada, natureza da liquidação, validade das perícias, ausência de demonstração técnica capaz de afastá-las e necessidade de prosseguimento da liquidação.</w:t>
      </w:r>
    </w:p>
    <w:p w14:paraId="4E9E9CFD" w14:textId="5F51852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Se o v. acórdão adotou fundamentos incompatíveis com a tese dos embargantes, estes foram rejeitados por consequência lógica. Não há omissão. Há derrota argumentativa.</w:t>
      </w:r>
    </w:p>
    <w:p w14:paraId="35F977FE" w14:textId="68553D38" w:rsidR="00162384" w:rsidRPr="000D206B" w:rsidRDefault="00162384" w:rsidP="00162384">
      <w:pPr>
        <w:ind w:right="-568"/>
        <w:jc w:val="both"/>
        <w:rPr>
          <w:rFonts w:ascii="Times New Roman" w:hAnsi="Times New Roman" w:cs="Times New Roman"/>
          <w:b/>
          <w:bCs/>
        </w:rPr>
      </w:pPr>
      <w:r w:rsidRPr="000D206B">
        <w:rPr>
          <w:rFonts w:ascii="Times New Roman" w:hAnsi="Times New Roman" w:cs="Times New Roman"/>
          <w:b/>
          <w:bCs/>
        </w:rPr>
        <w:t>XI-</w:t>
      </w:r>
      <w:r w:rsidR="000D206B" w:rsidRPr="000D206B">
        <w:rPr>
          <w:rFonts w:ascii="Times New Roman" w:hAnsi="Times New Roman" w:cs="Times New Roman"/>
          <w:b/>
          <w:bCs/>
        </w:rPr>
        <w:t xml:space="preserve"> </w:t>
      </w:r>
      <w:r w:rsidRPr="000D206B">
        <w:rPr>
          <w:rFonts w:ascii="Times New Roman" w:hAnsi="Times New Roman" w:cs="Times New Roman"/>
          <w:b/>
          <w:bCs/>
        </w:rPr>
        <w:t>OS EMBARGOS BUSCAM EFEITO MODIFICATIVO SEM VÍCIO INTEGRATIVO</w:t>
      </w:r>
    </w:p>
    <w:p w14:paraId="60AF8A98" w14:textId="4CCDB6DF"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Os embargantes não pretendem aclarar, integrar ou corrigir o acórdão.</w:t>
      </w:r>
      <w:r w:rsidR="000D206B">
        <w:rPr>
          <w:rFonts w:ascii="Times New Roman" w:hAnsi="Times New Roman" w:cs="Times New Roman"/>
        </w:rPr>
        <w:t xml:space="preserve"> </w:t>
      </w:r>
      <w:r w:rsidRPr="00162384">
        <w:rPr>
          <w:rFonts w:ascii="Times New Roman" w:hAnsi="Times New Roman" w:cs="Times New Roman"/>
        </w:rPr>
        <w:t>Pretendem reformá-lo.</w:t>
      </w:r>
    </w:p>
    <w:p w14:paraId="0385EE25" w14:textId="77777777" w:rsidR="000D206B" w:rsidRDefault="00162384" w:rsidP="00162384">
      <w:pPr>
        <w:ind w:right="-568"/>
        <w:jc w:val="both"/>
        <w:rPr>
          <w:rFonts w:ascii="Times New Roman" w:hAnsi="Times New Roman" w:cs="Times New Roman"/>
        </w:rPr>
      </w:pPr>
      <w:r w:rsidRPr="00162384">
        <w:rPr>
          <w:rFonts w:ascii="Times New Roman" w:hAnsi="Times New Roman" w:cs="Times New Roman"/>
        </w:rPr>
        <w:t>O pedido final dos embargos é inequívoco: requerem efeito modificativo para que seja mantida a sentença anteriormente reformada. Ou seja, buscam, em embargos de declaração, o rejulgamento da apelação.</w:t>
      </w:r>
    </w:p>
    <w:p w14:paraId="67DEC9EF" w14:textId="0B81EB0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lastRenderedPageBreak/>
        <w:t>Ocorre que os efeitos infringentes somente são admissíveis quando decorram necessariamente do saneamento de omissão, contradição, obscuridade ou erro material efetivamente existente. Não havendo vício, não há espaço para efeito modificativo.</w:t>
      </w:r>
      <w:r w:rsidR="000D206B">
        <w:rPr>
          <w:rFonts w:ascii="Times New Roman" w:hAnsi="Times New Roman" w:cs="Times New Roman"/>
        </w:rPr>
        <w:t xml:space="preserve"> </w:t>
      </w:r>
      <w:r w:rsidRPr="00162384">
        <w:rPr>
          <w:rFonts w:ascii="Times New Roman" w:hAnsi="Times New Roman" w:cs="Times New Roman"/>
        </w:rPr>
        <w:t xml:space="preserve">A pretensão dos embargantes é </w:t>
      </w:r>
      <w:proofErr w:type="spellStart"/>
      <w:r w:rsidRPr="00162384">
        <w:rPr>
          <w:rFonts w:ascii="Times New Roman" w:hAnsi="Times New Roman" w:cs="Times New Roman"/>
        </w:rPr>
        <w:t>recursalmente</w:t>
      </w:r>
      <w:proofErr w:type="spellEnd"/>
      <w:r w:rsidRPr="00162384">
        <w:rPr>
          <w:rFonts w:ascii="Times New Roman" w:hAnsi="Times New Roman" w:cs="Times New Roman"/>
        </w:rPr>
        <w:t xml:space="preserve"> imprópria. </w:t>
      </w:r>
    </w:p>
    <w:p w14:paraId="302BFACA" w14:textId="122325DF"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Caso discordem do entendimento firmado pela Câmara, deverão manejar o recurso cabível, não podendo utilizar os embargos de declaração como sucedâneo recursal.</w:t>
      </w:r>
    </w:p>
    <w:p w14:paraId="24663513" w14:textId="69708ED0" w:rsidR="00162384" w:rsidRPr="000D206B" w:rsidRDefault="00162384" w:rsidP="00162384">
      <w:pPr>
        <w:ind w:right="-568"/>
        <w:jc w:val="both"/>
        <w:rPr>
          <w:rFonts w:ascii="Times New Roman" w:hAnsi="Times New Roman" w:cs="Times New Roman"/>
          <w:b/>
          <w:bCs/>
        </w:rPr>
      </w:pPr>
      <w:r w:rsidRPr="000D206B">
        <w:rPr>
          <w:rFonts w:ascii="Times New Roman" w:hAnsi="Times New Roman" w:cs="Times New Roman"/>
          <w:b/>
          <w:bCs/>
        </w:rPr>
        <w:t>XII-</w:t>
      </w:r>
      <w:r w:rsidRPr="000D206B">
        <w:rPr>
          <w:rFonts w:ascii="Times New Roman" w:hAnsi="Times New Roman" w:cs="Times New Roman"/>
          <w:b/>
          <w:bCs/>
        </w:rPr>
        <w:tab/>
        <w:t>O PREQUESTIONAMENTO NÃO AUTORIZA O ACOLHIMENTO DOS EMBARGOS</w:t>
      </w:r>
    </w:p>
    <w:p w14:paraId="000ED6D3" w14:textId="1E23A14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Também não procede o pedido de prequestionamento formulado pelos embargantes. O prequestionamento não transforma embargos de declaração em instrumento de reabertura do julgamento. A simples intenção de viabilizar recurso às instâncias superiores não dispensa a demonstração de vício previsto no art. 1.022 do CPC.</w:t>
      </w:r>
    </w:p>
    <w:p w14:paraId="361B8943" w14:textId="57EDC60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Inexistindo omissão, contradição, obscuridade ou erro material, os embargos devem ser rejeitados, ainda que opostos com finalidade de prequestionamento.</w:t>
      </w:r>
    </w:p>
    <w:p w14:paraId="5AE12AD8" w14:textId="57D1DF37"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Ademais, os dispositivos legais invocados pelos embargantes foram, quando pertinentes, direta ou indiretamente enfrentados pela fundamentação do acórdão. A rejeição da tese da parte, por fundamento jurídico suficiente e coerente, satisfaz o dever de fundamentação.</w:t>
      </w:r>
    </w:p>
    <w:p w14:paraId="20007F16" w14:textId="296D2C6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Não há obrigação de o Tribunal mencionar expressamente todos os artigos indicados pela parte vencida, quando a tese jurídica subjacente foi examinada e afastada.</w:t>
      </w:r>
    </w:p>
    <w:p w14:paraId="1B24750E" w14:textId="5C4E3D91" w:rsidR="00162384" w:rsidRPr="000D206B" w:rsidRDefault="00162384" w:rsidP="00162384">
      <w:pPr>
        <w:ind w:right="-568"/>
        <w:jc w:val="both"/>
        <w:rPr>
          <w:rFonts w:ascii="Times New Roman" w:hAnsi="Times New Roman" w:cs="Times New Roman"/>
          <w:b/>
          <w:bCs/>
        </w:rPr>
      </w:pPr>
      <w:r w:rsidRPr="000D206B">
        <w:rPr>
          <w:rFonts w:ascii="Times New Roman" w:hAnsi="Times New Roman" w:cs="Times New Roman"/>
          <w:b/>
          <w:bCs/>
        </w:rPr>
        <w:t>XIII-</w:t>
      </w:r>
      <w:r w:rsidRPr="000D206B">
        <w:rPr>
          <w:rFonts w:ascii="Times New Roman" w:hAnsi="Times New Roman" w:cs="Times New Roman"/>
          <w:b/>
          <w:bCs/>
        </w:rPr>
        <w:tab/>
        <w:t>EM ARREMATE</w:t>
      </w:r>
    </w:p>
    <w:p w14:paraId="60AB5966" w14:textId="409CDA10"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Em verdade, os embargos declaratórios aviados pelos sucessores de Albertino Ferreira Peres não apontam vício real no acórdão.</w:t>
      </w:r>
    </w:p>
    <w:p w14:paraId="727D1DA9" w14:textId="5C66715A"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Reeditam teses já enfrentadas, buscam revalorizar provas, pretendem ressuscitar a fundamentação da sentença reformada e insistem na confusão entre liquidação de obrigação de recomposição e indenização por perdas e danos.</w:t>
      </w:r>
    </w:p>
    <w:p w14:paraId="09A87DB7" w14:textId="611765DB"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 v. acórdão embargado examinou a controvérsia em sua essência. Enfrentou a premissa jurídica da sentença, a autoridade dos precedentes anteriores do próprio processo, a natureza da liquidação, a prova pericial produzida em duas oportunidades, a ausência de demonstração técnica idônea capaz de afastá-la e a necessidade de prosseguimento da liquidação.</w:t>
      </w:r>
    </w:p>
    <w:p w14:paraId="2ABE077F" w14:textId="59AB6C6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Os pontos agora suscitados pelos embargantes são, quando muito, desdobramentos argumentativos periféricos, incapazes de caracterizar omissão.</w:t>
      </w:r>
    </w:p>
    <w:p w14:paraId="40DF8EC8" w14:textId="206BAB0E" w:rsidR="00162384" w:rsidRPr="00162384" w:rsidRDefault="00162384" w:rsidP="00162384">
      <w:pPr>
        <w:ind w:right="-568"/>
        <w:jc w:val="both"/>
        <w:rPr>
          <w:rFonts w:ascii="Times New Roman" w:hAnsi="Times New Roman" w:cs="Times New Roman"/>
        </w:rPr>
      </w:pPr>
      <w:r w:rsidRPr="00162384">
        <w:rPr>
          <w:rFonts w:ascii="Times New Roman" w:hAnsi="Times New Roman" w:cs="Times New Roman"/>
        </w:rPr>
        <w:t>Embargos de declaração não se prestam a exigir que o Tribunal responda individualmente cada fragmento da argumentação vencida, sobretudo quando a fundamentação adotada resolve os pontos nodais da demanda e rejeita, por incompatibilidade lógica, as teses contrárias.</w:t>
      </w:r>
    </w:p>
    <w:p w14:paraId="5E9CC964" w14:textId="77777777" w:rsidR="000D206B" w:rsidRDefault="00162384" w:rsidP="00162384">
      <w:pPr>
        <w:ind w:right="-568"/>
        <w:jc w:val="both"/>
        <w:rPr>
          <w:rFonts w:ascii="Times New Roman" w:hAnsi="Times New Roman" w:cs="Times New Roman"/>
          <w:b/>
          <w:bCs/>
        </w:rPr>
      </w:pPr>
      <w:r w:rsidRPr="000D206B">
        <w:rPr>
          <w:rFonts w:ascii="Times New Roman" w:hAnsi="Times New Roman" w:cs="Times New Roman"/>
          <w:b/>
          <w:bCs/>
        </w:rPr>
        <w:t>XIV-</w:t>
      </w:r>
      <w:r w:rsidRPr="000D206B">
        <w:rPr>
          <w:rFonts w:ascii="Times New Roman" w:hAnsi="Times New Roman" w:cs="Times New Roman"/>
          <w:b/>
          <w:bCs/>
        </w:rPr>
        <w:tab/>
        <w:t>PEDIDOS</w:t>
      </w:r>
    </w:p>
    <w:p w14:paraId="5AF4B5C2" w14:textId="54F88F42" w:rsidR="00162384" w:rsidRPr="000D206B" w:rsidRDefault="00162384" w:rsidP="00162384">
      <w:pPr>
        <w:ind w:right="-568"/>
        <w:jc w:val="both"/>
        <w:rPr>
          <w:rFonts w:ascii="Times New Roman" w:hAnsi="Times New Roman" w:cs="Times New Roman"/>
          <w:b/>
          <w:bCs/>
        </w:rPr>
      </w:pPr>
      <w:proofErr w:type="spellStart"/>
      <w:r w:rsidRPr="000D206B">
        <w:rPr>
          <w:rFonts w:ascii="Times New Roman" w:hAnsi="Times New Roman" w:cs="Times New Roman"/>
          <w:b/>
          <w:bCs/>
          <w:i/>
          <w:iCs/>
        </w:rPr>
        <w:lastRenderedPageBreak/>
        <w:t>Ex</w:t>
      </w:r>
      <w:proofErr w:type="spellEnd"/>
      <w:r w:rsidRPr="000D206B">
        <w:rPr>
          <w:rFonts w:ascii="Times New Roman" w:hAnsi="Times New Roman" w:cs="Times New Roman"/>
          <w:b/>
          <w:bCs/>
          <w:i/>
          <w:iCs/>
        </w:rPr>
        <w:t xml:space="preserve"> positis</w:t>
      </w:r>
      <w:r w:rsidRPr="00162384">
        <w:rPr>
          <w:rFonts w:ascii="Times New Roman" w:hAnsi="Times New Roman" w:cs="Times New Roman"/>
        </w:rPr>
        <w:t>, os embargados requerem SEJAM REJEITADOS INTEGRALMENTE OS EMBARGOS DE DECLARAÇÃO, por ser medida de lídima justiça.</w:t>
      </w:r>
    </w:p>
    <w:p w14:paraId="2F3EF708" w14:textId="53F54F52" w:rsidR="00162384" w:rsidRPr="00162384" w:rsidRDefault="00162384" w:rsidP="000D206B">
      <w:pPr>
        <w:spacing w:after="0" w:line="240" w:lineRule="auto"/>
        <w:ind w:right="-567"/>
        <w:jc w:val="center"/>
        <w:rPr>
          <w:rFonts w:ascii="Times New Roman" w:hAnsi="Times New Roman" w:cs="Times New Roman"/>
        </w:rPr>
      </w:pPr>
      <w:r w:rsidRPr="00162384">
        <w:rPr>
          <w:rFonts w:ascii="Times New Roman" w:hAnsi="Times New Roman" w:cs="Times New Roman"/>
        </w:rPr>
        <w:t>P</w:t>
      </w:r>
      <w:r w:rsidR="000D206B">
        <w:rPr>
          <w:rFonts w:ascii="Times New Roman" w:hAnsi="Times New Roman" w:cs="Times New Roman"/>
        </w:rPr>
        <w:t>ede</w:t>
      </w:r>
      <w:r w:rsidRPr="00162384">
        <w:rPr>
          <w:rFonts w:ascii="Times New Roman" w:hAnsi="Times New Roman" w:cs="Times New Roman"/>
        </w:rPr>
        <w:t xml:space="preserve"> Deferimento.</w:t>
      </w:r>
    </w:p>
    <w:p w14:paraId="409F9349" w14:textId="18E52AEC" w:rsidR="00162384" w:rsidRDefault="000D206B" w:rsidP="000D206B">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338A878D" w14:textId="5F87CEA2" w:rsidR="000D206B" w:rsidRPr="00162384" w:rsidRDefault="000D206B" w:rsidP="000D206B">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0D206B" w:rsidRPr="001623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40A48"/>
    <w:multiLevelType w:val="hybridMultilevel"/>
    <w:tmpl w:val="72E64438"/>
    <w:lvl w:ilvl="0" w:tplc="86A853E2">
      <w:start w:val="1"/>
      <w:numFmt w:val="upperRoman"/>
      <w:lvlText w:val="%1-"/>
      <w:lvlJc w:val="left"/>
      <w:pPr>
        <w:ind w:left="780" w:hanging="72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num w:numId="1" w16cid:durableId="1908105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384"/>
    <w:rsid w:val="000D206B"/>
    <w:rsid w:val="00162384"/>
    <w:rsid w:val="00DD68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DFA32"/>
  <w15:chartTrackingRefBased/>
  <w15:docId w15:val="{C3485753-4701-4C3E-95AF-33F37205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623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623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6238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6238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6238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6238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6238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6238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6238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6238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6238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6238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6238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6238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6238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6238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6238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62384"/>
    <w:rPr>
      <w:rFonts w:eastAsiaTheme="majorEastAsia" w:cstheme="majorBidi"/>
      <w:color w:val="272727" w:themeColor="text1" w:themeTint="D8"/>
    </w:rPr>
  </w:style>
  <w:style w:type="paragraph" w:styleId="Ttulo">
    <w:name w:val="Title"/>
    <w:basedOn w:val="Normal"/>
    <w:next w:val="Normal"/>
    <w:link w:val="TtuloChar"/>
    <w:uiPriority w:val="10"/>
    <w:qFormat/>
    <w:rsid w:val="00162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623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6238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6238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62384"/>
    <w:pPr>
      <w:spacing w:before="160"/>
      <w:jc w:val="center"/>
    </w:pPr>
    <w:rPr>
      <w:i/>
      <w:iCs/>
      <w:color w:val="404040" w:themeColor="text1" w:themeTint="BF"/>
    </w:rPr>
  </w:style>
  <w:style w:type="character" w:customStyle="1" w:styleId="CitaoChar">
    <w:name w:val="Citação Char"/>
    <w:basedOn w:val="Fontepargpadro"/>
    <w:link w:val="Citao"/>
    <w:uiPriority w:val="29"/>
    <w:rsid w:val="00162384"/>
    <w:rPr>
      <w:i/>
      <w:iCs/>
      <w:color w:val="404040" w:themeColor="text1" w:themeTint="BF"/>
    </w:rPr>
  </w:style>
  <w:style w:type="paragraph" w:styleId="PargrafodaLista">
    <w:name w:val="List Paragraph"/>
    <w:basedOn w:val="Normal"/>
    <w:uiPriority w:val="34"/>
    <w:qFormat/>
    <w:rsid w:val="00162384"/>
    <w:pPr>
      <w:ind w:left="720"/>
      <w:contextualSpacing/>
    </w:pPr>
  </w:style>
  <w:style w:type="character" w:styleId="nfaseIntensa">
    <w:name w:val="Intense Emphasis"/>
    <w:basedOn w:val="Fontepargpadro"/>
    <w:uiPriority w:val="21"/>
    <w:qFormat/>
    <w:rsid w:val="00162384"/>
    <w:rPr>
      <w:i/>
      <w:iCs/>
      <w:color w:val="2F5496" w:themeColor="accent1" w:themeShade="BF"/>
    </w:rPr>
  </w:style>
  <w:style w:type="paragraph" w:styleId="CitaoIntensa">
    <w:name w:val="Intense Quote"/>
    <w:basedOn w:val="Normal"/>
    <w:next w:val="Normal"/>
    <w:link w:val="CitaoIntensaChar"/>
    <w:uiPriority w:val="30"/>
    <w:qFormat/>
    <w:rsid w:val="001623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62384"/>
    <w:rPr>
      <w:i/>
      <w:iCs/>
      <w:color w:val="2F5496" w:themeColor="accent1" w:themeShade="BF"/>
    </w:rPr>
  </w:style>
  <w:style w:type="character" w:styleId="RefernciaIntensa">
    <w:name w:val="Intense Reference"/>
    <w:basedOn w:val="Fontepargpadro"/>
    <w:uiPriority w:val="32"/>
    <w:qFormat/>
    <w:rsid w:val="001623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2901</Words>
  <Characters>15670</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2026-10-02T19:07:00Z</dcterms:created>
  <dcterms:modified xsi:type="dcterms:W3CDTF">2026-10-02T19:23:00Z</dcterms:modified>
</cp:coreProperties>
</file>