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BB25B" w14:textId="77777777" w:rsidR="0078635A" w:rsidRPr="0078635A" w:rsidRDefault="0078635A" w:rsidP="0078635A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78635A">
        <w:rPr>
          <w:rFonts w:ascii="Arial Black" w:hAnsi="Arial Black" w:cs="Times New Roman"/>
        </w:rPr>
        <w:t>MODELO DE PETIÇÃO</w:t>
      </w:r>
    </w:p>
    <w:p w14:paraId="31764E89" w14:textId="77777777" w:rsidR="0078635A" w:rsidRPr="0078635A" w:rsidRDefault="0078635A" w:rsidP="0078635A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78635A">
        <w:rPr>
          <w:rFonts w:ascii="Arial Black" w:hAnsi="Arial Black" w:cs="Times New Roman"/>
        </w:rPr>
        <w:t>EMBARGOS DE DECLARAÇÃO. CONTRARIEDADE.</w:t>
      </w:r>
    </w:p>
    <w:p w14:paraId="22AFB2D1" w14:textId="3EFB4538" w:rsidR="0078635A" w:rsidRPr="0078635A" w:rsidRDefault="0078635A" w:rsidP="0078635A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78635A">
        <w:rPr>
          <w:rFonts w:ascii="Arial Black" w:hAnsi="Arial Black" w:cs="Times New Roman"/>
        </w:rPr>
        <w:t>INOVAÇÃO RECURSAL. REJEIÇÃO.</w:t>
      </w:r>
    </w:p>
    <w:p w14:paraId="496BB59F" w14:textId="77777777" w:rsidR="0078635A" w:rsidRPr="0078635A" w:rsidRDefault="0078635A" w:rsidP="0078635A">
      <w:pPr>
        <w:spacing w:after="0" w:line="240" w:lineRule="auto"/>
        <w:ind w:right="-567"/>
        <w:jc w:val="right"/>
        <w:rPr>
          <w:rFonts w:ascii="Times New Roman" w:hAnsi="Times New Roman" w:cs="Times New Roman"/>
        </w:rPr>
      </w:pPr>
      <w:proofErr w:type="spellStart"/>
      <w:r w:rsidRPr="0078635A">
        <w:rPr>
          <w:rFonts w:ascii="Arial Black" w:hAnsi="Arial Black" w:cs="Times New Roman"/>
        </w:rPr>
        <w:t>Rénan</w:t>
      </w:r>
      <w:proofErr w:type="spellEnd"/>
      <w:r w:rsidRPr="0078635A">
        <w:rPr>
          <w:rFonts w:ascii="Arial Black" w:hAnsi="Arial Black" w:cs="Times New Roman"/>
        </w:rPr>
        <w:t xml:space="preserve"> </w:t>
      </w:r>
      <w:proofErr w:type="spellStart"/>
      <w:r w:rsidRPr="0078635A">
        <w:rPr>
          <w:rFonts w:ascii="Arial Black" w:hAnsi="Arial Black" w:cs="Times New Roman"/>
        </w:rPr>
        <w:t>Kfuri</w:t>
      </w:r>
      <w:proofErr w:type="spellEnd"/>
      <w:r w:rsidRPr="0078635A">
        <w:rPr>
          <w:rFonts w:ascii="Arial Black" w:hAnsi="Arial Black" w:cs="Times New Roman"/>
        </w:rPr>
        <w:t xml:space="preserve"> Lopes</w:t>
      </w:r>
    </w:p>
    <w:p w14:paraId="4423695B" w14:textId="77777777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</w:p>
    <w:p w14:paraId="0F650073" w14:textId="77777777" w:rsid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Juiz de Direito da ... Vara Cível da Comarca de ...</w:t>
      </w:r>
    </w:p>
    <w:p w14:paraId="50B07D7F" w14:textId="700F3E1A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 xml:space="preserve">Processo nº </w:t>
      </w:r>
      <w:r>
        <w:rPr>
          <w:rFonts w:ascii="Times New Roman" w:hAnsi="Times New Roman" w:cs="Times New Roman"/>
        </w:rPr>
        <w:t>...</w:t>
      </w:r>
    </w:p>
    <w:p w14:paraId="54DC7475" w14:textId="1FB6A380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78635A">
        <w:rPr>
          <w:rFonts w:ascii="Times New Roman" w:hAnsi="Times New Roman" w:cs="Times New Roman"/>
        </w:rPr>
        <w:t xml:space="preserve">, ora embargado, por si e seu advogado </w:t>
      </w:r>
      <w:r w:rsidRPr="0078635A">
        <w:rPr>
          <w:rFonts w:ascii="Times New Roman" w:hAnsi="Times New Roman" w:cs="Times New Roman"/>
          <w:i/>
          <w:iCs/>
        </w:rPr>
        <w:t>in fine</w:t>
      </w:r>
      <w:r w:rsidRPr="0078635A">
        <w:rPr>
          <w:rFonts w:ascii="Times New Roman" w:hAnsi="Times New Roman" w:cs="Times New Roman"/>
        </w:rPr>
        <w:t xml:space="preserve"> assinados, nos autos da presente “</w:t>
      </w:r>
      <w:r w:rsidRPr="0078635A">
        <w:rPr>
          <w:rFonts w:ascii="Times New Roman" w:hAnsi="Times New Roman" w:cs="Times New Roman"/>
          <w:i/>
          <w:iCs/>
        </w:rPr>
        <w:t>Ação Declaratória de Nulidade de Eliminação de Sócio e Alienação a Terceiro</w:t>
      </w:r>
      <w:r w:rsidRPr="0078635A">
        <w:rPr>
          <w:rFonts w:ascii="Times New Roman" w:hAnsi="Times New Roman" w:cs="Times New Roman"/>
        </w:rPr>
        <w:t xml:space="preserve">”, vem, respeitosamente, manifestar contrariedade aos embargos de declaração [CPC, art. 1.023, § 2º] aviados por 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>, pelas razões de direito adiante articuladas:</w:t>
      </w:r>
    </w:p>
    <w:p w14:paraId="688FB6F0" w14:textId="15CE6E02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78635A">
        <w:rPr>
          <w:rFonts w:ascii="Times New Roman" w:hAnsi="Times New Roman" w:cs="Times New Roman"/>
          <w:b/>
          <w:bCs/>
        </w:rPr>
        <w:t xml:space="preserve">I- </w:t>
      </w:r>
      <w:r w:rsidRPr="0078635A">
        <w:rPr>
          <w:rFonts w:ascii="Times New Roman" w:hAnsi="Times New Roman" w:cs="Times New Roman"/>
          <w:b/>
          <w:bCs/>
        </w:rPr>
        <w:t>SÍNTESE DOS ACLARATÓRIOS CONTRARIADO</w:t>
      </w:r>
    </w:p>
    <w:p w14:paraId="6C6A0115" w14:textId="2B4DF00F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 xml:space="preserve">O 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 xml:space="preserve"> opõe embargos de declaração sob a roupagem dos incisos I e II do artigo 1.022 do CPC — contradição e omissão —, mas o exame atento das razões recursais revela que, a pretexto de sanar vícios inexistentes, o embargante busca, na verdade, ampliar o objeto da reconvenção e obter condenação em valores e períodos jamais pleiteados nos autos.</w:t>
      </w:r>
    </w:p>
    <w:p w14:paraId="39B8720C" w14:textId="128618CB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>São dois os pontos suscitados: (i) alegada contradição entre a nulidade da eliminação — que restabeleceria o embargado como sócio ininterruptamente — e a limitação da condenação reconvencional ao período até</w:t>
      </w:r>
      <w:proofErr w:type="gramStart"/>
      <w:r w:rsidRPr="007863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</w:t>
      </w:r>
      <w:proofErr w:type="gramEnd"/>
      <w:r w:rsidRPr="0078635A">
        <w:rPr>
          <w:rFonts w:ascii="Times New Roman" w:hAnsi="Times New Roman" w:cs="Times New Roman"/>
        </w:rPr>
        <w:t>; e (</w:t>
      </w:r>
      <w:proofErr w:type="spellStart"/>
      <w:r w:rsidRPr="0078635A">
        <w:rPr>
          <w:rFonts w:ascii="Times New Roman" w:hAnsi="Times New Roman" w:cs="Times New Roman"/>
        </w:rPr>
        <w:t>ii</w:t>
      </w:r>
      <w:proofErr w:type="spellEnd"/>
      <w:r w:rsidRPr="0078635A">
        <w:rPr>
          <w:rFonts w:ascii="Times New Roman" w:hAnsi="Times New Roman" w:cs="Times New Roman"/>
        </w:rPr>
        <w:t>) alegada omissão quanto a supostas “</w:t>
      </w:r>
      <w:r w:rsidRPr="0078635A">
        <w:rPr>
          <w:rFonts w:ascii="Times New Roman" w:hAnsi="Times New Roman" w:cs="Times New Roman"/>
          <w:i/>
          <w:iCs/>
        </w:rPr>
        <w:t>chamadas de capital</w:t>
      </w:r>
      <w:r w:rsidRPr="0078635A">
        <w:rPr>
          <w:rFonts w:ascii="Times New Roman" w:hAnsi="Times New Roman" w:cs="Times New Roman"/>
        </w:rPr>
        <w:t>” para reforma de piscina e telhado, nunca antes mencionadas no processo.</w:t>
      </w:r>
    </w:p>
    <w:p w14:paraId="73FC1418" w14:textId="3D71F199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>Nenhum dos dois pontos comporta acolhimento, como se demonstrará a seguir. Ambos configuram, na essência, inconformismo com o mérito da r. Sentença e tentativa de inovação recursal — vícios estranhos à via estreita dos embargos de declaração.</w:t>
      </w:r>
    </w:p>
    <w:p w14:paraId="7A0D6E61" w14:textId="12743F17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78635A">
        <w:rPr>
          <w:rFonts w:ascii="Times New Roman" w:hAnsi="Times New Roman" w:cs="Times New Roman"/>
          <w:b/>
          <w:bCs/>
        </w:rPr>
        <w:t xml:space="preserve"> II-</w:t>
      </w:r>
      <w:r w:rsidRPr="0078635A">
        <w:rPr>
          <w:rFonts w:ascii="Times New Roman" w:hAnsi="Times New Roman" w:cs="Times New Roman"/>
          <w:b/>
          <w:bCs/>
        </w:rPr>
        <w:t xml:space="preserve"> </w:t>
      </w:r>
      <w:r w:rsidRPr="0078635A">
        <w:rPr>
          <w:rFonts w:ascii="Times New Roman" w:hAnsi="Times New Roman" w:cs="Times New Roman"/>
          <w:b/>
          <w:bCs/>
        </w:rPr>
        <w:t>INEXISTÊNCIA DE CONTRADIÇÃO QUANTO AO PERÍODO DA CONDENAÇÃO RECONVENCIONAL</w:t>
      </w:r>
    </w:p>
    <w:p w14:paraId="70506EE1" w14:textId="212B512C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78635A">
        <w:rPr>
          <w:rFonts w:ascii="Times New Roman" w:hAnsi="Times New Roman" w:cs="Times New Roman"/>
          <w:b/>
          <w:bCs/>
        </w:rPr>
        <w:t>II.1-</w:t>
      </w:r>
      <w:r>
        <w:rPr>
          <w:rFonts w:ascii="Times New Roman" w:hAnsi="Times New Roman" w:cs="Times New Roman"/>
          <w:b/>
          <w:bCs/>
        </w:rPr>
        <w:t xml:space="preserve"> </w:t>
      </w:r>
      <w:r w:rsidRPr="0078635A">
        <w:rPr>
          <w:rFonts w:ascii="Times New Roman" w:hAnsi="Times New Roman" w:cs="Times New Roman"/>
          <w:b/>
          <w:bCs/>
        </w:rPr>
        <w:t>O próprio embargante limitou seu pedido reconvencional a período que</w:t>
      </w:r>
      <w:r>
        <w:rPr>
          <w:rFonts w:ascii="Times New Roman" w:hAnsi="Times New Roman" w:cs="Times New Roman"/>
          <w:b/>
          <w:bCs/>
        </w:rPr>
        <w:t xml:space="preserve"> </w:t>
      </w:r>
      <w:r w:rsidRPr="0078635A">
        <w:rPr>
          <w:rFonts w:ascii="Times New Roman" w:hAnsi="Times New Roman" w:cs="Times New Roman"/>
          <w:b/>
          <w:bCs/>
        </w:rPr>
        <w:t xml:space="preserve">se encerra em </w:t>
      </w:r>
      <w:r>
        <w:rPr>
          <w:rFonts w:ascii="Times New Roman" w:hAnsi="Times New Roman" w:cs="Times New Roman"/>
          <w:b/>
          <w:bCs/>
        </w:rPr>
        <w:t>...</w:t>
      </w:r>
    </w:p>
    <w:p w14:paraId="58BAA074" w14:textId="15D5C5CD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 xml:space="preserve">Não há, </w:t>
      </w:r>
      <w:r w:rsidRPr="0078635A">
        <w:rPr>
          <w:rFonts w:ascii="Times New Roman" w:hAnsi="Times New Roman" w:cs="Times New Roman"/>
          <w:i/>
          <w:iCs/>
        </w:rPr>
        <w:t xml:space="preserve">data </w:t>
      </w:r>
      <w:proofErr w:type="spellStart"/>
      <w:r w:rsidRPr="0078635A">
        <w:rPr>
          <w:rFonts w:ascii="Times New Roman" w:hAnsi="Times New Roman" w:cs="Times New Roman"/>
          <w:i/>
          <w:iCs/>
        </w:rPr>
        <w:t>maxima</w:t>
      </w:r>
      <w:proofErr w:type="spellEnd"/>
      <w:r w:rsidRPr="0078635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8635A">
        <w:rPr>
          <w:rFonts w:ascii="Times New Roman" w:hAnsi="Times New Roman" w:cs="Times New Roman"/>
          <w:i/>
          <w:iCs/>
        </w:rPr>
        <w:t>venia</w:t>
      </w:r>
      <w:proofErr w:type="spellEnd"/>
      <w:r w:rsidRPr="0078635A">
        <w:rPr>
          <w:rFonts w:ascii="Times New Roman" w:hAnsi="Times New Roman" w:cs="Times New Roman"/>
        </w:rPr>
        <w:t>, contradição alguma a ser sanada. Basta o cotejo entre o pedido formulado na reconvenção e o quanto decidido na r. Sentença para que a suposta contradição se desfaça por completo.</w:t>
      </w:r>
    </w:p>
    <w:p w14:paraId="558D293C" w14:textId="23EC9918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 xml:space="preserve">O próprio 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 xml:space="preserve">, na petição de reconvenção Id 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 xml:space="preserve">], postulou expressamente a condenação do ora embargado ao pagamento de R$ 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>], quantia por ele mesmo descrita como “</w:t>
      </w:r>
      <w:r w:rsidRPr="0078635A">
        <w:rPr>
          <w:rFonts w:ascii="Times New Roman" w:hAnsi="Times New Roman" w:cs="Times New Roman"/>
          <w:i/>
          <w:iCs/>
        </w:rPr>
        <w:t xml:space="preserve">correspondente à soma das taxas de manutenção periódicas vencidas até </w:t>
      </w:r>
      <w:r w:rsidRPr="0078635A">
        <w:rPr>
          <w:rFonts w:ascii="Times New Roman" w:hAnsi="Times New Roman" w:cs="Times New Roman"/>
          <w:i/>
          <w:iCs/>
        </w:rPr>
        <w:t>...</w:t>
      </w:r>
      <w:r w:rsidRPr="0078635A">
        <w:rPr>
          <w:rFonts w:ascii="Times New Roman" w:hAnsi="Times New Roman" w:cs="Times New Roman"/>
          <w:i/>
          <w:iCs/>
        </w:rPr>
        <w:t xml:space="preserve"> e da taxa de obras</w:t>
      </w:r>
      <w:r w:rsidRPr="0078635A">
        <w:rPr>
          <w:rFonts w:ascii="Times New Roman" w:hAnsi="Times New Roman" w:cs="Times New Roman"/>
        </w:rPr>
        <w:t xml:space="preserve">”. A planilha de débito anexada àquela peça, elaborada unilateralmente pela própria tesouraria do clube, encerra-se em 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>, sem qualquer parcela posterior a essa data.</w:t>
      </w:r>
    </w:p>
    <w:p w14:paraId="2373C554" w14:textId="22726CC5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 xml:space="preserve">Vale dizer: o próprio embargante, quando formulou sua pretensão reconvencional, jamais pediu a cobrança de valores posteriores a </w:t>
      </w:r>
      <w:r>
        <w:rPr>
          <w:rFonts w:ascii="Times New Roman" w:hAnsi="Times New Roman" w:cs="Times New Roman"/>
        </w:rPr>
        <w:t>..</w:t>
      </w:r>
      <w:r w:rsidRPr="0078635A">
        <w:rPr>
          <w:rFonts w:ascii="Times New Roman" w:hAnsi="Times New Roman" w:cs="Times New Roman"/>
        </w:rPr>
        <w:t xml:space="preserve">. Não há, portanto, nenhuma omissão do MM. Juízo quanto </w:t>
      </w:r>
      <w:r w:rsidRPr="0078635A">
        <w:rPr>
          <w:rFonts w:ascii="Times New Roman" w:hAnsi="Times New Roman" w:cs="Times New Roman"/>
        </w:rPr>
        <w:lastRenderedPageBreak/>
        <w:t>a período que sequer foi objeto de pedido — e, por consequência lógica elementar, tampouco pode haver contradição em não se ter condenado o embargado além do que foi pedido.</w:t>
      </w:r>
    </w:p>
    <w:p w14:paraId="027CFB2D" w14:textId="1AC3781E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>O art. 492 do Código de Processo Civil é categórico: “</w:t>
      </w:r>
      <w:r w:rsidRPr="0078635A">
        <w:rPr>
          <w:rFonts w:ascii="Times New Roman" w:hAnsi="Times New Roman" w:cs="Times New Roman"/>
          <w:i/>
          <w:iCs/>
        </w:rPr>
        <w:t>É vedado ao juiz proferir decisão de natureza diversa da pedida, bem como condenar a parte em quantidade superior ou em objeto diverso do que lhe foi demandado.</w:t>
      </w:r>
      <w:r w:rsidRPr="0078635A">
        <w:rPr>
          <w:rFonts w:ascii="Times New Roman" w:hAnsi="Times New Roman" w:cs="Times New Roman"/>
        </w:rPr>
        <w:t xml:space="preserve">” </w:t>
      </w:r>
    </w:p>
    <w:p w14:paraId="51787B94" w14:textId="1F1E1B5B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 xml:space="preserve">Se a r. sentença tivesse acolhido a pretensão recursal ora deduzida — estender a condenação </w:t>
      </w:r>
      <w:proofErr w:type="spellStart"/>
      <w:r w:rsidRPr="0078635A">
        <w:rPr>
          <w:rFonts w:ascii="Times New Roman" w:hAnsi="Times New Roman" w:cs="Times New Roman"/>
        </w:rPr>
        <w:t>a</w:t>
      </w:r>
      <w:proofErr w:type="spellEnd"/>
      <w:r w:rsidRPr="0078635A">
        <w:rPr>
          <w:rFonts w:ascii="Times New Roman" w:hAnsi="Times New Roman" w:cs="Times New Roman"/>
        </w:rPr>
        <w:t xml:space="preserve"> período que vai de 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 xml:space="preserve"> “</w:t>
      </w:r>
      <w:r w:rsidRPr="0078635A">
        <w:rPr>
          <w:rFonts w:ascii="Times New Roman" w:hAnsi="Times New Roman" w:cs="Times New Roman"/>
          <w:i/>
          <w:iCs/>
        </w:rPr>
        <w:t>até a data da efetiva regularização do título</w:t>
      </w:r>
      <w:r w:rsidRPr="0078635A">
        <w:rPr>
          <w:rFonts w:ascii="Times New Roman" w:hAnsi="Times New Roman" w:cs="Times New Roman"/>
        </w:rPr>
        <w:t>”, ou seja, até os dias atuais —, teria incorrido em julgamento ultra petita, vício muito mais grave do que qualquer omissão que se pretenda, sem razão, atribuir-lhe.</w:t>
      </w:r>
    </w:p>
    <w:p w14:paraId="27B04B4B" w14:textId="1A6C760E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78635A">
        <w:rPr>
          <w:rFonts w:ascii="Times New Roman" w:hAnsi="Times New Roman" w:cs="Times New Roman"/>
          <w:b/>
          <w:bCs/>
        </w:rPr>
        <w:t>II.2-</w:t>
      </w:r>
      <w:r w:rsidRPr="0078635A">
        <w:rPr>
          <w:rFonts w:ascii="Times New Roman" w:hAnsi="Times New Roman" w:cs="Times New Roman"/>
          <w:b/>
          <w:bCs/>
        </w:rPr>
        <w:t xml:space="preserve"> </w:t>
      </w:r>
      <w:r w:rsidRPr="0078635A">
        <w:rPr>
          <w:rFonts w:ascii="Times New Roman" w:hAnsi="Times New Roman" w:cs="Times New Roman"/>
          <w:b/>
          <w:bCs/>
        </w:rPr>
        <w:t>A limitação temporal decorre da própria narrativa fática do embargante</w:t>
      </w:r>
    </w:p>
    <w:p w14:paraId="31453DBC" w14:textId="1FD5BFCE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 xml:space="preserve">Não bastasse a vinculação ao pedido, a limitação temporal também encontra lastro lógico direto na própria versão dos fatos apresentada pelo 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 xml:space="preserve"> </w:t>
      </w:r>
    </w:p>
    <w:p w14:paraId="485E25B2" w14:textId="38007F68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 xml:space="preserve">Foi o próprio embargante quem sustentou, em contestação, que a alienação do título patrimonial n.º 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 xml:space="preserve"> à corré 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 xml:space="preserve"> ocorreu no período situado entre 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>, sendo esse justamente o marco a partir do qual, segundo a narrativa do clube, deixou de ser o embargado quem figurava, perante a entidade, como usuário e beneficiário direto do título.</w:t>
      </w:r>
    </w:p>
    <w:p w14:paraId="332105BC" w14:textId="5090C898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>A r. sentença, ao balizar a condenação reconvencional pelo mesmo marco temporal invocado pelo próprio réu-reconvinte, não incorreu em nenhuma incoerência lógica — ao contrário, foi rigorosamente fiel aos fatos como narrados pelo embargante. Pretender agora responsabilizar o embargado por obrigações relativas a período em que, pela própria versão do clube, o título esteve nas mãos de terceiro é que constituiria contradição — e seria, ademais, flagrante enriquecimento sem causa em favor do clube, que cobraria duas vezes pelo mesmo título: da corré, que o adquiriu e por ele pagou, e do embargado, retroativamente.</w:t>
      </w:r>
    </w:p>
    <w:p w14:paraId="14E5DEC8" w14:textId="21E38399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78635A">
        <w:rPr>
          <w:rFonts w:ascii="Times New Roman" w:hAnsi="Times New Roman" w:cs="Times New Roman"/>
          <w:b/>
          <w:bCs/>
        </w:rPr>
        <w:t xml:space="preserve"> II.3-</w:t>
      </w:r>
      <w:r w:rsidRPr="0078635A">
        <w:rPr>
          <w:rFonts w:ascii="Times New Roman" w:hAnsi="Times New Roman" w:cs="Times New Roman"/>
          <w:b/>
          <w:bCs/>
        </w:rPr>
        <w:t xml:space="preserve"> </w:t>
      </w:r>
      <w:r w:rsidRPr="0078635A">
        <w:rPr>
          <w:rFonts w:ascii="Times New Roman" w:hAnsi="Times New Roman" w:cs="Times New Roman"/>
          <w:b/>
          <w:bCs/>
        </w:rPr>
        <w:t xml:space="preserve">Nulidade </w:t>
      </w:r>
      <w:proofErr w:type="spellStart"/>
      <w:r w:rsidRPr="0078635A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78635A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78635A">
        <w:rPr>
          <w:rFonts w:ascii="Times New Roman" w:hAnsi="Times New Roman" w:cs="Times New Roman"/>
          <w:b/>
          <w:bCs/>
          <w:i/>
          <w:iCs/>
        </w:rPr>
        <w:t>tunc</w:t>
      </w:r>
      <w:proofErr w:type="spellEnd"/>
      <w:r w:rsidRPr="0078635A">
        <w:rPr>
          <w:rFonts w:ascii="Times New Roman" w:hAnsi="Times New Roman" w:cs="Times New Roman"/>
          <w:b/>
          <w:bCs/>
        </w:rPr>
        <w:t xml:space="preserve"> não se confunde com ampliação de pedido não formulado</w:t>
      </w:r>
    </w:p>
    <w:p w14:paraId="14FEBBF8" w14:textId="75C5614B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 xml:space="preserve">O argumento central dos embargos — de que a nulidade da eliminação, operando efeitos </w:t>
      </w:r>
      <w:proofErr w:type="spellStart"/>
      <w:r w:rsidRPr="0078635A">
        <w:rPr>
          <w:rFonts w:ascii="Times New Roman" w:hAnsi="Times New Roman" w:cs="Times New Roman"/>
          <w:i/>
          <w:iCs/>
        </w:rPr>
        <w:t>ex</w:t>
      </w:r>
      <w:proofErr w:type="spellEnd"/>
      <w:r w:rsidRPr="0078635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8635A">
        <w:rPr>
          <w:rFonts w:ascii="Times New Roman" w:hAnsi="Times New Roman" w:cs="Times New Roman"/>
          <w:i/>
          <w:iCs/>
        </w:rPr>
        <w:t>tunc</w:t>
      </w:r>
      <w:proofErr w:type="spellEnd"/>
      <w:r w:rsidRPr="0078635A">
        <w:rPr>
          <w:rFonts w:ascii="Times New Roman" w:hAnsi="Times New Roman" w:cs="Times New Roman"/>
        </w:rPr>
        <w:t xml:space="preserve">, deveria acarretar automaticamente a cobrança </w:t>
      </w:r>
      <w:proofErr w:type="gramStart"/>
      <w:r w:rsidRPr="0078635A">
        <w:rPr>
          <w:rFonts w:ascii="Times New Roman" w:hAnsi="Times New Roman" w:cs="Times New Roman"/>
        </w:rPr>
        <w:t>ininterrupta  das</w:t>
      </w:r>
      <w:proofErr w:type="gramEnd"/>
      <w:r w:rsidRPr="0078635A">
        <w:rPr>
          <w:rFonts w:ascii="Times New Roman" w:hAnsi="Times New Roman" w:cs="Times New Roman"/>
        </w:rPr>
        <w:t xml:space="preserve">  </w:t>
      </w:r>
      <w:proofErr w:type="gramStart"/>
      <w:r w:rsidRPr="0078635A">
        <w:rPr>
          <w:rFonts w:ascii="Times New Roman" w:hAnsi="Times New Roman" w:cs="Times New Roman"/>
        </w:rPr>
        <w:t>taxas  até</w:t>
      </w:r>
      <w:proofErr w:type="gramEnd"/>
      <w:r w:rsidRPr="0078635A">
        <w:rPr>
          <w:rFonts w:ascii="Times New Roman" w:hAnsi="Times New Roman" w:cs="Times New Roman"/>
        </w:rPr>
        <w:t xml:space="preserve"> </w:t>
      </w:r>
      <w:proofErr w:type="gramStart"/>
      <w:r w:rsidRPr="0078635A">
        <w:rPr>
          <w:rFonts w:ascii="Times New Roman" w:hAnsi="Times New Roman" w:cs="Times New Roman"/>
        </w:rPr>
        <w:t>a  atualidade</w:t>
      </w:r>
      <w:proofErr w:type="gramEnd"/>
      <w:r w:rsidRPr="0078635A">
        <w:rPr>
          <w:rFonts w:ascii="Times New Roman" w:hAnsi="Times New Roman" w:cs="Times New Roman"/>
        </w:rPr>
        <w:t xml:space="preserve"> — mistura, </w:t>
      </w:r>
      <w:proofErr w:type="gramStart"/>
      <w:r w:rsidRPr="0078635A">
        <w:rPr>
          <w:rFonts w:ascii="Times New Roman" w:hAnsi="Times New Roman" w:cs="Times New Roman"/>
        </w:rPr>
        <w:t>de  forma</w:t>
      </w:r>
      <w:proofErr w:type="gramEnd"/>
      <w:r w:rsidRPr="0078635A">
        <w:rPr>
          <w:rFonts w:ascii="Times New Roman" w:hAnsi="Times New Roman" w:cs="Times New Roman"/>
        </w:rPr>
        <w:t xml:space="preserve">  </w:t>
      </w:r>
      <w:proofErr w:type="gramStart"/>
      <w:r w:rsidRPr="0078635A">
        <w:rPr>
          <w:rFonts w:ascii="Times New Roman" w:hAnsi="Times New Roman" w:cs="Times New Roman"/>
        </w:rPr>
        <w:t>indevida,  dois</w:t>
      </w:r>
      <w:proofErr w:type="gramEnd"/>
      <w:r>
        <w:rPr>
          <w:rFonts w:ascii="Times New Roman" w:hAnsi="Times New Roman" w:cs="Times New Roman"/>
        </w:rPr>
        <w:t xml:space="preserve"> </w:t>
      </w:r>
      <w:r w:rsidRPr="0078635A">
        <w:rPr>
          <w:rFonts w:ascii="Times New Roman" w:hAnsi="Times New Roman" w:cs="Times New Roman"/>
        </w:rPr>
        <w:t>planos distintos: o plano dos efeitos jurídicos da nulidade [matéria de mérito, já decidida] e o plano da congruência processual [matéria de ordem pública, que limita o juiz ao que foi pedido].</w:t>
      </w:r>
    </w:p>
    <w:p w14:paraId="0B7DD6EA" w14:textId="303272CF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 xml:space="preserve">Ainda que se admitisse, em tese, que a nulidade gera efeitos retroativos sobre o vínculo associativo — o que o embargado não contesta quanto à sua reintegração —, isso não autorizaria o Juízo a estender de ofício a condenação pecuniária a período e a valores que jamais foram trazidos à lide pelo próprio credor. </w:t>
      </w:r>
    </w:p>
    <w:p w14:paraId="75AA7CDC" w14:textId="00E1DA3A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 xml:space="preserve">Quem cobra delimita o que cobra. Se o 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 xml:space="preserve"> entende que há crédito relativo a período posterior a </w:t>
      </w:r>
      <w:r>
        <w:rPr>
          <w:rFonts w:ascii="Times New Roman" w:hAnsi="Times New Roman" w:cs="Times New Roman"/>
        </w:rPr>
        <w:t>...,</w:t>
      </w:r>
      <w:r w:rsidRPr="0078635A">
        <w:rPr>
          <w:rFonts w:ascii="Times New Roman" w:hAnsi="Times New Roman" w:cs="Times New Roman"/>
        </w:rPr>
        <w:t xml:space="preserve"> a via própria é o ajuizamento de ação autônoma ou, se ainda fosse cabível, o aditamento tempestivo da reconvenção — jamais a reabertura da discussão por embargos de declaração opostos após a prolação da sentença.</w:t>
      </w:r>
    </w:p>
    <w:p w14:paraId="28850A6B" w14:textId="737D9485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lastRenderedPageBreak/>
        <w:t>Não há, portanto, nenhuma contradição interna aos fundamentos e ao dispositivo da r. sentença. Há, isto sim, insatisfação do embargante com os limites de sua própria pretensão reconvencional, tal como por ele mesmo formulada — o que é insuscetível de correção pela via eleita.</w:t>
      </w:r>
    </w:p>
    <w:p w14:paraId="3D4E08B0" w14:textId="3EC2A592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78635A">
        <w:rPr>
          <w:rFonts w:ascii="Times New Roman" w:hAnsi="Times New Roman" w:cs="Times New Roman"/>
          <w:b/>
          <w:bCs/>
        </w:rPr>
        <w:t>III-MANIFESTA INOVAÇÃO RECURSAL QUANTO ÀS ALEGADAS “</w:t>
      </w:r>
      <w:r w:rsidRPr="0078635A">
        <w:rPr>
          <w:rFonts w:ascii="Times New Roman" w:hAnsi="Times New Roman" w:cs="Times New Roman"/>
          <w:b/>
          <w:bCs/>
          <w:i/>
          <w:iCs/>
        </w:rPr>
        <w:t>CHAMADAS DE CAPITAL”</w:t>
      </w:r>
    </w:p>
    <w:p w14:paraId="75B00B25" w14:textId="77777777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78635A">
        <w:rPr>
          <w:rFonts w:ascii="Times New Roman" w:hAnsi="Times New Roman" w:cs="Times New Roman"/>
          <w:b/>
          <w:bCs/>
        </w:rPr>
        <w:t>III.1-</w:t>
      </w:r>
      <w:r w:rsidRPr="0078635A">
        <w:rPr>
          <w:rFonts w:ascii="Times New Roman" w:hAnsi="Times New Roman" w:cs="Times New Roman"/>
          <w:b/>
          <w:bCs/>
        </w:rPr>
        <w:tab/>
        <w:t xml:space="preserve"> Fato inteiramente novo, nunca antes submetido ao contraditório</w:t>
      </w:r>
    </w:p>
    <w:p w14:paraId="7DA88805" w14:textId="4C56B4F2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>Se o primeiro ponto dos embargos não comporta acolhimento, o segundo é ainda mais grave, pois configura hipótese cristalina de inovação recursal, absolutamente incompatível com a via dos embargos de declaração.</w:t>
      </w:r>
    </w:p>
    <w:p w14:paraId="055BC19A" w14:textId="4518CF44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 xml:space="preserve">Em nenhum momento anterior do processo — nem na contestação, nem na reconvenção, nem na “Manifestação sobre a Impugnação à Contestação e Resposta à Impugnação à Reconvenção” protocolada em 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 xml:space="preserve"> — o 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 xml:space="preserve"> fez qualquer menção a “</w:t>
      </w:r>
      <w:r w:rsidRPr="0078635A">
        <w:rPr>
          <w:rFonts w:ascii="Times New Roman" w:hAnsi="Times New Roman" w:cs="Times New Roman"/>
          <w:i/>
          <w:iCs/>
        </w:rPr>
        <w:t>chamadas de capital</w:t>
      </w:r>
      <w:r w:rsidRPr="0078635A">
        <w:rPr>
          <w:rFonts w:ascii="Times New Roman" w:hAnsi="Times New Roman" w:cs="Times New Roman"/>
        </w:rPr>
        <w:t>”, “</w:t>
      </w:r>
      <w:r w:rsidRPr="0078635A">
        <w:rPr>
          <w:rFonts w:ascii="Times New Roman" w:hAnsi="Times New Roman" w:cs="Times New Roman"/>
          <w:i/>
          <w:iCs/>
        </w:rPr>
        <w:t>taxas extras</w:t>
      </w:r>
      <w:r w:rsidRPr="0078635A">
        <w:rPr>
          <w:rFonts w:ascii="Times New Roman" w:hAnsi="Times New Roman" w:cs="Times New Roman"/>
        </w:rPr>
        <w:t xml:space="preserve">”, reforma de piscina ou reforma de telhado de salão de festas. </w:t>
      </w:r>
    </w:p>
    <w:p w14:paraId="2C1EDA62" w14:textId="63D4463B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>Trata-se de fato absolutamente estranho aos autos, trazido à baila pela primeira vez após a prolação da sentença, em nítida tentativa de, pela via oblíqua dos embargos, reabrir a instrução processual e ampliar objetivamente a reconvenção já julgada.</w:t>
      </w:r>
    </w:p>
    <w:p w14:paraId="36ACA63D" w14:textId="6197402A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>O art. 1.022 do Código de Processo Civil autoriza os embargos de declaração para suprir omissão sobre ponto ou questão sobre o qual o juiz devia se pronunciar. Ora, o Juízo só “</w:t>
      </w:r>
      <w:r w:rsidRPr="0078635A">
        <w:rPr>
          <w:rFonts w:ascii="Times New Roman" w:hAnsi="Times New Roman" w:cs="Times New Roman"/>
          <w:i/>
          <w:iCs/>
        </w:rPr>
        <w:t>devia se pronunciar</w:t>
      </w:r>
      <w:r w:rsidRPr="0078635A">
        <w:rPr>
          <w:rFonts w:ascii="Times New Roman" w:hAnsi="Times New Roman" w:cs="Times New Roman"/>
        </w:rPr>
        <w:t xml:space="preserve">” sobre aquilo que foi submetido ao contraditório e que compõe a causa de pedir e o pedido deduzidos pelas partes. </w:t>
      </w:r>
    </w:p>
    <w:p w14:paraId="18723453" w14:textId="02857955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>Não há e nem poderia haver omissão sobre fato que jamais integrou os autos. Omissão pressupõe pré-existência da matéria no processo; o que se tem aqui é pura e simples tentativa de inclusão de fato novo, o que é vedado nesta quadra processual.</w:t>
      </w:r>
    </w:p>
    <w:p w14:paraId="7EC3836C" w14:textId="77777777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78635A">
        <w:rPr>
          <w:rFonts w:ascii="Times New Roman" w:hAnsi="Times New Roman" w:cs="Times New Roman"/>
          <w:b/>
          <w:bCs/>
        </w:rPr>
        <w:t>III.2-</w:t>
      </w:r>
      <w:r w:rsidRPr="0078635A">
        <w:rPr>
          <w:rFonts w:ascii="Times New Roman" w:hAnsi="Times New Roman" w:cs="Times New Roman"/>
          <w:b/>
          <w:bCs/>
        </w:rPr>
        <w:tab/>
        <w:t>Inexistência de qualquer prova a amparar a alegação</w:t>
      </w:r>
    </w:p>
    <w:p w14:paraId="2D95B79A" w14:textId="558C5ED6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>Ainda que se pudesse, por hipótese acadêmica, relevar a extemporaneidade flagrante da alegação, o embargante sequer trouxe aos autos qualquer início de prova documental das “</w:t>
      </w:r>
      <w:r w:rsidRPr="0078635A">
        <w:rPr>
          <w:rFonts w:ascii="Times New Roman" w:hAnsi="Times New Roman" w:cs="Times New Roman"/>
          <w:i/>
          <w:iCs/>
        </w:rPr>
        <w:t>chamadas de capital</w:t>
      </w:r>
      <w:r w:rsidRPr="0078635A">
        <w:rPr>
          <w:rFonts w:ascii="Times New Roman" w:hAnsi="Times New Roman" w:cs="Times New Roman"/>
        </w:rPr>
        <w:t xml:space="preserve">” que agora invoca: nenhuma ata de assembleia que as tenha aprovado, nenhum demonstrativo de rateio entre os sócios, nenhuma comprovação de que os valores foram exigidos do embargado ou de qualquer outro associado. </w:t>
      </w:r>
    </w:p>
    <w:p w14:paraId="03620FA5" w14:textId="77777777" w:rsid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>A afirmação de que se trataria de “</w:t>
      </w:r>
      <w:r w:rsidRPr="0078635A">
        <w:rPr>
          <w:rFonts w:ascii="Times New Roman" w:hAnsi="Times New Roman" w:cs="Times New Roman"/>
          <w:i/>
          <w:iCs/>
        </w:rPr>
        <w:t>fato notório</w:t>
      </w:r>
      <w:r w:rsidRPr="0078635A">
        <w:rPr>
          <w:rFonts w:ascii="Times New Roman" w:hAnsi="Times New Roman" w:cs="Times New Roman"/>
        </w:rPr>
        <w:t>” não socorre o embargante: fato notório, para os fins do art. 374, inciso I, do Código de Processo Civil, é aquele de conhecimento geral e incontroverso, o que manifestamente não é o caso de uma suposta chamada de capital interna de um clube recreativo de pequena comarca, cuja existência, valor e regularidade dependeriam, no mínimo, de prova documental específica — a mesma exigência, aliás, que a r. sentença corretamente impôs ao próprio embargante quanto às taxas de manutenção regularmente discutidas na reconvenção.</w:t>
      </w:r>
    </w:p>
    <w:p w14:paraId="03581D48" w14:textId="63FED6F9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lastRenderedPageBreak/>
        <w:t>Se nem mesmo as taxas de manutenção — objeto de pedido expresso e de planilha apresentada desde a petição inicial da reconvenção — escaparam da exigência de comprovação documental rigorosa das deliberações que as instituíram, tanto que a própria r. sentença determinou a apresentação de tal documentação em fase de liquidação, com muito mais razão não pode o Juízo, em sede de embargos de declaração, presumir a existência e a exigibilidade de obrigação que sequer foi alegada, provada ou submetida ao contraditório ao longo de toda a instrução.</w:t>
      </w:r>
    </w:p>
    <w:p w14:paraId="666802BC" w14:textId="77777777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78635A">
        <w:rPr>
          <w:rFonts w:ascii="Times New Roman" w:hAnsi="Times New Roman" w:cs="Times New Roman"/>
          <w:b/>
          <w:bCs/>
        </w:rPr>
        <w:t>III.3-</w:t>
      </w:r>
      <w:r w:rsidRPr="0078635A">
        <w:rPr>
          <w:rFonts w:ascii="Times New Roman" w:hAnsi="Times New Roman" w:cs="Times New Roman"/>
          <w:b/>
          <w:bCs/>
        </w:rPr>
        <w:tab/>
        <w:t xml:space="preserve">O efeito prático pretendido é o aditamento da reconvenção após a </w:t>
      </w:r>
      <w:r w:rsidRPr="0078635A">
        <w:rPr>
          <w:rFonts w:ascii="Times New Roman" w:hAnsi="Times New Roman" w:cs="Times New Roman"/>
          <w:b/>
          <w:bCs/>
        </w:rPr>
        <w:tab/>
        <w:t>sentença, o que é processualmente inadmissível</w:t>
      </w:r>
    </w:p>
    <w:p w14:paraId="3F3DCD40" w14:textId="428A0AD7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>O pedido “b.2” dos embargos — condenação do embargado ao “</w:t>
      </w:r>
      <w:r w:rsidRPr="0078635A">
        <w:rPr>
          <w:rFonts w:ascii="Times New Roman" w:hAnsi="Times New Roman" w:cs="Times New Roman"/>
          <w:i/>
          <w:iCs/>
        </w:rPr>
        <w:t>pagamento das chamadas de capital [taxas extras] aprovadas em assembleia e devidas por todos os sócios durante todo o período em que sua condição de membro foi reconhecida</w:t>
      </w:r>
      <w:r w:rsidRPr="0078635A">
        <w:rPr>
          <w:rFonts w:ascii="Times New Roman" w:hAnsi="Times New Roman" w:cs="Times New Roman"/>
        </w:rPr>
        <w:t>” — não busca esclarecer, integrar ou corrigir a r. Sentença. Busca, na realidade, criar pretensão condenatória inteiramente nova, com causa de pedir própria e diversa daquela que fundamentou a reconvenção originalmente proposta.</w:t>
      </w:r>
    </w:p>
    <w:p w14:paraId="128127C5" w14:textId="44CEA1A9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 xml:space="preserve">Ora, o momento processual adequado para a dedução de pretensões é a petição inicial ou a reconvenção [art. 343, CPC], com estabilização objetiva da demanda a partir do saneamento do processo [art. 329, CPC]. </w:t>
      </w:r>
    </w:p>
    <w:p w14:paraId="7FDF79EB" w14:textId="461CBC24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>Admitir que, após a sentença, o reconvinte inclua nova pretensão pecuniária por simples petição de embargos de declaração equivaleria a subverter todo o sistema de estabilização da demanda e o próprio devido processo legal, surpreendendo o embargado com condenação a que jamais teve oportunidade de se defender, produzir prova ou exercer o contraditório.</w:t>
      </w:r>
    </w:p>
    <w:p w14:paraId="4C9C00BC" w14:textId="4D6E4F3C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78635A">
        <w:rPr>
          <w:rFonts w:ascii="Times New Roman" w:hAnsi="Times New Roman" w:cs="Times New Roman"/>
          <w:b/>
          <w:bCs/>
        </w:rPr>
        <w:t>IV-DA NATUREZA INFRINGENTE DISFARÇADA DOS EMBARGOS E DO RISCO DE VIOLAÇÃO AO ARTIGO 1.022 DO CPC</w:t>
      </w:r>
    </w:p>
    <w:p w14:paraId="17D502C4" w14:textId="1BE27EE0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>A leitura conjunta dos dois pontos suscitados pelo embargante revela, com clareza solar, que os presentes embargos de declaração não se prestam a sanar contradição ou omissão, mas a rediscutir o mérito da r. sentença e a ampliar, por via imprópria, o alcance da condenação reconvencional já fixada com precisão nos limites do que fora pedido.</w:t>
      </w:r>
    </w:p>
    <w:p w14:paraId="61D7E434" w14:textId="5B2A1531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 xml:space="preserve">É pacífico o entendimento de que os embargos de declaração não constituem via recursal apta à rediscussão de matéria decidida, tampouco à inovação da causa de pedir ou do pedido. </w:t>
      </w:r>
    </w:p>
    <w:p w14:paraId="58909928" w14:textId="407518F3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>Note-se, por fim, que a própria r. sentença já enfrentou, de forma expressa e exauriente, a extensão e os limites da condenação reconvencional, inclusive determinando que os valores exigíveis fossem apurados em fase de liquidação mediante prova documental rigorosa das deliberações que instituíram cada cobrança. Trata-se de decisão fundamentada, coerente com o pedido formulado, e que não padece de qualquer dos vícios elencados no art. 1.022 do Código de Processo Civil.</w:t>
      </w:r>
    </w:p>
    <w:p w14:paraId="3E508AAB" w14:textId="42FBD977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78635A">
        <w:rPr>
          <w:rFonts w:ascii="Times New Roman" w:hAnsi="Times New Roman" w:cs="Times New Roman"/>
          <w:b/>
          <w:bCs/>
        </w:rPr>
        <w:t xml:space="preserve"> V-</w:t>
      </w:r>
      <w:r w:rsidRPr="0078635A">
        <w:rPr>
          <w:rFonts w:ascii="Times New Roman" w:hAnsi="Times New Roman" w:cs="Times New Roman"/>
          <w:b/>
          <w:bCs/>
        </w:rPr>
        <w:t xml:space="preserve"> </w:t>
      </w:r>
      <w:r w:rsidRPr="0078635A">
        <w:rPr>
          <w:rFonts w:ascii="Times New Roman" w:hAnsi="Times New Roman" w:cs="Times New Roman"/>
          <w:b/>
          <w:bCs/>
        </w:rPr>
        <w:t>PEDIDOS</w:t>
      </w:r>
    </w:p>
    <w:p w14:paraId="32E4949E" w14:textId="1C88EAC1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78635A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78635A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78635A">
        <w:rPr>
          <w:rFonts w:ascii="Times New Roman" w:hAnsi="Times New Roman" w:cs="Times New Roman"/>
        </w:rPr>
        <w:t>, o embargado requer SEJAM INTEGRALMENTE REJEITADOS OS EMBARGOS DE DECLARAÇÃO OPOSTOS PELO “</w:t>
      </w:r>
      <w:r>
        <w:rPr>
          <w:rFonts w:ascii="Times New Roman" w:hAnsi="Times New Roman" w:cs="Times New Roman"/>
        </w:rPr>
        <w:t>...</w:t>
      </w:r>
      <w:r w:rsidRPr="0078635A">
        <w:rPr>
          <w:rFonts w:ascii="Times New Roman" w:hAnsi="Times New Roman" w:cs="Times New Roman"/>
        </w:rPr>
        <w:t xml:space="preserve">”, por ausência de contradição ou omissão a sanar, </w:t>
      </w:r>
      <w:r w:rsidRPr="0078635A">
        <w:rPr>
          <w:rFonts w:ascii="Times New Roman" w:hAnsi="Times New Roman" w:cs="Times New Roman"/>
        </w:rPr>
        <w:lastRenderedPageBreak/>
        <w:t>mantendo-se a r. sentença como proferida, inclusive quanto aos limites temporais e ao valor da condenação reconvencional; que se rejeite, por absoluta inovação recursal e ausência de qualquer prova, o pedido relativo às alegadas “</w:t>
      </w:r>
      <w:r w:rsidRPr="0078635A">
        <w:rPr>
          <w:rFonts w:ascii="Times New Roman" w:hAnsi="Times New Roman" w:cs="Times New Roman"/>
          <w:i/>
          <w:iCs/>
        </w:rPr>
        <w:t>chamadas de capital</w:t>
      </w:r>
      <w:r w:rsidRPr="0078635A">
        <w:rPr>
          <w:rFonts w:ascii="Times New Roman" w:hAnsi="Times New Roman" w:cs="Times New Roman"/>
        </w:rPr>
        <w:t>”, por constituir fato e pretensão estranhos aos autos, jamais submetidos ao contraditório;</w:t>
      </w:r>
    </w:p>
    <w:p w14:paraId="06264AB8" w14:textId="4BA2BDE9" w:rsidR="0078635A" w:rsidRPr="0078635A" w:rsidRDefault="0078635A" w:rsidP="0078635A">
      <w:pPr>
        <w:ind w:right="-568"/>
        <w:jc w:val="both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 xml:space="preserve">subsidiariamente, caso Vossa Excelência entenda existir algum ponto a esclarecer, que seja feito sem qualquer efeito infringente ou modificativo apto a ampliar a condenação do embargado para além dos exatos limites do pedido formulado na reconvenção, sob pena de flagrante violação aos </w:t>
      </w:r>
      <w:proofErr w:type="spellStart"/>
      <w:r w:rsidRPr="0078635A">
        <w:rPr>
          <w:rFonts w:ascii="Times New Roman" w:hAnsi="Times New Roman" w:cs="Times New Roman"/>
        </w:rPr>
        <w:t>arts</w:t>
      </w:r>
      <w:proofErr w:type="spellEnd"/>
      <w:r w:rsidRPr="0078635A">
        <w:rPr>
          <w:rFonts w:ascii="Times New Roman" w:hAnsi="Times New Roman" w:cs="Times New Roman"/>
        </w:rPr>
        <w:t>. 141, 329, 343 e 492 do Código de Processo Civil.</w:t>
      </w:r>
    </w:p>
    <w:p w14:paraId="060D15BE" w14:textId="3EFBFD75" w:rsidR="0078635A" w:rsidRPr="0078635A" w:rsidRDefault="0078635A" w:rsidP="0078635A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78635A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ede</w:t>
      </w:r>
      <w:r w:rsidRPr="0078635A">
        <w:rPr>
          <w:rFonts w:ascii="Times New Roman" w:hAnsi="Times New Roman" w:cs="Times New Roman"/>
        </w:rPr>
        <w:t xml:space="preserve"> Deferimento.</w:t>
      </w:r>
    </w:p>
    <w:p w14:paraId="3E65E21C" w14:textId="12C0FA01" w:rsidR="0078635A" w:rsidRDefault="0078635A" w:rsidP="0078635A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0F8024A4" w14:textId="1C596B72" w:rsidR="0078635A" w:rsidRPr="0078635A" w:rsidRDefault="0078635A" w:rsidP="0078635A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78635A" w:rsidRPr="007863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E2B5D"/>
    <w:multiLevelType w:val="hybridMultilevel"/>
    <w:tmpl w:val="14CA0552"/>
    <w:lvl w:ilvl="0" w:tplc="8616764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797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35A"/>
    <w:rsid w:val="0010580C"/>
    <w:rsid w:val="0078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370EF"/>
  <w15:chartTrackingRefBased/>
  <w15:docId w15:val="{DD50920F-9F5D-4AB9-A56E-C462337A1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86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86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863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86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863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86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86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86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86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863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863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863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8635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8635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863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8635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863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863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86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86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86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86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86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8635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8635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8635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863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8635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863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1875</Words>
  <Characters>10129</Characters>
  <Application>Microsoft Office Word</Application>
  <DocSecurity>0</DocSecurity>
  <Lines>84</Lines>
  <Paragraphs>23</Paragraphs>
  <ScaleCrop>false</ScaleCrop>
  <Company/>
  <LinksUpToDate>false</LinksUpToDate>
  <CharactersWithSpaces>11981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2026-10-07T20:11:00Z</dcterms:created>
  <dcterms:modified xsi:type="dcterms:W3CDTF">2026-10-07T20:21:00Z</dcterms:modified>
</cp:coreProperties>
</file>