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4E687" w14:textId="77777777" w:rsidR="00EC3BE9" w:rsidRPr="00EC3BE9" w:rsidRDefault="00EC3BE9" w:rsidP="00EC3BE9">
      <w:pPr>
        <w:spacing w:after="0" w:line="240" w:lineRule="auto"/>
        <w:ind w:right="-567"/>
        <w:jc w:val="center"/>
        <w:rPr>
          <w:rFonts w:ascii="Arial Black" w:hAnsi="Arial Black" w:cs="Times New Roman"/>
        </w:rPr>
      </w:pPr>
      <w:r w:rsidRPr="00EC3BE9">
        <w:rPr>
          <w:rFonts w:ascii="Arial Black" w:hAnsi="Arial Black" w:cs="Times New Roman"/>
        </w:rPr>
        <w:t>MODELO DE PETIÇÃO</w:t>
      </w:r>
    </w:p>
    <w:p w14:paraId="252F556B" w14:textId="68CB527A" w:rsidR="00EC3BE9" w:rsidRPr="00EC3BE9" w:rsidRDefault="00EC3BE9" w:rsidP="00EC3BE9">
      <w:pPr>
        <w:spacing w:after="0" w:line="240" w:lineRule="auto"/>
        <w:ind w:right="-567"/>
        <w:jc w:val="center"/>
        <w:rPr>
          <w:rFonts w:ascii="Arial Black" w:hAnsi="Arial Black" w:cs="Times New Roman"/>
        </w:rPr>
      </w:pPr>
      <w:r w:rsidRPr="00EC3BE9">
        <w:rPr>
          <w:rFonts w:ascii="Arial Black" w:hAnsi="Arial Black" w:cs="Times New Roman"/>
        </w:rPr>
        <w:t>DESAPROPRIAÇÃO. EMBARGOS DE DECLARAÇÃO. CONTRARIEDADE.</w:t>
      </w:r>
      <w:r>
        <w:rPr>
          <w:rFonts w:ascii="Arial Black" w:hAnsi="Arial Black" w:cs="Times New Roman"/>
        </w:rPr>
        <w:t xml:space="preserve"> </w:t>
      </w:r>
      <w:r w:rsidRPr="00EC3BE9">
        <w:rPr>
          <w:rFonts w:ascii="Arial Black" w:hAnsi="Arial Black" w:cs="Times New Roman"/>
        </w:rPr>
        <w:t>ERRO MATERIAL. CONTRADIÇÃO INTERNA E MERO INCONFORMISMO.</w:t>
      </w:r>
      <w:r>
        <w:rPr>
          <w:rFonts w:ascii="Arial Black" w:hAnsi="Arial Black" w:cs="Times New Roman"/>
        </w:rPr>
        <w:t xml:space="preserve"> </w:t>
      </w:r>
      <w:r w:rsidRPr="00EC3BE9">
        <w:rPr>
          <w:rFonts w:ascii="Arial Black" w:hAnsi="Arial Black" w:cs="Times New Roman"/>
        </w:rPr>
        <w:t>OMISSÃO DE CRITÉRIOS DA PERÍCIA. CÁLCULO SALDO.</w:t>
      </w:r>
      <w:r>
        <w:rPr>
          <w:rFonts w:ascii="Arial Black" w:hAnsi="Arial Black" w:cs="Times New Roman"/>
        </w:rPr>
        <w:t xml:space="preserve"> </w:t>
      </w:r>
      <w:r w:rsidRPr="00EC3BE9">
        <w:rPr>
          <w:rFonts w:ascii="Arial Black" w:hAnsi="Arial Black" w:cs="Times New Roman"/>
        </w:rPr>
        <w:t>DEPÓSITOS PRÉVIOS. EXCLUSÃO DA TAXA SELIC.</w:t>
      </w:r>
    </w:p>
    <w:p w14:paraId="4B9E9FFD" w14:textId="29D481F1" w:rsidR="00EC3BE9" w:rsidRPr="00EC3BE9" w:rsidRDefault="00EC3BE9" w:rsidP="00EC3BE9">
      <w:pPr>
        <w:spacing w:after="0" w:line="240" w:lineRule="auto"/>
        <w:ind w:right="-567"/>
        <w:jc w:val="center"/>
        <w:rPr>
          <w:rFonts w:ascii="Arial Black" w:hAnsi="Arial Black" w:cs="Times New Roman"/>
        </w:rPr>
      </w:pPr>
      <w:r w:rsidRPr="00EC3BE9">
        <w:rPr>
          <w:rFonts w:ascii="Arial Black" w:hAnsi="Arial Black" w:cs="Times New Roman"/>
        </w:rPr>
        <w:t>INADEQUAÇÃO VIA ELEITA. BASE DE CÁLCULO JUROS MORATÓRIOS.</w:t>
      </w:r>
      <w:r>
        <w:rPr>
          <w:rFonts w:ascii="Arial Black" w:hAnsi="Arial Black" w:cs="Times New Roman"/>
        </w:rPr>
        <w:t xml:space="preserve"> </w:t>
      </w:r>
      <w:r w:rsidRPr="00EC3BE9">
        <w:rPr>
          <w:rFonts w:ascii="Arial Black" w:hAnsi="Arial Black" w:cs="Times New Roman"/>
        </w:rPr>
        <w:t>REDUÇÃO PERCENTUAL HONORÁRIOS SUCUMBENCIAIS</w:t>
      </w:r>
    </w:p>
    <w:p w14:paraId="1F6C9151" w14:textId="77777777" w:rsidR="00EC3BE9" w:rsidRPr="00EC3BE9" w:rsidRDefault="00EC3BE9" w:rsidP="00EC3BE9">
      <w:pPr>
        <w:spacing w:after="0" w:line="240" w:lineRule="auto"/>
        <w:ind w:right="-567"/>
        <w:jc w:val="right"/>
        <w:rPr>
          <w:rFonts w:ascii="Arial Black" w:hAnsi="Arial Black" w:cs="Times New Roman"/>
        </w:rPr>
      </w:pPr>
      <w:proofErr w:type="spellStart"/>
      <w:r w:rsidRPr="00EC3BE9">
        <w:rPr>
          <w:rFonts w:ascii="Arial Black" w:hAnsi="Arial Black" w:cs="Times New Roman"/>
        </w:rPr>
        <w:t>Rénan</w:t>
      </w:r>
      <w:proofErr w:type="spellEnd"/>
      <w:r w:rsidRPr="00EC3BE9">
        <w:rPr>
          <w:rFonts w:ascii="Arial Black" w:hAnsi="Arial Black" w:cs="Times New Roman"/>
        </w:rPr>
        <w:t xml:space="preserve"> </w:t>
      </w:r>
      <w:proofErr w:type="spellStart"/>
      <w:r w:rsidRPr="00EC3BE9">
        <w:rPr>
          <w:rFonts w:ascii="Arial Black" w:hAnsi="Arial Black" w:cs="Times New Roman"/>
        </w:rPr>
        <w:t>Kfuri</w:t>
      </w:r>
      <w:proofErr w:type="spellEnd"/>
      <w:r w:rsidRPr="00EC3BE9">
        <w:rPr>
          <w:rFonts w:ascii="Arial Black" w:hAnsi="Arial Black" w:cs="Times New Roman"/>
        </w:rPr>
        <w:t xml:space="preserve"> Lopes</w:t>
      </w:r>
    </w:p>
    <w:p w14:paraId="230F9330" w14:textId="77777777" w:rsidR="00EC3BE9" w:rsidRPr="00EC3BE9" w:rsidRDefault="00EC3BE9" w:rsidP="00EC3BE9">
      <w:pPr>
        <w:ind w:right="-568"/>
        <w:jc w:val="both"/>
        <w:rPr>
          <w:rFonts w:ascii="Times New Roman" w:hAnsi="Times New Roman" w:cs="Times New Roman"/>
        </w:rPr>
      </w:pPr>
    </w:p>
    <w:p w14:paraId="1DDA09F1" w14:textId="752C4F7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Exmo. Sr. Juiz de Direito da </w:t>
      </w:r>
      <w:r>
        <w:rPr>
          <w:rFonts w:ascii="Times New Roman" w:hAnsi="Times New Roman" w:cs="Times New Roman"/>
        </w:rPr>
        <w:t>...</w:t>
      </w:r>
      <w:r w:rsidRPr="00EC3BE9">
        <w:rPr>
          <w:rFonts w:ascii="Times New Roman" w:hAnsi="Times New Roman" w:cs="Times New Roman"/>
        </w:rPr>
        <w:t xml:space="preserve">ª Vara Cível da Comarca de </w:t>
      </w:r>
      <w:r>
        <w:rPr>
          <w:rFonts w:ascii="Times New Roman" w:hAnsi="Times New Roman" w:cs="Times New Roman"/>
        </w:rPr>
        <w:t>...</w:t>
      </w:r>
    </w:p>
    <w:p w14:paraId="46E814AB" w14:textId="22672C5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Desapropriação n. </w:t>
      </w:r>
      <w:r>
        <w:rPr>
          <w:rFonts w:ascii="Times New Roman" w:hAnsi="Times New Roman" w:cs="Times New Roman"/>
        </w:rPr>
        <w:t>...</w:t>
      </w:r>
    </w:p>
    <w:p w14:paraId="3DF493E4" w14:textId="1583E22C" w:rsidR="00EC3BE9" w:rsidRPr="00EC3BE9" w:rsidRDefault="00EC3BE9" w:rsidP="00EC3BE9">
      <w:pPr>
        <w:ind w:right="-568"/>
        <w:jc w:val="both"/>
        <w:rPr>
          <w:rFonts w:ascii="Times New Roman" w:hAnsi="Times New Roman" w:cs="Times New Roman"/>
        </w:rPr>
      </w:pPr>
      <w:r>
        <w:rPr>
          <w:rFonts w:ascii="Times New Roman" w:hAnsi="Times New Roman" w:cs="Times New Roman"/>
        </w:rPr>
        <w:t>(nome)</w:t>
      </w:r>
      <w:r w:rsidRPr="00EC3BE9">
        <w:rPr>
          <w:rFonts w:ascii="Times New Roman" w:hAnsi="Times New Roman" w:cs="Times New Roman"/>
        </w:rPr>
        <w:t xml:space="preserve">, expropriada/embargada, por seus advogados </w:t>
      </w:r>
      <w:r w:rsidRPr="00EC3BE9">
        <w:rPr>
          <w:rFonts w:ascii="Times New Roman" w:hAnsi="Times New Roman" w:cs="Times New Roman"/>
          <w:i/>
          <w:iCs/>
        </w:rPr>
        <w:t>in fine</w:t>
      </w:r>
      <w:r w:rsidRPr="00EC3BE9">
        <w:rPr>
          <w:rFonts w:ascii="Times New Roman" w:hAnsi="Times New Roman" w:cs="Times New Roman"/>
        </w:rPr>
        <w:t xml:space="preserve"> assinados, nos autos epigrafados que contende com </w:t>
      </w:r>
      <w:r>
        <w:rPr>
          <w:rFonts w:ascii="Times New Roman" w:hAnsi="Times New Roman" w:cs="Times New Roman"/>
        </w:rPr>
        <w:t>..</w:t>
      </w:r>
      <w:r w:rsidRPr="00EC3BE9">
        <w:rPr>
          <w:rFonts w:ascii="Times New Roman" w:hAnsi="Times New Roman" w:cs="Times New Roman"/>
        </w:rPr>
        <w:t>., vem, respeitosamente, manifestar sua</w:t>
      </w:r>
      <w:r>
        <w:rPr>
          <w:rFonts w:ascii="Times New Roman" w:hAnsi="Times New Roman" w:cs="Times New Roman"/>
        </w:rPr>
        <w:t xml:space="preserve"> </w:t>
      </w:r>
      <w:r w:rsidRPr="00EC3BE9">
        <w:rPr>
          <w:rFonts w:ascii="Times New Roman" w:hAnsi="Times New Roman" w:cs="Times New Roman"/>
        </w:rPr>
        <w:t>CONTRARIEDADE AOS EMBARGOS DE DECLARAÇÃO AVIADOS PELA EXPROPRIANTE/AUTORA [ART. 1.023, § 2º DO CPC], pelas razões de fato e direito adiante articulados:</w:t>
      </w:r>
    </w:p>
    <w:p w14:paraId="1786BCD3"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SUMÁRIO</w:t>
      </w:r>
    </w:p>
    <w:p w14:paraId="2706973D"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I.EM RELAÇÃO AOS ALEGADOS “</w:t>
      </w:r>
      <w:r w:rsidRPr="00EC3BE9">
        <w:rPr>
          <w:rFonts w:ascii="Times New Roman" w:hAnsi="Times New Roman" w:cs="Times New Roman"/>
          <w:b/>
          <w:bCs/>
          <w:i/>
          <w:iCs/>
        </w:rPr>
        <w:t>ERROS MATERIAIS</w:t>
      </w:r>
      <w:r w:rsidRPr="00EC3BE9">
        <w:rPr>
          <w:rFonts w:ascii="Times New Roman" w:hAnsi="Times New Roman" w:cs="Times New Roman"/>
          <w:b/>
          <w:bCs/>
        </w:rPr>
        <w:t>” E INDICAÇÃO DA PARTE QUE IMPUGNOU A COMPOSIÇÃO DA AMOSTRA</w:t>
      </w:r>
    </w:p>
    <w:p w14:paraId="42E4B58F" w14:textId="77777777" w:rsidR="00EC3BE9" w:rsidRPr="00EC3BE9" w:rsidRDefault="00EC3BE9" w:rsidP="00EC3BE9">
      <w:pPr>
        <w:ind w:right="-568"/>
        <w:jc w:val="both"/>
        <w:rPr>
          <w:rFonts w:ascii="Times New Roman" w:hAnsi="Times New Roman" w:cs="Times New Roman"/>
          <w:b/>
          <w:bCs/>
        </w:rPr>
      </w:pPr>
      <w:proofErr w:type="gramStart"/>
      <w:r w:rsidRPr="00EC3BE9">
        <w:rPr>
          <w:rFonts w:ascii="Times New Roman" w:hAnsi="Times New Roman" w:cs="Times New Roman"/>
          <w:b/>
          <w:bCs/>
        </w:rPr>
        <w:t>1.1  área</w:t>
      </w:r>
      <w:proofErr w:type="gramEnd"/>
      <w:r w:rsidRPr="00EC3BE9">
        <w:rPr>
          <w:rFonts w:ascii="Times New Roman" w:hAnsi="Times New Roman" w:cs="Times New Roman"/>
          <w:b/>
          <w:bCs/>
        </w:rPr>
        <w:t xml:space="preserve"> desapropriada e valores da área 02 e da indenização</w:t>
      </w:r>
    </w:p>
    <w:p w14:paraId="769E4796" w14:textId="016A9612" w:rsidR="00EC3BE9" w:rsidRPr="00EC3BE9" w:rsidRDefault="00EC3BE9" w:rsidP="00EC3BE9">
      <w:pPr>
        <w:ind w:right="-568"/>
        <w:jc w:val="both"/>
        <w:rPr>
          <w:rFonts w:ascii="Times New Roman" w:hAnsi="Times New Roman" w:cs="Times New Roman"/>
          <w:b/>
          <w:bCs/>
        </w:rPr>
      </w:pPr>
      <w:proofErr w:type="gramStart"/>
      <w:r w:rsidRPr="00EC3BE9">
        <w:rPr>
          <w:rFonts w:ascii="Times New Roman" w:hAnsi="Times New Roman" w:cs="Times New Roman"/>
          <w:b/>
          <w:bCs/>
        </w:rPr>
        <w:t>1.2  identificação</w:t>
      </w:r>
      <w:proofErr w:type="gramEnd"/>
      <w:r w:rsidRPr="00EC3BE9">
        <w:rPr>
          <w:rFonts w:ascii="Times New Roman" w:hAnsi="Times New Roman" w:cs="Times New Roman"/>
          <w:b/>
          <w:bCs/>
        </w:rPr>
        <w:t xml:space="preserve"> da parte que impugnou a composição da amostra</w:t>
      </w:r>
    </w:p>
    <w:p w14:paraId="314A8A3D" w14:textId="36AF62B5"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II. NÃO CONHECIMENTO DA PSEUDO “</w:t>
      </w:r>
      <w:r w:rsidRPr="00EC3BE9">
        <w:rPr>
          <w:rFonts w:ascii="Times New Roman" w:hAnsi="Times New Roman" w:cs="Times New Roman"/>
          <w:b/>
          <w:bCs/>
          <w:i/>
          <w:iCs/>
        </w:rPr>
        <w:t>CONTRADIÇÃO</w:t>
      </w:r>
      <w:r w:rsidRPr="00EC3BE9">
        <w:rPr>
          <w:rFonts w:ascii="Times New Roman" w:hAnsi="Times New Roman" w:cs="Times New Roman"/>
          <w:b/>
          <w:bCs/>
        </w:rPr>
        <w:t>” QUANTO À EXTRAPOLAÇÃO DOS LIMITES AMOSTRAIS</w:t>
      </w:r>
    </w:p>
    <w:p w14:paraId="666B9A13" w14:textId="09164706"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III. INEXISTÊNCIA DE OMISSÃO QUANTO AO DENOMINADO “</w:t>
      </w:r>
      <w:r w:rsidRPr="00EC3BE9">
        <w:rPr>
          <w:rFonts w:ascii="Times New Roman" w:hAnsi="Times New Roman" w:cs="Times New Roman"/>
          <w:b/>
          <w:bCs/>
          <w:i/>
          <w:iCs/>
        </w:rPr>
        <w:t>FATOR DE OFERTA</w:t>
      </w:r>
      <w:r w:rsidRPr="00EC3BE9">
        <w:rPr>
          <w:rFonts w:ascii="Times New Roman" w:hAnsi="Times New Roman" w:cs="Times New Roman"/>
          <w:b/>
          <w:bCs/>
        </w:rPr>
        <w:t>”</w:t>
      </w:r>
    </w:p>
    <w:p w14:paraId="0B0B7E6D" w14:textId="384D5081"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IV. A ATUALIZAÇÃO DOS DEPÓSITOS PRÉVIOS PARA A MESMA DATA-BASE DA AVALIAÇÃO</w:t>
      </w:r>
    </w:p>
    <w:p w14:paraId="52FDBFB6"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V. IMPROCEDÊNCIA DA PRETENDIDA EXCLUSÃO DA TAXA SELIC</w:t>
      </w:r>
    </w:p>
    <w:p w14:paraId="6BB09815"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a)  via processual inadequada: a matéria não comporta solução por embargos de declaração</w:t>
      </w:r>
    </w:p>
    <w:p w14:paraId="70C75E34"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b)  a indenização decorre de ato de utilidade pública e atende a finalidade de interesse público nacional, o que autoriza tratamento equiparado</w:t>
      </w:r>
    </w:p>
    <w:p w14:paraId="2B75E568"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c)  a garantia constitucional da justa indenização (art. 5º, XXIV, CF) impõe a manutenção do índice que efetivamente recomponha o valor da propriedade suprimida</w:t>
      </w:r>
    </w:p>
    <w:p w14:paraId="64EE8BA3"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lastRenderedPageBreak/>
        <w:t>d)  o precedente invocado pela embargante não é aplicável ao caso: trata de matéria diversa</w:t>
      </w:r>
    </w:p>
    <w:p w14:paraId="2E6FE9A5"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e)  distinção necessária entre “</w:t>
      </w:r>
      <w:r w:rsidRPr="00EC3BE9">
        <w:rPr>
          <w:rFonts w:ascii="Times New Roman" w:hAnsi="Times New Roman" w:cs="Times New Roman"/>
          <w:b/>
          <w:bCs/>
          <w:i/>
          <w:iCs/>
        </w:rPr>
        <w:t>redação vigente à data da sentença</w:t>
      </w:r>
      <w:r w:rsidRPr="00EC3BE9">
        <w:rPr>
          <w:rFonts w:ascii="Times New Roman" w:hAnsi="Times New Roman" w:cs="Times New Roman"/>
          <w:b/>
          <w:bCs/>
        </w:rPr>
        <w:t>” e “</w:t>
      </w:r>
      <w:r w:rsidRPr="00EC3BE9">
        <w:rPr>
          <w:rFonts w:ascii="Times New Roman" w:hAnsi="Times New Roman" w:cs="Times New Roman"/>
          <w:b/>
          <w:bCs/>
          <w:i/>
          <w:iCs/>
        </w:rPr>
        <w:t>redação aplicável ao período de mora</w:t>
      </w:r>
      <w:r w:rsidRPr="00EC3BE9">
        <w:rPr>
          <w:rFonts w:ascii="Times New Roman" w:hAnsi="Times New Roman" w:cs="Times New Roman"/>
          <w:b/>
          <w:bCs/>
        </w:rPr>
        <w:t>”</w:t>
      </w:r>
    </w:p>
    <w:p w14:paraId="1539DA31" w14:textId="46976011"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f)  vedação à decisão-surpresa e da necessidade de ampla dilação argumentativa antes de qualquer reforma (ART. 10 DO CPC)</w:t>
      </w:r>
    </w:p>
    <w:p w14:paraId="67743E79"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VI. MANIFESTAÇÃO ESPECÍFICA SOBRE O ITEM III.4 DOS EMBARGOS [BASE DE CÁLCULO DOS JUROS MORATÓRIOS]</w:t>
      </w:r>
      <w:r w:rsidRPr="00EC3BE9">
        <w:rPr>
          <w:rFonts w:ascii="Times New Roman" w:hAnsi="Times New Roman" w:cs="Times New Roman"/>
          <w:b/>
          <w:bCs/>
        </w:rPr>
        <w:tab/>
      </w:r>
    </w:p>
    <w:p w14:paraId="718D9C65"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a)  análise técnica: o que está correto e o que não pode ser admitido na forma proposta</w:t>
      </w:r>
    </w:p>
    <w:p w14:paraId="60B5B2DE"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b)  parágrafo de contrariedade</w:t>
      </w:r>
    </w:p>
    <w:p w14:paraId="359BE94F" w14:textId="7777777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c)  redação alternativa sugerida, para clareza da decisão</w:t>
      </w:r>
    </w:p>
    <w:p w14:paraId="22E56C22" w14:textId="283B715F"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d)  pedido específico quanto a este tópico iii.4</w:t>
      </w:r>
    </w:p>
    <w:p w14:paraId="6F7DC35E" w14:textId="5C93AC07"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VII. REJEIÇÃO DO PEDIDO DE REANÁLISE DOS CRITÉRIOS INDIVIDUAIS DO § 2º DO ART. 85 DO CPC</w:t>
      </w:r>
    </w:p>
    <w:p w14:paraId="02E80EFC" w14:textId="574A6864"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VIII. PEDIDOS</w:t>
      </w:r>
    </w:p>
    <w:p w14:paraId="1B937E7D" w14:textId="3C37DFF4"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I-EM RELAÇÃO AOS ALEGADOS “</w:t>
      </w:r>
      <w:r w:rsidRPr="00EC3BE9">
        <w:rPr>
          <w:rFonts w:ascii="Times New Roman" w:hAnsi="Times New Roman" w:cs="Times New Roman"/>
          <w:b/>
          <w:bCs/>
          <w:i/>
          <w:iCs/>
        </w:rPr>
        <w:t>ERROS MATERIAIS</w:t>
      </w:r>
      <w:r w:rsidRPr="00EC3BE9">
        <w:rPr>
          <w:rFonts w:ascii="Times New Roman" w:hAnsi="Times New Roman" w:cs="Times New Roman"/>
          <w:b/>
          <w:bCs/>
        </w:rPr>
        <w:t>” E INDICAÇÃO DA PARTE QUE IMPUGNOU A COMPOSIÇÃO DA AMOSTRA</w:t>
      </w:r>
    </w:p>
    <w:p w14:paraId="2FE98CCD" w14:textId="710BDB9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i/>
          <w:iCs/>
        </w:rPr>
        <w:t>Mister</w:t>
      </w:r>
      <w:r w:rsidRPr="00EC3BE9">
        <w:rPr>
          <w:rFonts w:ascii="Times New Roman" w:hAnsi="Times New Roman" w:cs="Times New Roman"/>
        </w:rPr>
        <w:t xml:space="preserve"> avivar que “</w:t>
      </w:r>
      <w:r w:rsidRPr="00EC3BE9">
        <w:rPr>
          <w:rFonts w:ascii="Times New Roman" w:hAnsi="Times New Roman" w:cs="Times New Roman"/>
          <w:i/>
          <w:iCs/>
        </w:rPr>
        <w:t>erro material</w:t>
      </w:r>
      <w:r w:rsidRPr="00EC3BE9">
        <w:rPr>
          <w:rFonts w:ascii="Times New Roman" w:hAnsi="Times New Roman" w:cs="Times New Roman"/>
        </w:rPr>
        <w:t>” para fins do art. 1.022, III, e do art. 494, I, do CPC, é a inexatidão meramente factual ou de expressão que se revela pela simples leitura do próprio julgado, verbi gratia, um lapso de cálculo, de grafia, de data ou de identificação de dados, sem que sua correção exija qualquer novo juízo de valor, reexame de prova ou alteração do critério de decidir.</w:t>
      </w:r>
    </w:p>
    <w:p w14:paraId="6DD5A171" w14:textId="6EF54D9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Sua marca distintiva é a auto evidência, qual seja, o erro é identificável objetivamente, por confronto entre a própria decisão e os elementos que ela mesma acolheu [o laudo, os documentos, os cálculos], sem necessidade de interpretação ou de nova valoração jurídica; não se sujeita à preclusão e pode ocorrer a qualquer tempo, inclusive de ofício, exatamente porque não importa em rejulgamento da causa nem em ofensa à coisa julgada; apenas conforma o texto do julgado àquilo que o próprio juízo decidira substancialmente.</w:t>
      </w:r>
    </w:p>
    <w:p w14:paraId="79175638" w14:textId="53AF3FC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Diferente é a hipótese em que, sob a roupagem de "</w:t>
      </w:r>
      <w:r w:rsidRPr="00EC3BE9">
        <w:rPr>
          <w:rFonts w:ascii="Times New Roman" w:hAnsi="Times New Roman" w:cs="Times New Roman"/>
          <w:i/>
          <w:iCs/>
        </w:rPr>
        <w:t>erro material</w:t>
      </w:r>
      <w:r w:rsidRPr="00EC3BE9">
        <w:rPr>
          <w:rFonts w:ascii="Times New Roman" w:hAnsi="Times New Roman" w:cs="Times New Roman"/>
        </w:rPr>
        <w:t>", a parte busca, na realidade, a alteração do resultado do julgamento a partir de nova leitura da prova, de reponderação de critérios técnicos ou de reinterpretação de norma jurídica. Nesses casos, ainda que a parte alegue "</w:t>
      </w:r>
      <w:r w:rsidRPr="00EC3BE9">
        <w:rPr>
          <w:rFonts w:ascii="Times New Roman" w:hAnsi="Times New Roman" w:cs="Times New Roman"/>
          <w:i/>
          <w:iCs/>
        </w:rPr>
        <w:t>erro</w:t>
      </w:r>
      <w:r w:rsidRPr="00EC3BE9">
        <w:rPr>
          <w:rFonts w:ascii="Times New Roman" w:hAnsi="Times New Roman" w:cs="Times New Roman"/>
        </w:rPr>
        <w:t>", não se está diante de erro material, mas de inconformismo com o mérito, insuscetível de correção por embargos de declaração e reservado à via recursal própria.</w:t>
      </w:r>
    </w:p>
    <w:p w14:paraId="45353BB6" w14:textId="2C4D5A5E"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1.1</w:t>
      </w:r>
      <w:r>
        <w:rPr>
          <w:rFonts w:ascii="Times New Roman" w:hAnsi="Times New Roman" w:cs="Times New Roman"/>
          <w:b/>
          <w:bCs/>
        </w:rPr>
        <w:t xml:space="preserve"> </w:t>
      </w:r>
      <w:r w:rsidRPr="00EC3BE9">
        <w:rPr>
          <w:rFonts w:ascii="Times New Roman" w:hAnsi="Times New Roman" w:cs="Times New Roman"/>
          <w:b/>
          <w:bCs/>
        </w:rPr>
        <w:t>Área Desapropriada e valores da Área 02 e da indenização</w:t>
      </w:r>
    </w:p>
    <w:p w14:paraId="2640A031" w14:textId="6B04F2C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Alegou o embargante em sua fundamentação que registra corretamente a Área 02 = </w:t>
      </w:r>
      <w:r>
        <w:rPr>
          <w:rFonts w:ascii="Times New Roman" w:hAnsi="Times New Roman" w:cs="Times New Roman"/>
        </w:rPr>
        <w:t>...</w:t>
      </w:r>
      <w:r w:rsidRPr="00EC3BE9">
        <w:rPr>
          <w:rFonts w:ascii="Times New Roman" w:hAnsi="Times New Roman" w:cs="Times New Roman"/>
        </w:rPr>
        <w:t xml:space="preserve"> m² [coincide com o laudo, evento </w:t>
      </w:r>
      <w:r>
        <w:rPr>
          <w:rFonts w:ascii="Times New Roman" w:hAnsi="Times New Roman" w:cs="Times New Roman"/>
        </w:rPr>
        <w:t>...</w:t>
      </w:r>
      <w:r w:rsidRPr="00EC3BE9">
        <w:rPr>
          <w:rFonts w:ascii="Times New Roman" w:hAnsi="Times New Roman" w:cs="Times New Roman"/>
        </w:rPr>
        <w:t>].</w:t>
      </w:r>
    </w:p>
    <w:p w14:paraId="1A2F1697" w14:textId="7FFC869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 xml:space="preserve">Mais adiante, e no dispositivo, a mesma área passa a constar como </w:t>
      </w:r>
      <w:r>
        <w:rPr>
          <w:rFonts w:ascii="Times New Roman" w:hAnsi="Times New Roman" w:cs="Times New Roman"/>
        </w:rPr>
        <w:t>...</w:t>
      </w:r>
      <w:r w:rsidRPr="00EC3BE9">
        <w:rPr>
          <w:rFonts w:ascii="Times New Roman" w:hAnsi="Times New Roman" w:cs="Times New Roman"/>
        </w:rPr>
        <w:t xml:space="preserve"> m² [inversão dos algarismos "1" e "7"], com reflexo na área total [</w:t>
      </w:r>
      <w:r>
        <w:rPr>
          <w:rFonts w:ascii="Times New Roman" w:hAnsi="Times New Roman" w:cs="Times New Roman"/>
        </w:rPr>
        <w:t>...</w:t>
      </w:r>
      <w:r w:rsidRPr="00EC3BE9">
        <w:rPr>
          <w:rFonts w:ascii="Times New Roman" w:hAnsi="Times New Roman" w:cs="Times New Roman"/>
        </w:rPr>
        <w:t xml:space="preserve"> m², quando a soma seria </w:t>
      </w:r>
      <w:r>
        <w:rPr>
          <w:rFonts w:ascii="Times New Roman" w:hAnsi="Times New Roman" w:cs="Times New Roman"/>
        </w:rPr>
        <w:t>...</w:t>
      </w:r>
      <w:r w:rsidRPr="00EC3BE9">
        <w:rPr>
          <w:rFonts w:ascii="Times New Roman" w:hAnsi="Times New Roman" w:cs="Times New Roman"/>
        </w:rPr>
        <w:t xml:space="preserve"> m²], no valor da Área 02 [R$ </w:t>
      </w:r>
      <w:r>
        <w:rPr>
          <w:rFonts w:ascii="Times New Roman" w:hAnsi="Times New Roman" w:cs="Times New Roman"/>
        </w:rPr>
        <w:t>...</w:t>
      </w:r>
      <w:r w:rsidRPr="00EC3BE9">
        <w:rPr>
          <w:rFonts w:ascii="Times New Roman" w:hAnsi="Times New Roman" w:cs="Times New Roman"/>
        </w:rPr>
        <w:t xml:space="preserve">, quando o laudo apurou R$ </w:t>
      </w:r>
      <w:r>
        <w:rPr>
          <w:rFonts w:ascii="Times New Roman" w:hAnsi="Times New Roman" w:cs="Times New Roman"/>
        </w:rPr>
        <w:t>...</w:t>
      </w:r>
      <w:r w:rsidRPr="00EC3BE9">
        <w:rPr>
          <w:rFonts w:ascii="Times New Roman" w:hAnsi="Times New Roman" w:cs="Times New Roman"/>
        </w:rPr>
        <w:t xml:space="preserve">], no </w:t>
      </w:r>
      <w:proofErr w:type="gramStart"/>
      <w:r w:rsidRPr="00EC3BE9">
        <w:rPr>
          <w:rFonts w:ascii="Times New Roman" w:hAnsi="Times New Roman" w:cs="Times New Roman"/>
        </w:rPr>
        <w:t>valor  total</w:t>
      </w:r>
      <w:proofErr w:type="gramEnd"/>
      <w:r w:rsidRPr="00EC3BE9">
        <w:rPr>
          <w:rFonts w:ascii="Times New Roman" w:hAnsi="Times New Roman" w:cs="Times New Roman"/>
        </w:rPr>
        <w:t xml:space="preserve">  da terra nua [R$ </w:t>
      </w:r>
      <w:r>
        <w:rPr>
          <w:rFonts w:ascii="Times New Roman" w:hAnsi="Times New Roman" w:cs="Times New Roman"/>
        </w:rPr>
        <w:t>...</w:t>
      </w:r>
      <w:r w:rsidRPr="00EC3BE9">
        <w:rPr>
          <w:rFonts w:ascii="Times New Roman" w:hAnsi="Times New Roman" w:cs="Times New Roman"/>
        </w:rPr>
        <w:t xml:space="preserve">, quando o correto seria R$ </w:t>
      </w:r>
      <w:r>
        <w:rPr>
          <w:rFonts w:ascii="Times New Roman" w:hAnsi="Times New Roman" w:cs="Times New Roman"/>
        </w:rPr>
        <w:t>...</w:t>
      </w:r>
      <w:r w:rsidRPr="00EC3BE9">
        <w:rPr>
          <w:rFonts w:ascii="Times New Roman" w:hAnsi="Times New Roman" w:cs="Times New Roman"/>
        </w:rPr>
        <w:t xml:space="preserve">] e na indenização final [pede R$ </w:t>
      </w:r>
      <w:r>
        <w:rPr>
          <w:rFonts w:ascii="Times New Roman" w:hAnsi="Times New Roman" w:cs="Times New Roman"/>
        </w:rPr>
        <w:t>...</w:t>
      </w:r>
      <w:r w:rsidRPr="00EC3BE9">
        <w:rPr>
          <w:rFonts w:ascii="Times New Roman" w:hAnsi="Times New Roman" w:cs="Times New Roman"/>
        </w:rPr>
        <w:t xml:space="preserve"> em vez de R$ </w:t>
      </w:r>
      <w:r>
        <w:rPr>
          <w:rFonts w:ascii="Times New Roman" w:hAnsi="Times New Roman" w:cs="Times New Roman"/>
        </w:rPr>
        <w:t>...</w:t>
      </w:r>
      <w:r w:rsidRPr="00EC3BE9">
        <w:rPr>
          <w:rFonts w:ascii="Times New Roman" w:hAnsi="Times New Roman" w:cs="Times New Roman"/>
        </w:rPr>
        <w:t>].</w:t>
      </w:r>
    </w:p>
    <w:p w14:paraId="7235B1B2" w14:textId="50C431E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Compulsando os autos, de certo se verifica mero erro material que justifica a correção da parte dispositiva para constar: “(i) </w:t>
      </w:r>
      <w:r w:rsidRPr="00EC3BE9">
        <w:rPr>
          <w:rFonts w:ascii="Times New Roman" w:hAnsi="Times New Roman" w:cs="Times New Roman"/>
          <w:i/>
          <w:iCs/>
        </w:rPr>
        <w:t xml:space="preserve">Área de </w:t>
      </w:r>
      <w:r w:rsidRPr="00EC3BE9">
        <w:rPr>
          <w:rFonts w:ascii="Times New Roman" w:hAnsi="Times New Roman" w:cs="Times New Roman"/>
          <w:i/>
          <w:iCs/>
        </w:rPr>
        <w:t>...</w:t>
      </w:r>
      <w:r w:rsidRPr="00EC3BE9">
        <w:rPr>
          <w:rFonts w:ascii="Times New Roman" w:hAnsi="Times New Roman" w:cs="Times New Roman"/>
          <w:i/>
          <w:iCs/>
        </w:rPr>
        <w:t xml:space="preserve"> m²; (</w:t>
      </w:r>
      <w:proofErr w:type="spellStart"/>
      <w:r w:rsidRPr="00EC3BE9">
        <w:rPr>
          <w:rFonts w:ascii="Times New Roman" w:hAnsi="Times New Roman" w:cs="Times New Roman"/>
          <w:i/>
          <w:iCs/>
        </w:rPr>
        <w:t>ii</w:t>
      </w:r>
      <w:proofErr w:type="spellEnd"/>
      <w:r w:rsidRPr="00EC3BE9">
        <w:rPr>
          <w:rFonts w:ascii="Times New Roman" w:hAnsi="Times New Roman" w:cs="Times New Roman"/>
          <w:i/>
          <w:iCs/>
        </w:rPr>
        <w:t xml:space="preserve">) área total desapropriada de </w:t>
      </w:r>
      <w:r w:rsidRPr="00EC3BE9">
        <w:rPr>
          <w:rFonts w:ascii="Times New Roman" w:hAnsi="Times New Roman" w:cs="Times New Roman"/>
          <w:i/>
          <w:iCs/>
        </w:rPr>
        <w:t>...</w:t>
      </w:r>
      <w:r w:rsidRPr="00EC3BE9">
        <w:rPr>
          <w:rFonts w:ascii="Times New Roman" w:hAnsi="Times New Roman" w:cs="Times New Roman"/>
          <w:i/>
          <w:iCs/>
        </w:rPr>
        <w:t xml:space="preserve"> m²; (</w:t>
      </w:r>
      <w:proofErr w:type="spellStart"/>
      <w:r w:rsidRPr="00EC3BE9">
        <w:rPr>
          <w:rFonts w:ascii="Times New Roman" w:hAnsi="Times New Roman" w:cs="Times New Roman"/>
          <w:i/>
          <w:iCs/>
        </w:rPr>
        <w:t>iii</w:t>
      </w:r>
      <w:proofErr w:type="spellEnd"/>
      <w:r w:rsidRPr="00EC3BE9">
        <w:rPr>
          <w:rFonts w:ascii="Times New Roman" w:hAnsi="Times New Roman" w:cs="Times New Roman"/>
          <w:i/>
          <w:iCs/>
        </w:rPr>
        <w:t xml:space="preserve">) valor da Área 02 de R$ </w:t>
      </w:r>
      <w:r w:rsidRPr="00EC3BE9">
        <w:rPr>
          <w:rFonts w:ascii="Times New Roman" w:hAnsi="Times New Roman" w:cs="Times New Roman"/>
          <w:i/>
          <w:iCs/>
        </w:rPr>
        <w:t>...</w:t>
      </w:r>
      <w:r w:rsidRPr="00EC3BE9">
        <w:rPr>
          <w:rFonts w:ascii="Times New Roman" w:hAnsi="Times New Roman" w:cs="Times New Roman"/>
          <w:i/>
          <w:iCs/>
        </w:rPr>
        <w:t>; (</w:t>
      </w:r>
      <w:proofErr w:type="spellStart"/>
      <w:r w:rsidRPr="00EC3BE9">
        <w:rPr>
          <w:rFonts w:ascii="Times New Roman" w:hAnsi="Times New Roman" w:cs="Times New Roman"/>
          <w:i/>
          <w:iCs/>
        </w:rPr>
        <w:t>iv</w:t>
      </w:r>
      <w:proofErr w:type="spellEnd"/>
      <w:r w:rsidRPr="00EC3BE9">
        <w:rPr>
          <w:rFonts w:ascii="Times New Roman" w:hAnsi="Times New Roman" w:cs="Times New Roman"/>
          <w:i/>
          <w:iCs/>
        </w:rPr>
        <w:t xml:space="preserve">) valor da Área 02 de R$ </w:t>
      </w:r>
      <w:r w:rsidRPr="00EC3BE9">
        <w:rPr>
          <w:rFonts w:ascii="Times New Roman" w:hAnsi="Times New Roman" w:cs="Times New Roman"/>
          <w:i/>
          <w:iCs/>
        </w:rPr>
        <w:t>...</w:t>
      </w:r>
      <w:r w:rsidRPr="00EC3BE9">
        <w:rPr>
          <w:rFonts w:ascii="Times New Roman" w:hAnsi="Times New Roman" w:cs="Times New Roman"/>
          <w:i/>
          <w:iCs/>
        </w:rPr>
        <w:t>; (</w:t>
      </w:r>
      <w:proofErr w:type="spellStart"/>
      <w:r w:rsidRPr="00EC3BE9">
        <w:rPr>
          <w:rFonts w:ascii="Times New Roman" w:hAnsi="Times New Roman" w:cs="Times New Roman"/>
          <w:i/>
          <w:iCs/>
        </w:rPr>
        <w:t>iv</w:t>
      </w:r>
      <w:proofErr w:type="spellEnd"/>
      <w:r w:rsidRPr="00EC3BE9">
        <w:rPr>
          <w:rFonts w:ascii="Times New Roman" w:hAnsi="Times New Roman" w:cs="Times New Roman"/>
          <w:i/>
          <w:iCs/>
        </w:rPr>
        <w:t xml:space="preserve">) valor total da terra nua de R$ </w:t>
      </w:r>
      <w:r w:rsidRPr="00EC3BE9">
        <w:rPr>
          <w:rFonts w:ascii="Times New Roman" w:hAnsi="Times New Roman" w:cs="Times New Roman"/>
          <w:i/>
          <w:iCs/>
        </w:rPr>
        <w:t>...</w:t>
      </w:r>
      <w:r w:rsidRPr="00EC3BE9">
        <w:rPr>
          <w:rFonts w:ascii="Times New Roman" w:hAnsi="Times New Roman" w:cs="Times New Roman"/>
          <w:i/>
          <w:iCs/>
        </w:rPr>
        <w:t xml:space="preserve"> e (v) indenização de R$ </w:t>
      </w:r>
      <w:r w:rsidRPr="00EC3BE9">
        <w:rPr>
          <w:rFonts w:ascii="Times New Roman" w:hAnsi="Times New Roman" w:cs="Times New Roman"/>
          <w:i/>
          <w:iCs/>
        </w:rPr>
        <w:t>...</w:t>
      </w:r>
      <w:r w:rsidRPr="00EC3BE9">
        <w:rPr>
          <w:rFonts w:ascii="Times New Roman" w:hAnsi="Times New Roman" w:cs="Times New Roman"/>
        </w:rPr>
        <w:t xml:space="preserve">”.  </w:t>
      </w:r>
    </w:p>
    <w:p w14:paraId="36E6DA28" w14:textId="7C93A9AF"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1.2</w:t>
      </w:r>
      <w:r w:rsidRPr="00EC3BE9">
        <w:rPr>
          <w:rFonts w:ascii="Times New Roman" w:hAnsi="Times New Roman" w:cs="Times New Roman"/>
          <w:b/>
          <w:bCs/>
        </w:rPr>
        <w:t xml:space="preserve"> </w:t>
      </w:r>
      <w:r w:rsidRPr="00EC3BE9">
        <w:rPr>
          <w:rFonts w:ascii="Times New Roman" w:hAnsi="Times New Roman" w:cs="Times New Roman"/>
          <w:b/>
          <w:bCs/>
        </w:rPr>
        <w:t>Identificação da parte que impugnou a composição da amostra</w:t>
      </w:r>
    </w:p>
    <w:p w14:paraId="514C0F64" w14:textId="3CBA66C5"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embargante alegou que houve erro material na sentença que atribuiu à “</w:t>
      </w:r>
      <w:r w:rsidRPr="00EC3BE9">
        <w:rPr>
          <w:rFonts w:ascii="Times New Roman" w:hAnsi="Times New Roman" w:cs="Times New Roman"/>
          <w:i/>
          <w:iCs/>
        </w:rPr>
        <w:t>parte expropriada</w:t>
      </w:r>
      <w:r w:rsidRPr="00EC3BE9">
        <w:rPr>
          <w:rFonts w:ascii="Times New Roman" w:hAnsi="Times New Roman" w:cs="Times New Roman"/>
        </w:rPr>
        <w:t xml:space="preserve">” a tese de exclusão de dados de </w:t>
      </w:r>
      <w:r>
        <w:rPr>
          <w:rFonts w:ascii="Times New Roman" w:hAnsi="Times New Roman" w:cs="Times New Roman"/>
        </w:rPr>
        <w:t>...</w:t>
      </w:r>
      <w:r w:rsidRPr="00EC3BE9">
        <w:rPr>
          <w:rFonts w:ascii="Times New Roman" w:hAnsi="Times New Roman" w:cs="Times New Roman"/>
        </w:rPr>
        <w:t xml:space="preserve"> e uso exclusivo de </w:t>
      </w:r>
      <w:r>
        <w:rPr>
          <w:rFonts w:ascii="Times New Roman" w:hAnsi="Times New Roman" w:cs="Times New Roman"/>
        </w:rPr>
        <w:t>...</w:t>
      </w:r>
      <w:r w:rsidRPr="00EC3BE9">
        <w:rPr>
          <w:rFonts w:ascii="Times New Roman" w:hAnsi="Times New Roman" w:cs="Times New Roman"/>
        </w:rPr>
        <w:t>/</w:t>
      </w:r>
      <w:r>
        <w:rPr>
          <w:rFonts w:ascii="Times New Roman" w:hAnsi="Times New Roman" w:cs="Times New Roman"/>
        </w:rPr>
        <w:t>...</w:t>
      </w:r>
      <w:r w:rsidRPr="00EC3BE9">
        <w:rPr>
          <w:rFonts w:ascii="Times New Roman" w:hAnsi="Times New Roman" w:cs="Times New Roman"/>
        </w:rPr>
        <w:t>.</w:t>
      </w:r>
    </w:p>
    <w:p w14:paraId="427F8B23" w14:textId="4A2ED27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Conforme se verifica do Evento </w:t>
      </w:r>
      <w:r>
        <w:rPr>
          <w:rFonts w:ascii="Times New Roman" w:hAnsi="Times New Roman" w:cs="Times New Roman"/>
        </w:rPr>
        <w:t>...</w:t>
      </w:r>
      <w:r w:rsidRPr="00EC3BE9">
        <w:rPr>
          <w:rFonts w:ascii="Times New Roman" w:hAnsi="Times New Roman" w:cs="Times New Roman"/>
        </w:rPr>
        <w:t>, tópicos 15 a 52, foi a expropriante quem suscitou essa tese nos autos. Cuida-se de erro material de identificação da parte [CPC, art. 1.022,</w:t>
      </w:r>
      <w:r>
        <w:rPr>
          <w:rFonts w:ascii="Times New Roman" w:hAnsi="Times New Roman" w:cs="Times New Roman"/>
        </w:rPr>
        <w:t xml:space="preserve"> </w:t>
      </w:r>
      <w:r w:rsidRPr="00EC3BE9">
        <w:rPr>
          <w:rFonts w:ascii="Times New Roman" w:hAnsi="Times New Roman" w:cs="Times New Roman"/>
        </w:rPr>
        <w:t>III], sanável de ofício ou a requerimento, sem necessidade de reexame de mérito, apenas para alterar a expressão “</w:t>
      </w:r>
      <w:r w:rsidRPr="00EC3BE9">
        <w:rPr>
          <w:rFonts w:ascii="Times New Roman" w:hAnsi="Times New Roman" w:cs="Times New Roman"/>
          <w:i/>
          <w:iCs/>
        </w:rPr>
        <w:t>parte expropriada</w:t>
      </w:r>
      <w:r w:rsidRPr="00EC3BE9">
        <w:rPr>
          <w:rFonts w:ascii="Times New Roman" w:hAnsi="Times New Roman" w:cs="Times New Roman"/>
        </w:rPr>
        <w:t>” para “</w:t>
      </w:r>
      <w:r w:rsidRPr="00EC3BE9">
        <w:rPr>
          <w:rFonts w:ascii="Times New Roman" w:hAnsi="Times New Roman" w:cs="Times New Roman"/>
          <w:i/>
          <w:iCs/>
        </w:rPr>
        <w:t>parte expropriante</w:t>
      </w:r>
      <w:r w:rsidRPr="00EC3BE9">
        <w:rPr>
          <w:rFonts w:ascii="Times New Roman" w:hAnsi="Times New Roman" w:cs="Times New Roman"/>
        </w:rPr>
        <w:t>”.</w:t>
      </w:r>
    </w:p>
    <w:p w14:paraId="16B4D5B0" w14:textId="236BFA4D"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II-</w:t>
      </w:r>
      <w:r w:rsidRPr="00EC3BE9">
        <w:rPr>
          <w:rFonts w:ascii="Times New Roman" w:hAnsi="Times New Roman" w:cs="Times New Roman"/>
          <w:b/>
          <w:bCs/>
        </w:rPr>
        <w:t xml:space="preserve"> </w:t>
      </w:r>
      <w:r w:rsidRPr="00EC3BE9">
        <w:rPr>
          <w:rFonts w:ascii="Times New Roman" w:hAnsi="Times New Roman" w:cs="Times New Roman"/>
          <w:b/>
          <w:bCs/>
        </w:rPr>
        <w:t>NÃO CONHECIMENTO DA PSEUDO “</w:t>
      </w:r>
      <w:r w:rsidRPr="00EC3BE9">
        <w:rPr>
          <w:rFonts w:ascii="Times New Roman" w:hAnsi="Times New Roman" w:cs="Times New Roman"/>
          <w:b/>
          <w:bCs/>
          <w:i/>
          <w:iCs/>
        </w:rPr>
        <w:t>CONTRADIÇÃO</w:t>
      </w:r>
      <w:r w:rsidRPr="00EC3BE9">
        <w:rPr>
          <w:rFonts w:ascii="Times New Roman" w:hAnsi="Times New Roman" w:cs="Times New Roman"/>
          <w:b/>
          <w:bCs/>
        </w:rPr>
        <w:t xml:space="preserve">” QUANTO À EXTRAPOLAÇÃO DOS LIMITES AMOSTRAIS  </w:t>
      </w:r>
    </w:p>
    <w:p w14:paraId="07FA9A0D" w14:textId="006E117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Antes de qualquer digressão sobre o acerto ou desacerto da conclusão pericial acolhida na sentença, impõe-se reconhecer que o tópico ora impugnado nem sequer ultrapassa o juízo de admissibilidade dos embargos de declaração, o que impede, desde logo, seu conhecimento.</w:t>
      </w:r>
    </w:p>
    <w:p w14:paraId="494350EA" w14:textId="199FAD0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Os embargos de declaração constituem recurso de fundamentação vinculada. O art. 1.022 do CPC arrola, em </w:t>
      </w:r>
      <w:proofErr w:type="spellStart"/>
      <w:r w:rsidRPr="00EC3BE9">
        <w:rPr>
          <w:rFonts w:ascii="Times New Roman" w:hAnsi="Times New Roman" w:cs="Times New Roman"/>
          <w:i/>
          <w:iCs/>
        </w:rPr>
        <w:t>numerus</w:t>
      </w:r>
      <w:proofErr w:type="spellEnd"/>
      <w:r w:rsidRPr="00EC3BE9">
        <w:rPr>
          <w:rFonts w:ascii="Times New Roman" w:hAnsi="Times New Roman" w:cs="Times New Roman"/>
          <w:i/>
          <w:iCs/>
        </w:rPr>
        <w:t xml:space="preserve"> </w:t>
      </w:r>
      <w:proofErr w:type="spellStart"/>
      <w:r w:rsidRPr="00EC3BE9">
        <w:rPr>
          <w:rFonts w:ascii="Times New Roman" w:hAnsi="Times New Roman" w:cs="Times New Roman"/>
          <w:i/>
          <w:iCs/>
        </w:rPr>
        <w:t>clausus</w:t>
      </w:r>
      <w:proofErr w:type="spellEnd"/>
      <w:r w:rsidRPr="00EC3BE9">
        <w:rPr>
          <w:rFonts w:ascii="Times New Roman" w:hAnsi="Times New Roman" w:cs="Times New Roman"/>
        </w:rPr>
        <w:t xml:space="preserve">, as únicas hipóteses que autorizam sua interposição: obscuridade, contradição, omissão e erro material. </w:t>
      </w:r>
    </w:p>
    <w:p w14:paraId="01A27858" w14:textId="1DBD8B4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Não é dado à parte ora embargante, a pretexto de manejar esse instrumento, submeter a esse d. juízo matéria estranha a estas balizas, sob pena de transformar os embargos em sucedâneo recursal não previsto em lei, com evidente subversão do sistema recursal e do princípio da taxatividade.</w:t>
      </w:r>
    </w:p>
    <w:p w14:paraId="0BD8D330" w14:textId="0B94B9B9"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i/>
          <w:iCs/>
        </w:rPr>
        <w:t xml:space="preserve">Data </w:t>
      </w:r>
      <w:proofErr w:type="spellStart"/>
      <w:r w:rsidRPr="00EC3BE9">
        <w:rPr>
          <w:rFonts w:ascii="Times New Roman" w:hAnsi="Times New Roman" w:cs="Times New Roman"/>
          <w:i/>
          <w:iCs/>
        </w:rPr>
        <w:t>venia</w:t>
      </w:r>
      <w:proofErr w:type="spellEnd"/>
      <w:r w:rsidRPr="00EC3BE9">
        <w:rPr>
          <w:rFonts w:ascii="Times New Roman" w:hAnsi="Times New Roman" w:cs="Times New Roman"/>
        </w:rPr>
        <w:t>, é exatamente essa a hipótese dos autos. A embargante, sob o rótulo de "</w:t>
      </w:r>
      <w:r w:rsidRPr="00EC3BE9">
        <w:rPr>
          <w:rFonts w:ascii="Times New Roman" w:hAnsi="Times New Roman" w:cs="Times New Roman"/>
          <w:i/>
          <w:iCs/>
        </w:rPr>
        <w:t>contradição</w:t>
      </w:r>
      <w:r w:rsidRPr="00EC3BE9">
        <w:rPr>
          <w:rFonts w:ascii="Times New Roman" w:hAnsi="Times New Roman" w:cs="Times New Roman"/>
        </w:rPr>
        <w:t xml:space="preserve">", não aponta qualquer incompatibilidade lógica entre proposições da própria sentença; o que caracterizaria, em tese, contradição para os fins do art. 1.022, II, do CPC. </w:t>
      </w:r>
    </w:p>
    <w:p w14:paraId="35E7036B" w14:textId="63A5B80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 que ela impugna é a conclusão do juízo, formada a partir da livre apreciação motivada da prova técnica [art. 371 do CPC], de que o laudo pericial observou método estatístico validado, sem extrapolação apta a comprometer a estimativa central adotada.</w:t>
      </w:r>
    </w:p>
    <w:p w14:paraId="59F0169E" w14:textId="679121B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Contradição, para fins de embargos de declaração, é vício interno e estrutural do julgado; a coexistência, no mesmo ato decisório, de proposições reciprocamente excludentes, de modo que uma nega o que a outra afirma. Não se confunde, e jamais se confundiu, com a alegação de que a conclusão do juízo destoaria do que a parte entende extrair de determinado elemento de prova constante dos autos. </w:t>
      </w:r>
    </w:p>
    <w:p w14:paraId="2C0A3C7D" w14:textId="45C6F5B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Essa segunda hipótese não é contradição do julgado; é discordância com o julgado, e discordância com a valoração da prova pericial se resolve pela via recursal própria, a apelação [art. 1.013 do CPC], jamais por embargos declaratórios.</w:t>
      </w:r>
    </w:p>
    <w:p w14:paraId="08878E04" w14:textId="7CCC787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confusão fica evidente pela simples leitura do que a própria sentença consignou. O juízo não ignorou o tema da extrapolação: enfrentou-o expressamente, examinou a robustez estatística exigida pela NBR 14.653-3, o Grau II de Fundamentação do método comparativo, a suficiência da amostra e a metodologia de saneamento de dados, para lhe concluir, de forma motivada, pela validade da estimativa pericial. </w:t>
      </w:r>
    </w:p>
    <w:p w14:paraId="223B02FF" w14:textId="1FE7EB7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Discordar dessa conclusão sustentando que os esclarecimentos do evento </w:t>
      </w:r>
      <w:r>
        <w:rPr>
          <w:rFonts w:ascii="Times New Roman" w:hAnsi="Times New Roman" w:cs="Times New Roman"/>
        </w:rPr>
        <w:t>...</w:t>
      </w:r>
      <w:r w:rsidRPr="00EC3BE9">
        <w:rPr>
          <w:rFonts w:ascii="Times New Roman" w:hAnsi="Times New Roman" w:cs="Times New Roman"/>
        </w:rPr>
        <w:t xml:space="preserve"> diriam o contrário do que entendeu o juízo não é apontar contradição do julgado; é pretender que o julgador reaprecie a prova técnica e chegue a resultado diverso. </w:t>
      </w:r>
    </w:p>
    <w:p w14:paraId="7A9EF841" w14:textId="1F400C2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Trata-se, em outras palavras, de rejulgamento da causa sob a roupagem de embargos declaratórios. E é justamente aqui que se impõe a distinção técnica entre NÃO CONHECIMENTO e rejeição, cuja diferença não é meramente terminológica, mas de substância.</w:t>
      </w:r>
    </w:p>
    <w:p w14:paraId="6E398837" w14:textId="771F9759"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Rejeitar [ou negar provimento a] embargos de declaração pressupõe que o juízo tenha reconhecido, ao menos em tese, que a matéria suscitada se amolda a uma das hipóteses do art. 1.022 do CPC [omissão, contradição, obscuridade ou erro material] e, examinando-a no mérito, conclua pela sua inexistência no caso concreto. Há, nessa hipótese, exame de mérito do próprio recurso.</w:t>
      </w:r>
    </w:p>
    <w:p w14:paraId="61AA3444" w14:textId="11FE2759"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Não conhecer, diversamente, é reconhecer que falta, de plano, um pressuposto de admissibilidade do recurso; no caso, a adequação da via eleita, de modo que o juízo sequer avança ao exame do mérito da alegação. É a mesma lógica que rege o não conhecimento de uma apelação por ausência de interesse recursal, ou de um recurso especial por incidência de súmula que veda o reexame de prova: não se nega o pedido porque ele é infundado; nega-se o próprio acesso à via recursal, porque o instrumento manejado não serve ao fim pretendido.</w:t>
      </w:r>
    </w:p>
    <w:p w14:paraId="05362BCE" w14:textId="5E38381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No caso presente, a pretensão deduzida pela embargante, reexame da prova pericial para, eventualmente, alterar o valor da terra nua, não é, por sua própria natureza, suscetível de veiculação por embargos de declaração, independentemente do conteúdo que se viesse a examinar. </w:t>
      </w:r>
    </w:p>
    <w:p w14:paraId="11FE9F30" w14:textId="2DCD352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Não se trata, portanto, de dizer que "</w:t>
      </w:r>
      <w:r w:rsidRPr="00EC3BE9">
        <w:rPr>
          <w:rFonts w:ascii="Times New Roman" w:hAnsi="Times New Roman" w:cs="Times New Roman"/>
          <w:i/>
          <w:iCs/>
        </w:rPr>
        <w:t>não há contradição</w:t>
      </w:r>
      <w:r w:rsidRPr="00EC3BE9">
        <w:rPr>
          <w:rFonts w:ascii="Times New Roman" w:hAnsi="Times New Roman" w:cs="Times New Roman"/>
        </w:rPr>
        <w:t>" [o que seria exame de mérito e ensejaria rejeição], mas de reconhecer que a via eleita é, em si, inadequada para o fim pretendido. É a inadmissibilidade que se impõe, não a improcedência.</w:t>
      </w:r>
    </w:p>
    <w:p w14:paraId="212DFD97" w14:textId="347E099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Nesse sentido, </w:t>
      </w:r>
      <w:r w:rsidRPr="00EC3BE9">
        <w:rPr>
          <w:rFonts w:ascii="Times New Roman" w:hAnsi="Times New Roman" w:cs="Times New Roman"/>
          <w:i/>
          <w:iCs/>
        </w:rPr>
        <w:t xml:space="preserve">mutatis </w:t>
      </w:r>
      <w:proofErr w:type="spellStart"/>
      <w:r w:rsidRPr="00EC3BE9">
        <w:rPr>
          <w:rFonts w:ascii="Times New Roman" w:hAnsi="Times New Roman" w:cs="Times New Roman"/>
          <w:i/>
          <w:iCs/>
        </w:rPr>
        <w:t>mutantis</w:t>
      </w:r>
      <w:proofErr w:type="spellEnd"/>
      <w:r w:rsidRPr="00EC3BE9">
        <w:rPr>
          <w:rFonts w:ascii="Times New Roman" w:hAnsi="Times New Roman" w:cs="Times New Roman"/>
        </w:rPr>
        <w:t xml:space="preserve">: </w:t>
      </w:r>
    </w:p>
    <w:p w14:paraId="35687A64" w14:textId="6C8CBD02" w:rsidR="00EC3BE9" w:rsidRPr="00EC3BE9" w:rsidRDefault="00EC3BE9" w:rsidP="00EC3BE9">
      <w:pPr>
        <w:ind w:right="-568"/>
        <w:jc w:val="both"/>
        <w:rPr>
          <w:rFonts w:ascii="Times New Roman" w:hAnsi="Times New Roman" w:cs="Times New Roman"/>
        </w:rPr>
      </w:pPr>
      <w:r>
        <w:rPr>
          <w:rFonts w:ascii="Times New Roman" w:hAnsi="Times New Roman" w:cs="Times New Roman"/>
        </w:rPr>
        <w:t>“</w:t>
      </w:r>
      <w:r w:rsidRPr="00EC3BE9">
        <w:rPr>
          <w:rFonts w:ascii="Times New Roman" w:hAnsi="Times New Roman" w:cs="Times New Roman"/>
          <w:i/>
          <w:iCs/>
        </w:rPr>
        <w:t xml:space="preserve">DIREITO PROCESSUAL CIVIL. EMBARGOS DE DECLARAÇÃO. AUSÊNCIA DE IMPUGNAÇÃO AO ACÓRDÃO. INSURGÊNCIA DIRIGIDA À SENTENÇA DE PRIMEIRO GRAU. PRETENSÃO DE REDISCUSSÃO DA MATÉRIA. EMBARGOS NÃO CONHECIDOS. I. CASO EM EXAME... II. QUESTÃO EM DISCUSSÃO 2- A questão em discussão consiste em definir se os embargos de declaração podem ser conhecidos quando as alegações deduzidas se </w:t>
      </w:r>
      <w:r w:rsidRPr="00EC3BE9">
        <w:rPr>
          <w:rFonts w:ascii="Times New Roman" w:hAnsi="Times New Roman" w:cs="Times New Roman"/>
          <w:i/>
          <w:iCs/>
        </w:rPr>
        <w:lastRenderedPageBreak/>
        <w:t xml:space="preserve">dirigem à sentença de primeiro grau, e não ao conteúdo do acórdão embargado. III. RAZÕES DE DECIDIR 3- Os embargos de declaração destinam-se ao saneamento de obscuridade, contradição, omissão ou erro material existentes na decisão judicial impugnada...6- Não se admite a utilização dos </w:t>
      </w:r>
      <w:proofErr w:type="spellStart"/>
      <w:r w:rsidRPr="00EC3BE9">
        <w:rPr>
          <w:rFonts w:ascii="Times New Roman" w:hAnsi="Times New Roman" w:cs="Times New Roman"/>
          <w:i/>
          <w:iCs/>
        </w:rPr>
        <w:t>aclaratórios</w:t>
      </w:r>
      <w:proofErr w:type="spellEnd"/>
      <w:r w:rsidRPr="00EC3BE9">
        <w:rPr>
          <w:rFonts w:ascii="Times New Roman" w:hAnsi="Times New Roman" w:cs="Times New Roman"/>
          <w:i/>
          <w:iCs/>
        </w:rPr>
        <w:t xml:space="preserve"> como sucedâneo recursal ou instrumento de renovação extemporânea de insurgências já apreciadas em grau recursal. 7- Ausente impugnação específica ao acórdão embargado, os embargos não comportam conhecimento. IV. DISPOSITIVO E TESE 8- Embargos de declaração NÃO CONHECIDOS. Tese de julgamento: 1- NÃO SE CONHECEM EMBARGOS DE DECLARAÇÃO QUE VEICULAM INSURGÊNCIA DIRIGIDA EXCLUSIVAMENTE À SENTENÇA DE PRIMEIRO GRAU, SEM APONTAR VÍCIO NO ACÓRDÃO RECORRIDO. 2- Os embargos de declaração não podem ser utilizados como meio indireto de rediscussão de matéria já apreciada e alcançada pela preclusão</w:t>
      </w:r>
      <w:r w:rsidRPr="00EC3BE9">
        <w:rPr>
          <w:rFonts w:ascii="Times New Roman" w:hAnsi="Times New Roman" w:cs="Times New Roman"/>
        </w:rPr>
        <w:t>.</w:t>
      </w:r>
      <w:r>
        <w:rPr>
          <w:rFonts w:ascii="Times New Roman" w:hAnsi="Times New Roman" w:cs="Times New Roman"/>
        </w:rPr>
        <w:t xml:space="preserve">” </w:t>
      </w:r>
      <w:proofErr w:type="gramStart"/>
      <w:r w:rsidRPr="00EC3BE9">
        <w:rPr>
          <w:rFonts w:ascii="Times New Roman" w:hAnsi="Times New Roman" w:cs="Times New Roman"/>
        </w:rPr>
        <w:t>[</w:t>
      </w:r>
      <w:proofErr w:type="gramEnd"/>
      <w:r w:rsidRPr="00EC3BE9">
        <w:rPr>
          <w:rFonts w:ascii="Times New Roman" w:hAnsi="Times New Roman" w:cs="Times New Roman"/>
        </w:rPr>
        <w:t xml:space="preserve">TJSP, Embargos de Declaração Cível 10461863720248260224, Rel. Renato Guanaes Simões </w:t>
      </w:r>
      <w:proofErr w:type="spellStart"/>
      <w:r w:rsidRPr="00EC3BE9">
        <w:rPr>
          <w:rFonts w:ascii="Times New Roman" w:hAnsi="Times New Roman" w:cs="Times New Roman"/>
        </w:rPr>
        <w:t>Thomsen</w:t>
      </w:r>
      <w:proofErr w:type="spellEnd"/>
      <w:r w:rsidRPr="00EC3BE9">
        <w:rPr>
          <w:rFonts w:ascii="Times New Roman" w:hAnsi="Times New Roman" w:cs="Times New Roman"/>
        </w:rPr>
        <w:t>, 5ª Turma Recursal Cível, DJEN 14/07/2026]</w:t>
      </w:r>
    </w:p>
    <w:p w14:paraId="788C0D8F" w14:textId="6E3BDC3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Não é demasia lembrar que a própria sentença já indicara, com base em precedente do Superior Tribunal de Justiça [</w:t>
      </w:r>
      <w:proofErr w:type="spellStart"/>
      <w:r w:rsidRPr="00EC3BE9">
        <w:rPr>
          <w:rFonts w:ascii="Times New Roman" w:hAnsi="Times New Roman" w:cs="Times New Roman"/>
        </w:rPr>
        <w:t>EDcl</w:t>
      </w:r>
      <w:proofErr w:type="spellEnd"/>
      <w:r w:rsidRPr="00EC3BE9">
        <w:rPr>
          <w:rFonts w:ascii="Times New Roman" w:hAnsi="Times New Roman" w:cs="Times New Roman"/>
        </w:rPr>
        <w:t xml:space="preserve"> no MS 21.315-DF], que o julgador não está obrigado a rebater cada argumento da parte quando tenha encontrado motivo suficiente para decidir, devendo apenas enfrentar as questões capazes de infirmar a conclusão adotada. Esse mesmo raciocínio, por identidade de razões, afasta a pretensão de reabertura do debate técnico por via de embargos: o juízo explicitou com fundamento suficiente e coerente para acolher o laudo pericial; a irresignação da embargante, no ponto, exaure-se em inconformismo, não em vício do julgado.</w:t>
      </w:r>
    </w:p>
    <w:p w14:paraId="26B80B2A" w14:textId="097C897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Destarte, requer-se o NÃO CONHECIMENTO do tópico "</w:t>
      </w:r>
      <w:r w:rsidRPr="00EC3BE9">
        <w:rPr>
          <w:rFonts w:ascii="Times New Roman" w:hAnsi="Times New Roman" w:cs="Times New Roman"/>
          <w:i/>
          <w:iCs/>
        </w:rPr>
        <w:t>II - Contradição quanto à extrapolação dos limites amostrais</w:t>
      </w:r>
      <w:r w:rsidRPr="00EC3BE9">
        <w:rPr>
          <w:rFonts w:ascii="Times New Roman" w:hAnsi="Times New Roman" w:cs="Times New Roman"/>
        </w:rPr>
        <w:t>" dos embargos de declaração, por inadequação da via eleita e ausência de pressuposto de admissibilidade recursal [art. 1.022 do CPC], porquanto a matéria nele veiculada configura, na essência, pretensão de reexame da prova pericial e de rejulgamento da causa, providências vedadas em sede de embargos declaratórios.</w:t>
      </w:r>
    </w:p>
    <w:p w14:paraId="40B02C75" w14:textId="09B37A5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Subsidiariamente, e apenas para a remota hipótese de conhecimento do tópico, requer-se sua REJEIÇÃO NO MÉRITO, mantendo-se incólume a conclusão da sentença quanto à validade metodológica do laudo pericial e à inexistência de extrapolação apta a infirmar a estimativa central do valor da terra nua, dado que a decisão embargada enfrentou de forma motivada e suficiente a questão técnica em debate.</w:t>
      </w:r>
    </w:p>
    <w:p w14:paraId="45E4D013" w14:textId="50C0B254" w:rsidR="00EC3BE9" w:rsidRPr="00EC3BE9" w:rsidRDefault="00EC3BE9" w:rsidP="00EC3BE9">
      <w:pPr>
        <w:ind w:right="-568"/>
        <w:jc w:val="both"/>
        <w:rPr>
          <w:rFonts w:ascii="Times New Roman" w:hAnsi="Times New Roman" w:cs="Times New Roman"/>
          <w:b/>
          <w:bCs/>
        </w:rPr>
      </w:pPr>
      <w:r w:rsidRPr="00EC3BE9">
        <w:rPr>
          <w:rFonts w:ascii="Times New Roman" w:hAnsi="Times New Roman" w:cs="Times New Roman"/>
          <w:b/>
          <w:bCs/>
        </w:rPr>
        <w:t>III-</w:t>
      </w:r>
      <w:r w:rsidRPr="00EC3BE9">
        <w:rPr>
          <w:rFonts w:ascii="Times New Roman" w:hAnsi="Times New Roman" w:cs="Times New Roman"/>
          <w:b/>
          <w:bCs/>
        </w:rPr>
        <w:t xml:space="preserve"> </w:t>
      </w:r>
      <w:r w:rsidRPr="00EC3BE9">
        <w:rPr>
          <w:rFonts w:ascii="Times New Roman" w:hAnsi="Times New Roman" w:cs="Times New Roman"/>
          <w:b/>
          <w:bCs/>
        </w:rPr>
        <w:t>INEXISTÊNCIA DE OMISSÃO QUANTO AO DENOMINADO “</w:t>
      </w:r>
      <w:r w:rsidRPr="00EC3BE9">
        <w:rPr>
          <w:rFonts w:ascii="Times New Roman" w:hAnsi="Times New Roman" w:cs="Times New Roman"/>
          <w:b/>
          <w:bCs/>
          <w:i/>
          <w:iCs/>
        </w:rPr>
        <w:t>FATOR DE OFERTA</w:t>
      </w:r>
      <w:r w:rsidRPr="00EC3BE9">
        <w:rPr>
          <w:rFonts w:ascii="Times New Roman" w:hAnsi="Times New Roman" w:cs="Times New Roman"/>
          <w:b/>
          <w:bCs/>
        </w:rPr>
        <w:t>” – MATÉRIA INSERIDA NO TRATAMENTO DOS DADOS EXPRESSAMENTE VALIDADO PELA SENTENÇA – PRETENSÃO DE REDISCUSSÃO DA PROVA PERICIAL</w:t>
      </w:r>
    </w:p>
    <w:p w14:paraId="4315BDF8" w14:textId="31F8CEE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alegação de omissão quanto ao denominado “</w:t>
      </w:r>
      <w:r w:rsidRPr="00EC3BE9">
        <w:rPr>
          <w:rFonts w:ascii="Times New Roman" w:hAnsi="Times New Roman" w:cs="Times New Roman"/>
          <w:i/>
          <w:iCs/>
        </w:rPr>
        <w:t>fator de oferta 0,90</w:t>
      </w:r>
      <w:r w:rsidRPr="00EC3BE9">
        <w:rPr>
          <w:rFonts w:ascii="Times New Roman" w:hAnsi="Times New Roman" w:cs="Times New Roman"/>
        </w:rPr>
        <w:t>” parte de uma leitura fragmentária da sentença. É certo que o decisum não empregou, nominalmente, a expressão “</w:t>
      </w:r>
      <w:r w:rsidRPr="00EC3BE9">
        <w:rPr>
          <w:rFonts w:ascii="Times New Roman" w:hAnsi="Times New Roman" w:cs="Times New Roman"/>
          <w:i/>
          <w:iCs/>
        </w:rPr>
        <w:t>fator de oferta 0,90</w:t>
      </w:r>
      <w:r w:rsidRPr="00EC3BE9">
        <w:rPr>
          <w:rFonts w:ascii="Times New Roman" w:hAnsi="Times New Roman" w:cs="Times New Roman"/>
        </w:rPr>
        <w:t>”. Disso, porém, não decorre que a questão metodológica na qual inserido o referido coeficiente tenha permanecido sem julgamento.</w:t>
      </w:r>
    </w:p>
    <w:p w14:paraId="3425BC85" w14:textId="31255E3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Ao contrário.  A r. sentença apelada examinou detidamente a metodologia de avaliação empregada pelo perito judicial, registrando a adoção do Método Comparativo Direto de Dados </w:t>
      </w:r>
      <w:r w:rsidRPr="00EC3BE9">
        <w:rPr>
          <w:rFonts w:ascii="Times New Roman" w:hAnsi="Times New Roman" w:cs="Times New Roman"/>
        </w:rPr>
        <w:lastRenderedPageBreak/>
        <w:t xml:space="preserve">de Mercado – MCDDM, com tratamento amostral por inferência estatística, reconhecendo a adequação técnica do modelo, a representatividade dos dados pesquisados, a similaridade mercadológica das amostras e a observância das normas técnicas pertinentes. </w:t>
      </w:r>
    </w:p>
    <w:p w14:paraId="629CD0C8" w14:textId="019C1A9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Mais do que isso, assentou expressamente que os critérios utilizados para a apuração do valor indenizatório encontravam-se devidamente detalhados nos trabalhos periciais, acolhendo, ao final, a estimativa resultante desse processamento. </w:t>
      </w:r>
    </w:p>
    <w:p w14:paraId="3BB9A392" w14:textId="5CB56FB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Não se tratou, portanto, de adesão acrítica à conclusão numérica do </w:t>
      </w:r>
      <w:r w:rsidRPr="00EC3BE9">
        <w:rPr>
          <w:rFonts w:ascii="Times New Roman" w:hAnsi="Times New Roman" w:cs="Times New Roman"/>
          <w:i/>
          <w:iCs/>
        </w:rPr>
        <w:t>expert</w:t>
      </w:r>
      <w:r w:rsidRPr="00EC3BE9">
        <w:rPr>
          <w:rFonts w:ascii="Times New Roman" w:hAnsi="Times New Roman" w:cs="Times New Roman"/>
        </w:rPr>
        <w:t>. O Juízo apreciou justamente a higidez do método, do universo amostral e do tratamento estatístico que produziu o resultado impugnado.</w:t>
      </w:r>
    </w:p>
    <w:p w14:paraId="2D0A3BB7" w14:textId="378CB82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Essa conclusão jurisdicional harmoniza-se, ademais, com os sucessivos esclarecimentos do expert judicial. Provocado pelas partes, o perito reafirmou que o processamento utilizado pela expropriante possuía estrutura distinta da adotada no laudo; que os parâmetros e variáveis de seu modelo atendiam à finalidade da avaliação; e, sobretudo, que, conforme o Laudo de Avaliação e respectivo relatório de processamento, “</w:t>
      </w:r>
      <w:r w:rsidRPr="00EC3BE9">
        <w:rPr>
          <w:rFonts w:ascii="Times New Roman" w:hAnsi="Times New Roman" w:cs="Times New Roman"/>
          <w:i/>
          <w:iCs/>
        </w:rPr>
        <w:t>os dados foram tratados corretamente</w:t>
      </w:r>
      <w:r w:rsidRPr="00EC3BE9">
        <w:rPr>
          <w:rFonts w:ascii="Times New Roman" w:hAnsi="Times New Roman" w:cs="Times New Roman"/>
        </w:rPr>
        <w:t xml:space="preserve">”, inexistindo suporte técnico que justificasse a alteração do trabalho apresentado. </w:t>
      </w:r>
    </w:p>
    <w:p w14:paraId="5F37E4AE" w14:textId="65312B2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No último esclarecimento [Evento </w:t>
      </w:r>
      <w:r>
        <w:rPr>
          <w:rFonts w:ascii="Times New Roman" w:hAnsi="Times New Roman" w:cs="Times New Roman"/>
        </w:rPr>
        <w:t>...</w:t>
      </w:r>
      <w:r w:rsidRPr="00EC3BE9">
        <w:rPr>
          <w:rFonts w:ascii="Times New Roman" w:hAnsi="Times New Roman" w:cs="Times New Roman"/>
        </w:rPr>
        <w:t>], o perito foi igualmente categórico ao registrar que o laudo fora elaborado com detalhamento dos dados de processamento, fundamentação e precisão compatíveis com as recomendações da ABNT/NBR, mantendo integralmente suas conclusões e valores diante da inexistência de elemento técnico apto a infirmá-los.</w:t>
      </w:r>
    </w:p>
    <w:p w14:paraId="63E14703" w14:textId="2A5236F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sentença, por sua vez, ao reapreciar o conjunto probatório, consignou não possuir dúvida quanto à credibilidade, validade e eficácia da perícia judicial, realizada segundo técnica e metodologia aplicáveis à espécie, adotando precisamente os resultados decorrentes desse processamento para a definição do quantum indenizatório. </w:t>
      </w:r>
    </w:p>
    <w:p w14:paraId="1F0BD1F6" w14:textId="2F135E8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tentativa da embargante de isolar, somente agora, um dos coeficientes utilizados no tratamento dos elementos amostrais e exigir pronunciamento judicial autônomo acerca de sua gênese matemática não evidencia omissão. </w:t>
      </w:r>
    </w:p>
    <w:p w14:paraId="641C2B5B" w14:textId="151D13E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Traduz, isto sim, inconformismo com a conclusão técnica já acolhida pelo Juízo. Nem se altera essa conclusão pela distinção que os embargos procuram estabelecer entre “</w:t>
      </w:r>
      <w:r w:rsidRPr="00EC3BE9">
        <w:rPr>
          <w:rFonts w:ascii="Times New Roman" w:hAnsi="Times New Roman" w:cs="Times New Roman"/>
          <w:i/>
          <w:iCs/>
        </w:rPr>
        <w:t>campo de arbítrio</w:t>
      </w:r>
      <w:r w:rsidRPr="00EC3BE9">
        <w:rPr>
          <w:rFonts w:ascii="Times New Roman" w:hAnsi="Times New Roman" w:cs="Times New Roman"/>
        </w:rPr>
        <w:t>” e “</w:t>
      </w:r>
      <w:r w:rsidRPr="00EC3BE9">
        <w:rPr>
          <w:rFonts w:ascii="Times New Roman" w:hAnsi="Times New Roman" w:cs="Times New Roman"/>
          <w:i/>
          <w:iCs/>
        </w:rPr>
        <w:t>fator de oferta</w:t>
      </w:r>
      <w:r w:rsidRPr="00EC3BE9">
        <w:rPr>
          <w:rFonts w:ascii="Times New Roman" w:hAnsi="Times New Roman" w:cs="Times New Roman"/>
        </w:rPr>
        <w:t xml:space="preserve">”. Ainda que sejam conceitos tecnicamente distintos, a fundamentação da sentença não se esgotou na referência ao campo de arbítrio. </w:t>
      </w:r>
    </w:p>
    <w:p w14:paraId="62995899" w14:textId="1790DEE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O </w:t>
      </w:r>
      <w:r w:rsidRPr="00EC3BE9">
        <w:rPr>
          <w:rFonts w:ascii="Times New Roman" w:hAnsi="Times New Roman" w:cs="Times New Roman"/>
          <w:i/>
          <w:iCs/>
        </w:rPr>
        <w:t>decisum</w:t>
      </w:r>
      <w:r w:rsidRPr="00EC3BE9">
        <w:rPr>
          <w:rFonts w:ascii="Times New Roman" w:hAnsi="Times New Roman" w:cs="Times New Roman"/>
        </w:rPr>
        <w:t xml:space="preserve"> avançou sobre a validade do método comparativo, o tratamento estatístico, a amostra utilizada, sua representatividade, a aderência mercadológica e os critérios de processamento constantes do laudo, concluindo motivadamente pela manutenção da estimativa pericial.</w:t>
      </w:r>
    </w:p>
    <w:p w14:paraId="0FCD9ADB" w14:textId="2BC526C8"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Pretender que o magistrado, além de reconhecer a idoneidade do método e do processamento, reproduza e justifique individualmente cada coeficiente intermediário empregado pelo profissional especializado significa confundir dever de fundamentação judicial com elaboração de novo laudo pericial pelo próprio Juízo, o que é vedado pelo ordenamento jurídico:</w:t>
      </w:r>
    </w:p>
    <w:p w14:paraId="5DBA8904" w14:textId="77777777" w:rsidR="00EC3BE9" w:rsidRPr="00EC3BE9" w:rsidRDefault="00EC3BE9" w:rsidP="00EC3BE9">
      <w:pPr>
        <w:ind w:right="-568"/>
        <w:jc w:val="both"/>
        <w:rPr>
          <w:rFonts w:ascii="Times New Roman" w:hAnsi="Times New Roman" w:cs="Times New Roman"/>
        </w:rPr>
      </w:pPr>
    </w:p>
    <w:p w14:paraId="1FDE049B" w14:textId="2D552992" w:rsidR="00EC3BE9" w:rsidRPr="00EC3BE9" w:rsidRDefault="00EC3BE9" w:rsidP="00EC3BE9">
      <w:pPr>
        <w:ind w:right="-568"/>
        <w:jc w:val="both"/>
        <w:rPr>
          <w:rFonts w:ascii="Times New Roman" w:hAnsi="Times New Roman" w:cs="Times New Roman"/>
        </w:rPr>
      </w:pPr>
      <w:r>
        <w:rPr>
          <w:rFonts w:ascii="Times New Roman" w:hAnsi="Times New Roman" w:cs="Times New Roman"/>
        </w:rPr>
        <w:lastRenderedPageBreak/>
        <w:t>“</w:t>
      </w:r>
      <w:r w:rsidRPr="00EC3BE9">
        <w:rPr>
          <w:rFonts w:ascii="Times New Roman" w:hAnsi="Times New Roman" w:cs="Times New Roman"/>
          <w:i/>
          <w:iCs/>
        </w:rPr>
        <w:t xml:space="preserve">EMBARGOS DE DECLARAÇÃO NO AGRAVO EM RECURSO ESPECIAL. PROCESSUAL CIVIL. AÇÃO DE RESCISÃO CONTRATUAL. FORNECIMENTO DE POSTES. NEGATIVA DE PRESTAÇÃO JURISDICIONAL. OMISSÃO. INEXISTÊNCIA. VALORAÇÃO DA PROVA PERICIAL. REEXAME DO CONJUNTO PROBATÓRIO. IMPOSSIBILIDADE. SÚMULA Nº 7/STJ. AUSÊNCIA DE VÍCIOS NO JULGADO. PRETENSÃO DE REDISCUTIR O MÉRITO. DESCABIMENTO. MANUTENÇÃO DA DECISÃO. 1. Os embargos de declaração, conforme o artigo 1.022 do Código de Processo Civil, destinam-se exclusivamente a sanar omissão, contradição, obscuridade ou erro material, não sendo a via adequada para a rediscussão de matéria decidida de forma fundamentada.  2. O acórdão embargado enfrentou de forma completa os temas levantados, consignando expressamente que o Tribunal de origem motivou de forma adequada sua decisão, solucionando a controvérsia com a aplicação do direito cabível, o que afasta a alegação de negativa de prestação jurisdicional. </w:t>
      </w:r>
      <w:r w:rsidRPr="00EC3BE9">
        <w:rPr>
          <w:rFonts w:ascii="Times New Roman" w:hAnsi="Times New Roman" w:cs="Times New Roman"/>
          <w:i/>
          <w:iCs/>
        </w:rPr>
        <w:t xml:space="preserve"> </w:t>
      </w:r>
      <w:r w:rsidRPr="00EC3BE9">
        <w:rPr>
          <w:rFonts w:ascii="Times New Roman" w:hAnsi="Times New Roman" w:cs="Times New Roman"/>
          <w:i/>
          <w:iCs/>
        </w:rPr>
        <w:t>3. A análise das conclusões da Corte de origem quanto à qualidade técnica dos postes, ao índice de desempenho da fornecedora e à suposta alteração unilateral dos critérios de avaliação pela concessionária demandaria o reexame do conjunto fático-probatório dos autos, procedimento vedado em recurso especial por força do óbice da Súmula nº 7/STJ. 4. Inexiste erro de fato, contradição ou omissão no julgado que, de forma coerente, afasta a violação ao artigo 1.022 do Código de Processo Civil e aplica a Súmula nº 7/STJ para obstar o exame do mérito da controvérsia fática, uma vez que a verificação da regularidade da fundamentação do acórdão recorrido não se confunde com o reexame das provas. 5. Os embargos de declaração não se prestam à rediscussão de matéria devidamente fundamentada e decidida. 6. Embargos de declaração rejeitados</w:t>
      </w:r>
      <w:r w:rsidRPr="00EC3BE9">
        <w:rPr>
          <w:rFonts w:ascii="Times New Roman" w:hAnsi="Times New Roman" w:cs="Times New Roman"/>
        </w:rPr>
        <w:t>.</w:t>
      </w:r>
      <w:r>
        <w:rPr>
          <w:rFonts w:ascii="Times New Roman" w:hAnsi="Times New Roman" w:cs="Times New Roman"/>
        </w:rPr>
        <w:t xml:space="preserve">” </w:t>
      </w:r>
      <w:proofErr w:type="gramStart"/>
      <w:r w:rsidRPr="00EC3BE9">
        <w:rPr>
          <w:rFonts w:ascii="Times New Roman" w:hAnsi="Times New Roman" w:cs="Times New Roman"/>
        </w:rPr>
        <w:t>[</w:t>
      </w:r>
      <w:proofErr w:type="gramEnd"/>
      <w:r w:rsidRPr="00EC3BE9">
        <w:rPr>
          <w:rFonts w:ascii="Times New Roman" w:hAnsi="Times New Roman" w:cs="Times New Roman"/>
        </w:rPr>
        <w:t xml:space="preserve">STJ, </w:t>
      </w:r>
      <w:proofErr w:type="spellStart"/>
      <w:r w:rsidRPr="00EC3BE9">
        <w:rPr>
          <w:rFonts w:ascii="Times New Roman" w:hAnsi="Times New Roman" w:cs="Times New Roman"/>
        </w:rPr>
        <w:t>EDcl</w:t>
      </w:r>
      <w:proofErr w:type="spellEnd"/>
      <w:r w:rsidRPr="00EC3BE9">
        <w:rPr>
          <w:rFonts w:ascii="Times New Roman" w:hAnsi="Times New Roman" w:cs="Times New Roman"/>
        </w:rPr>
        <w:t xml:space="preserve"> no </w:t>
      </w:r>
      <w:proofErr w:type="spellStart"/>
      <w:r w:rsidRPr="00EC3BE9">
        <w:rPr>
          <w:rFonts w:ascii="Times New Roman" w:hAnsi="Times New Roman" w:cs="Times New Roman"/>
        </w:rPr>
        <w:t>AREsp</w:t>
      </w:r>
      <w:proofErr w:type="spellEnd"/>
      <w:r w:rsidRPr="00EC3BE9">
        <w:rPr>
          <w:rFonts w:ascii="Times New Roman" w:hAnsi="Times New Roman" w:cs="Times New Roman"/>
        </w:rPr>
        <w:t>: 3142756 GO 2025/0490130-6, Rel. Ministro RICARDO VILLAS BÔAS CUEVA, TERCEIRA TURMA, DJEN 03/09/2026].</w:t>
      </w:r>
    </w:p>
    <w:p w14:paraId="0843F8C5" w14:textId="54ED91E1" w:rsidR="00EC3BE9" w:rsidRPr="00EC3BE9" w:rsidRDefault="00EC3BE9" w:rsidP="00EC3BE9">
      <w:pPr>
        <w:ind w:right="-568"/>
        <w:jc w:val="both"/>
        <w:rPr>
          <w:rFonts w:ascii="Times New Roman" w:hAnsi="Times New Roman" w:cs="Times New Roman"/>
        </w:rPr>
      </w:pPr>
      <w:r>
        <w:rPr>
          <w:rFonts w:ascii="Times New Roman" w:hAnsi="Times New Roman" w:cs="Times New Roman"/>
        </w:rPr>
        <w:t>“</w:t>
      </w:r>
      <w:r w:rsidRPr="00EC3BE9">
        <w:rPr>
          <w:rFonts w:ascii="Times New Roman" w:hAnsi="Times New Roman" w:cs="Times New Roman"/>
          <w:i/>
          <w:iCs/>
        </w:rPr>
        <w:t xml:space="preserve">EMBARGOS DE DECLARAÇÃO EM APELAÇÃO CÍVEL. ACÓRDÃO QUE PROVÊ O APELO DA RÉ PARA JULGAR IMPROCEDENTE A PRETENSÃO INDENIZATÓRIA. ALEGAÇÃO DE OMISSÃO NO JULGADO. MÁCULA NÃO VERIFICADA. INSURGÊNCIA QUANTO À VALORAÇÃO DA PROVA TÉCNICA. PRETENSÃO DE REDISCUSSÃO DA MATÉRIA. VIA PROCESSUAL INADEQUADA </w:t>
      </w:r>
      <w:proofErr w:type="gramStart"/>
      <w:r w:rsidRPr="00EC3BE9">
        <w:rPr>
          <w:rFonts w:ascii="Times New Roman" w:hAnsi="Times New Roman" w:cs="Times New Roman"/>
          <w:i/>
          <w:iCs/>
        </w:rPr>
        <w:t>( CPC</w:t>
      </w:r>
      <w:proofErr w:type="gramEnd"/>
      <w:r w:rsidRPr="00EC3BE9">
        <w:rPr>
          <w:rFonts w:ascii="Times New Roman" w:hAnsi="Times New Roman" w:cs="Times New Roman"/>
          <w:i/>
          <w:iCs/>
        </w:rPr>
        <w:t xml:space="preserve">/2015, ART. 1.022). REJEIÇÃO. Os embargos de declaração estão restritos às hipóteses de omissão, contradição, obscuridade ou erro material no decisum e, por isso, não se prestam ao reexame da prova ou à rediscussão de mérito da lide. Ainda que opostos com o fim de </w:t>
      </w:r>
      <w:proofErr w:type="spellStart"/>
      <w:r w:rsidRPr="00EC3BE9">
        <w:rPr>
          <w:rFonts w:ascii="Times New Roman" w:hAnsi="Times New Roman" w:cs="Times New Roman"/>
          <w:i/>
          <w:iCs/>
        </w:rPr>
        <w:t>prequestionar</w:t>
      </w:r>
      <w:proofErr w:type="spellEnd"/>
      <w:r w:rsidRPr="00EC3BE9">
        <w:rPr>
          <w:rFonts w:ascii="Times New Roman" w:hAnsi="Times New Roman" w:cs="Times New Roman"/>
          <w:i/>
          <w:iCs/>
        </w:rPr>
        <w:t xml:space="preserve"> dispositivos legais, o acolhimento dos embargos declaratórios não dispensa a prova da ocorrência de uma das hipóteses enumeradas no art. 1.022 do CPC/2015</w:t>
      </w:r>
      <w:r w:rsidRPr="00EC3BE9">
        <w:rPr>
          <w:rFonts w:ascii="Times New Roman" w:hAnsi="Times New Roman" w:cs="Times New Roman"/>
        </w:rPr>
        <w:t>.</w:t>
      </w:r>
      <w:r>
        <w:rPr>
          <w:rFonts w:ascii="Times New Roman" w:hAnsi="Times New Roman" w:cs="Times New Roman"/>
        </w:rPr>
        <w:t xml:space="preserve">” </w:t>
      </w:r>
      <w:r w:rsidRPr="00EC3BE9">
        <w:rPr>
          <w:rFonts w:ascii="Times New Roman" w:hAnsi="Times New Roman" w:cs="Times New Roman"/>
        </w:rPr>
        <w:t xml:space="preserve">[TJSC, Embargos de Declaração 00056577520098240126, Rel. Des. João Batista Góes </w:t>
      </w:r>
      <w:proofErr w:type="spellStart"/>
      <w:proofErr w:type="gramStart"/>
      <w:r w:rsidRPr="00EC3BE9">
        <w:rPr>
          <w:rFonts w:ascii="Times New Roman" w:hAnsi="Times New Roman" w:cs="Times New Roman"/>
        </w:rPr>
        <w:t>Ulysséa</w:t>
      </w:r>
      <w:proofErr w:type="spellEnd"/>
      <w:r w:rsidRPr="00EC3BE9">
        <w:rPr>
          <w:rFonts w:ascii="Times New Roman" w:hAnsi="Times New Roman" w:cs="Times New Roman"/>
        </w:rPr>
        <w:t>,  Segunda</w:t>
      </w:r>
      <w:proofErr w:type="gramEnd"/>
      <w:r w:rsidRPr="00EC3BE9">
        <w:rPr>
          <w:rFonts w:ascii="Times New Roman" w:hAnsi="Times New Roman" w:cs="Times New Roman"/>
        </w:rPr>
        <w:t xml:space="preserve"> Câmara de Direito Civil, Data de Julgamento: 29/08/2019]</w:t>
      </w:r>
    </w:p>
    <w:p w14:paraId="1FE21EF4" w14:textId="455F78B1" w:rsidR="00EC3BE9" w:rsidRPr="00EC3BE9" w:rsidRDefault="001952D6" w:rsidP="00EC3BE9">
      <w:pPr>
        <w:ind w:right="-568"/>
        <w:jc w:val="both"/>
        <w:rPr>
          <w:rFonts w:ascii="Times New Roman" w:hAnsi="Times New Roman" w:cs="Times New Roman"/>
        </w:rPr>
      </w:pPr>
      <w:r>
        <w:rPr>
          <w:rFonts w:ascii="Times New Roman" w:hAnsi="Times New Roman" w:cs="Times New Roman"/>
        </w:rPr>
        <w:t>“</w:t>
      </w:r>
      <w:r w:rsidR="00EC3BE9" w:rsidRPr="001952D6">
        <w:rPr>
          <w:rFonts w:ascii="Times New Roman" w:hAnsi="Times New Roman" w:cs="Times New Roman"/>
          <w:i/>
          <w:iCs/>
        </w:rPr>
        <w:t xml:space="preserve">EMBARGOS DECLARATÓRIOS - VÍCIO - INEXISTÊNCIA - REEXAME DA PROVA PERICIAL. Os embargos de declaração não se prestam a funcionar como instrumento idôneo para a obtenção do reexame de prova pericial, sendo defeso ao Judiciário, salvo raras exceções, modificar o entendimento consignado no julgamento atacado. O presente recurso tem, necessariamente, de adequar-se às hipóteses previstas no art. 1.022 do CPC/2015, ainda que a parte tenha por finalidade </w:t>
      </w:r>
      <w:proofErr w:type="spellStart"/>
      <w:r w:rsidR="00EC3BE9" w:rsidRPr="001952D6">
        <w:rPr>
          <w:rFonts w:ascii="Times New Roman" w:hAnsi="Times New Roman" w:cs="Times New Roman"/>
          <w:i/>
          <w:iCs/>
        </w:rPr>
        <w:t>prequestionar</w:t>
      </w:r>
      <w:proofErr w:type="spellEnd"/>
      <w:r w:rsidR="00EC3BE9" w:rsidRPr="001952D6">
        <w:rPr>
          <w:rFonts w:ascii="Times New Roman" w:hAnsi="Times New Roman" w:cs="Times New Roman"/>
          <w:i/>
          <w:iCs/>
        </w:rPr>
        <w:t>, objetivamente, a matéria contida na apelação</w:t>
      </w:r>
      <w:r w:rsidR="00EC3BE9" w:rsidRPr="00EC3BE9">
        <w:rPr>
          <w:rFonts w:ascii="Times New Roman" w:hAnsi="Times New Roman" w:cs="Times New Roman"/>
        </w:rPr>
        <w:t>.</w:t>
      </w:r>
      <w:r>
        <w:rPr>
          <w:rFonts w:ascii="Times New Roman" w:hAnsi="Times New Roman" w:cs="Times New Roman"/>
        </w:rPr>
        <w:t xml:space="preserve">” </w:t>
      </w:r>
      <w:proofErr w:type="gramStart"/>
      <w:r w:rsidR="00EC3BE9" w:rsidRPr="00EC3BE9">
        <w:rPr>
          <w:rFonts w:ascii="Times New Roman" w:hAnsi="Times New Roman" w:cs="Times New Roman"/>
        </w:rPr>
        <w:lastRenderedPageBreak/>
        <w:t>[</w:t>
      </w:r>
      <w:proofErr w:type="gramEnd"/>
      <w:r w:rsidR="00EC3BE9" w:rsidRPr="00EC3BE9">
        <w:rPr>
          <w:rFonts w:ascii="Times New Roman" w:hAnsi="Times New Roman" w:cs="Times New Roman"/>
        </w:rPr>
        <w:t xml:space="preserve">TJMG, ED 00184029120158130479, Rel. Des. José Arthur Filho, 9ª CÂMARA CÍVEL, </w:t>
      </w:r>
      <w:proofErr w:type="spellStart"/>
      <w:r w:rsidR="00EC3BE9" w:rsidRPr="00EC3BE9">
        <w:rPr>
          <w:rFonts w:ascii="Times New Roman" w:hAnsi="Times New Roman" w:cs="Times New Roman"/>
        </w:rPr>
        <w:t>DJe</w:t>
      </w:r>
      <w:proofErr w:type="spellEnd"/>
      <w:r w:rsidR="00EC3BE9" w:rsidRPr="00EC3BE9">
        <w:rPr>
          <w:rFonts w:ascii="Times New Roman" w:hAnsi="Times New Roman" w:cs="Times New Roman"/>
        </w:rPr>
        <w:t xml:space="preserve"> 14/09/2018].</w:t>
      </w:r>
    </w:p>
    <w:p w14:paraId="28623FB1" w14:textId="7AA60AF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E o conteúdo do pedido formulado nos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deixa evidente a verdadeira finalidade da insurgência que o d. Juízo volte a investigar a existência de “</w:t>
      </w:r>
      <w:r w:rsidRPr="001952D6">
        <w:rPr>
          <w:rFonts w:ascii="Times New Roman" w:hAnsi="Times New Roman" w:cs="Times New Roman"/>
          <w:i/>
          <w:iCs/>
        </w:rPr>
        <w:t>justificativa técnica e empírica</w:t>
      </w:r>
      <w:r w:rsidRPr="00EC3BE9">
        <w:rPr>
          <w:rFonts w:ascii="Times New Roman" w:hAnsi="Times New Roman" w:cs="Times New Roman"/>
        </w:rPr>
        <w:t>” para o percentual 0,90 e, a partir daí, examine novamente a “</w:t>
      </w:r>
      <w:r w:rsidRPr="001952D6">
        <w:rPr>
          <w:rFonts w:ascii="Times New Roman" w:hAnsi="Times New Roman" w:cs="Times New Roman"/>
          <w:i/>
          <w:iCs/>
        </w:rPr>
        <w:t>validade do tratamento dos dados</w:t>
      </w:r>
      <w:r w:rsidRPr="00EC3BE9">
        <w:rPr>
          <w:rFonts w:ascii="Times New Roman" w:hAnsi="Times New Roman" w:cs="Times New Roman"/>
        </w:rPr>
        <w:t>” e o próprio “</w:t>
      </w:r>
      <w:r w:rsidRPr="001952D6">
        <w:rPr>
          <w:rFonts w:ascii="Times New Roman" w:hAnsi="Times New Roman" w:cs="Times New Roman"/>
          <w:i/>
          <w:iCs/>
        </w:rPr>
        <w:t>valor indenizatório</w:t>
      </w:r>
      <w:r w:rsidRPr="00EC3BE9">
        <w:rPr>
          <w:rFonts w:ascii="Times New Roman" w:hAnsi="Times New Roman" w:cs="Times New Roman"/>
        </w:rPr>
        <w:t xml:space="preserve">”. </w:t>
      </w:r>
    </w:p>
    <w:p w14:paraId="46CD9710" w14:textId="203CC7C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Ora, não se busca suprir omissão; busca-se reabrir o julgamento da prova técnica e modificar o resultado econômico da sentença, providência incompatível com a estreita função integrativa dos embargos declaratórios, pelo que se impõe SEJAM REJEITADOS OS ACLARATÓRIOS NESSE TÓPICO, na esteira do entendimento pretoriano pátrio.</w:t>
      </w:r>
    </w:p>
    <w:p w14:paraId="397582A4" w14:textId="6D23F398" w:rsidR="00EC3BE9" w:rsidRPr="001952D6" w:rsidRDefault="00EC3BE9" w:rsidP="00EC3BE9">
      <w:pPr>
        <w:ind w:right="-568"/>
        <w:jc w:val="both"/>
        <w:rPr>
          <w:rFonts w:ascii="Times New Roman" w:hAnsi="Times New Roman" w:cs="Times New Roman"/>
          <w:b/>
          <w:bCs/>
        </w:rPr>
      </w:pPr>
      <w:r w:rsidRPr="001952D6">
        <w:rPr>
          <w:rFonts w:ascii="Times New Roman" w:hAnsi="Times New Roman" w:cs="Times New Roman"/>
          <w:b/>
          <w:bCs/>
        </w:rPr>
        <w:t>IV-</w:t>
      </w:r>
      <w:r w:rsidR="001952D6" w:rsidRPr="001952D6">
        <w:rPr>
          <w:rFonts w:ascii="Times New Roman" w:hAnsi="Times New Roman" w:cs="Times New Roman"/>
          <w:b/>
          <w:bCs/>
        </w:rPr>
        <w:t xml:space="preserve"> </w:t>
      </w:r>
      <w:r w:rsidRPr="001952D6">
        <w:rPr>
          <w:rFonts w:ascii="Times New Roman" w:hAnsi="Times New Roman" w:cs="Times New Roman"/>
          <w:b/>
          <w:bCs/>
        </w:rPr>
        <w:t>A ATUALIZAÇÃO DOS DEPÓSITOS PRÉVIOS PARA A MESMA DATA-BASE DA AVALIAÇÃO – NECESSIDADE DE MERO ACLARAMENTO PARA A CORRETA LIQUIDAÇÃO DO JULGADO, SEM ALTERAÇÃO DA PREMISSA CENTRAL DA SENTENÇA</w:t>
      </w:r>
    </w:p>
    <w:p w14:paraId="60FB52BC" w14:textId="1745080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No que se refere à insurgência da embargante quanto à necessidade de equalização temporal entre os depósitos prévios realizados a título de imissão provisória na posse e o valor da indenização apurado pela perícia judicial, a expropriada entende que o ponto pode ser objeto de mero esclarecimento integrativo, precisamente para evitar dúvidas operacionais quando da futura liquidação do julgado.</w:t>
      </w:r>
    </w:p>
    <w:p w14:paraId="6E6A2401" w14:textId="4E52C20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v. sentença foi clara ao estabelecer que, reconhecida a diferença entre o montante depositado pela expropriante e o valor judicialmente arbitrado, a correção monetária deverá incidir apenas sobre a diferença indenizatória apurada. A premissa jurídica e econômica adotada no decisum é correta e deve ser integralmente preservada.</w:t>
      </w:r>
    </w:p>
    <w:p w14:paraId="4C71DEAE" w14:textId="57EB32B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questão suscitada nos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situa-se, contudo, em momento logicamente anterior: como apurar corretamente essa diferença quando o depósito prévio e a indenização judicial foram formados em datas distintas?</w:t>
      </w:r>
    </w:p>
    <w:p w14:paraId="79E751C9" w14:textId="6F98132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O comprovante de pagamento demonstra que a expropriante </w:t>
      </w:r>
      <w:r w:rsidR="001952D6">
        <w:rPr>
          <w:rFonts w:ascii="Times New Roman" w:hAnsi="Times New Roman" w:cs="Times New Roman"/>
        </w:rPr>
        <w:t>...</w:t>
      </w:r>
      <w:r w:rsidRPr="00EC3BE9">
        <w:rPr>
          <w:rFonts w:ascii="Times New Roman" w:hAnsi="Times New Roman" w:cs="Times New Roman"/>
        </w:rPr>
        <w:t xml:space="preserve"> realizou, em </w:t>
      </w:r>
      <w:r w:rsidR="001952D6">
        <w:rPr>
          <w:rFonts w:ascii="Times New Roman" w:hAnsi="Times New Roman" w:cs="Times New Roman"/>
        </w:rPr>
        <w:t>...</w:t>
      </w:r>
      <w:r w:rsidRPr="00EC3BE9">
        <w:rPr>
          <w:rFonts w:ascii="Times New Roman" w:hAnsi="Times New Roman" w:cs="Times New Roman"/>
        </w:rPr>
        <w:t xml:space="preserve">, depósito judicial no valor de R$ </w:t>
      </w:r>
      <w:r w:rsidR="001952D6">
        <w:rPr>
          <w:rFonts w:ascii="Times New Roman" w:hAnsi="Times New Roman" w:cs="Times New Roman"/>
        </w:rPr>
        <w:t>...</w:t>
      </w:r>
      <w:r w:rsidRPr="00EC3BE9">
        <w:rPr>
          <w:rFonts w:ascii="Times New Roman" w:hAnsi="Times New Roman" w:cs="Times New Roman"/>
        </w:rPr>
        <w:t xml:space="preserve"> [</w:t>
      </w:r>
      <w:r w:rsidR="001952D6">
        <w:rPr>
          <w:rFonts w:ascii="Times New Roman" w:hAnsi="Times New Roman" w:cs="Times New Roman"/>
        </w:rPr>
        <w:t>...</w:t>
      </w:r>
      <w:r w:rsidRPr="00EC3BE9">
        <w:rPr>
          <w:rFonts w:ascii="Times New Roman" w:hAnsi="Times New Roman" w:cs="Times New Roman"/>
        </w:rPr>
        <w:t xml:space="preserve">], destinado à imissão inicial na posse [Eventos </w:t>
      </w:r>
      <w:r w:rsidR="001952D6">
        <w:rPr>
          <w:rFonts w:ascii="Times New Roman" w:hAnsi="Times New Roman" w:cs="Times New Roman"/>
        </w:rPr>
        <w:t>...</w:t>
      </w:r>
      <w:r w:rsidRPr="00EC3BE9">
        <w:rPr>
          <w:rFonts w:ascii="Times New Roman" w:hAnsi="Times New Roman" w:cs="Times New Roman"/>
        </w:rPr>
        <w:t xml:space="preserve">]. </w:t>
      </w:r>
    </w:p>
    <w:p w14:paraId="4B274B14" w14:textId="1E5A775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Nessa documentação do Sistema de Depósitos Judiciais do Tribunal de Justiça de </w:t>
      </w:r>
      <w:r w:rsidR="001952D6">
        <w:rPr>
          <w:rFonts w:ascii="Times New Roman" w:hAnsi="Times New Roman" w:cs="Times New Roman"/>
        </w:rPr>
        <w:t xml:space="preserve">... </w:t>
      </w:r>
      <w:r w:rsidRPr="00EC3BE9">
        <w:rPr>
          <w:rFonts w:ascii="Times New Roman" w:hAnsi="Times New Roman" w:cs="Times New Roman"/>
        </w:rPr>
        <w:t xml:space="preserve"> consta igualmente o ingresso desse montante na subconta vinculada ao processo, com identificação da operação como “</w:t>
      </w:r>
      <w:r w:rsidRPr="001952D6">
        <w:rPr>
          <w:rFonts w:ascii="Times New Roman" w:hAnsi="Times New Roman" w:cs="Times New Roman"/>
          <w:i/>
          <w:iCs/>
        </w:rPr>
        <w:t>Depósito Judicial – IMISSÃO – INICIAL – MACEKOFE</w:t>
      </w:r>
      <w:r w:rsidRPr="00EC3BE9">
        <w:rPr>
          <w:rFonts w:ascii="Times New Roman" w:hAnsi="Times New Roman" w:cs="Times New Roman"/>
        </w:rPr>
        <w:t>”.</w:t>
      </w:r>
    </w:p>
    <w:p w14:paraId="152DE34E" w14:textId="125A5A8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 Já o valor da justa indenização foi apurado pelo perito judicial em data-base posterior, </w:t>
      </w:r>
      <w:r w:rsidR="001952D6">
        <w:rPr>
          <w:rFonts w:ascii="Times New Roman" w:hAnsi="Times New Roman" w:cs="Times New Roman"/>
        </w:rPr>
        <w:t>...</w:t>
      </w:r>
    </w:p>
    <w:p w14:paraId="582B7662" w14:textId="4575BDC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Logo, para que se possa determinar corretamente qual parcela da obrigação ainda remanesce naquela data, não é recomendável confrontar, de forma puramente nominal, uma quantia depositada em </w:t>
      </w:r>
      <w:r w:rsidR="001952D6">
        <w:rPr>
          <w:rFonts w:ascii="Times New Roman" w:hAnsi="Times New Roman" w:cs="Times New Roman"/>
        </w:rPr>
        <w:t>...</w:t>
      </w:r>
      <w:r w:rsidRPr="00EC3BE9">
        <w:rPr>
          <w:rFonts w:ascii="Times New Roman" w:hAnsi="Times New Roman" w:cs="Times New Roman"/>
        </w:rPr>
        <w:t xml:space="preserve"> com um valor indenizatório calculado em </w:t>
      </w:r>
      <w:r w:rsidR="001952D6">
        <w:rPr>
          <w:rFonts w:ascii="Times New Roman" w:hAnsi="Times New Roman" w:cs="Times New Roman"/>
        </w:rPr>
        <w:t>...</w:t>
      </w:r>
    </w:p>
    <w:p w14:paraId="166965B8" w14:textId="50FD4F55"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preocupação da expropriada, portanto, é eminentemente prática: evitar que, na fase de liquidação, surja controvérsia acerca de qual valor do depósito deverá ser abatido da indenização fixada judicialmente.</w:t>
      </w:r>
    </w:p>
    <w:p w14:paraId="39F0AE1D" w14:textId="25C2F399"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 xml:space="preserve">Nesse contexto, não se opõe a embargada a que o julgado seja integrado para explicitar que, exclusivamente para fins de apuração do saldo indenizatório, o depósito efetuado em </w:t>
      </w:r>
      <w:r w:rsidR="001952D6">
        <w:rPr>
          <w:rFonts w:ascii="Times New Roman" w:hAnsi="Times New Roman" w:cs="Times New Roman"/>
        </w:rPr>
        <w:t>...</w:t>
      </w:r>
      <w:r w:rsidRPr="00EC3BE9">
        <w:rPr>
          <w:rFonts w:ascii="Times New Roman" w:hAnsi="Times New Roman" w:cs="Times New Roman"/>
        </w:rPr>
        <w:t xml:space="preserve">, no valor histórico de R$ </w:t>
      </w:r>
      <w:r w:rsidR="001952D6">
        <w:rPr>
          <w:rFonts w:ascii="Times New Roman" w:hAnsi="Times New Roman" w:cs="Times New Roman"/>
        </w:rPr>
        <w:t>...</w:t>
      </w:r>
      <w:r w:rsidRPr="00EC3BE9">
        <w:rPr>
          <w:rFonts w:ascii="Times New Roman" w:hAnsi="Times New Roman" w:cs="Times New Roman"/>
        </w:rPr>
        <w:t xml:space="preserve"> [</w:t>
      </w:r>
      <w:r w:rsidR="001952D6">
        <w:rPr>
          <w:rFonts w:ascii="Times New Roman" w:hAnsi="Times New Roman" w:cs="Times New Roman"/>
        </w:rPr>
        <w:t>...</w:t>
      </w:r>
      <w:r w:rsidRPr="00EC3BE9">
        <w:rPr>
          <w:rFonts w:ascii="Times New Roman" w:hAnsi="Times New Roman" w:cs="Times New Roman"/>
        </w:rPr>
        <w:t xml:space="preserve">], deverão ser levados à mesma referência temporal da avaliação judicial, ou seja, </w:t>
      </w:r>
      <w:r w:rsidR="001952D6">
        <w:rPr>
          <w:rFonts w:ascii="Times New Roman" w:hAnsi="Times New Roman" w:cs="Times New Roman"/>
        </w:rPr>
        <w:t>...</w:t>
      </w:r>
      <w:r w:rsidRPr="00EC3BE9">
        <w:rPr>
          <w:rFonts w:ascii="Times New Roman" w:hAnsi="Times New Roman" w:cs="Times New Roman"/>
        </w:rPr>
        <w:t>, mediante consideração da atualização ou dos rendimentos efetivamente correspondentes ao período.</w:t>
      </w:r>
    </w:p>
    <w:p w14:paraId="7B2CDF76" w14:textId="4308065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Esse esclarecimento, contudo, deve vir acompanhado de duas ressalvas essenciais.</w:t>
      </w:r>
    </w:p>
    <w:p w14:paraId="4A9BDF50" w14:textId="42ACEF7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Primeiro, não se trata de reconhecer crédito autônomo de atualização monetária em favor da expropriante, mas unicamente de estabelecer equivalência temporal entre as parcelas que serão confrontadas para formação do saldo. A atualização do depósito tem função exclusivamente instrumental: permitir que se saiba, em termos econômicos equivalentes, quanto da indenização já havia sido previamente satisfeita.</w:t>
      </w:r>
    </w:p>
    <w:p w14:paraId="58D2EF08" w14:textId="7F6C0DC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Segundo, deve ser expressamente vedada qualquer forma de dupla atualização. Se o numerário depositado judicialmente sofreu correção ou auferiu rendimentos na respectiva subconta, tais valores deverão ser devidamente considerados na liquidação, sem sobreposição de índices ou repetição de acréscimos sobre o mesmo período.</w:t>
      </w:r>
    </w:p>
    <w:p w14:paraId="5BFD4E4A" w14:textId="2434BE4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operação, assim, deve observar lógica simples e objetiva: primeiramente, equalizam-se temporalmente o valor da indenização e os depósitos prévios na data-base de </w:t>
      </w:r>
      <w:r w:rsidR="001952D6">
        <w:rPr>
          <w:rFonts w:ascii="Times New Roman" w:hAnsi="Times New Roman" w:cs="Times New Roman"/>
        </w:rPr>
        <w:t>...</w:t>
      </w:r>
      <w:r w:rsidRPr="00EC3BE9">
        <w:rPr>
          <w:rFonts w:ascii="Times New Roman" w:hAnsi="Times New Roman" w:cs="Times New Roman"/>
        </w:rPr>
        <w:t>; em seguida, procede-se ao abatimento; e somente sobre o saldo remanescente daí resultante incidem os consectários posteriores determinados pela sentença.</w:t>
      </w:r>
    </w:p>
    <w:p w14:paraId="733D0779" w14:textId="167463A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Desse modo, eventual acolhimento dos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neste particular deve possuir natureza estritamente </w:t>
      </w:r>
      <w:proofErr w:type="spellStart"/>
      <w:r w:rsidRPr="00EC3BE9">
        <w:rPr>
          <w:rFonts w:ascii="Times New Roman" w:hAnsi="Times New Roman" w:cs="Times New Roman"/>
        </w:rPr>
        <w:t>aclaratória</w:t>
      </w:r>
      <w:proofErr w:type="spellEnd"/>
      <w:r w:rsidRPr="00EC3BE9">
        <w:rPr>
          <w:rFonts w:ascii="Times New Roman" w:hAnsi="Times New Roman" w:cs="Times New Roman"/>
        </w:rPr>
        <w:t xml:space="preserve"> e integrativa, sem qualquer modificação da premissa central já firmada no julgado. </w:t>
      </w:r>
    </w:p>
    <w:p w14:paraId="563ED2BE" w14:textId="0A1F46C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 que se pretende deixar assentado é apenas que a diferença indenizatória deve ser formada por valores comparáveis em uma mesma data-base, preservando-se, depois disso, integralmente o comando sentencial segundo o qual a correção monetária e os demais consectários posteriores recaem apenas sobre a quantia efetivamente remanescente.</w:t>
      </w:r>
    </w:p>
    <w:p w14:paraId="66068A6C" w14:textId="6CE9E1C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providência se mostra, inclusive, salutar para a estabilidade futura do título judicial, pois elimina de pronto </w:t>
      </w:r>
      <w:proofErr w:type="gramStart"/>
      <w:r w:rsidRPr="00EC3BE9">
        <w:rPr>
          <w:rFonts w:ascii="Times New Roman" w:hAnsi="Times New Roman" w:cs="Times New Roman"/>
        </w:rPr>
        <w:t>uma potencial</w:t>
      </w:r>
      <w:proofErr w:type="gramEnd"/>
      <w:r w:rsidRPr="00EC3BE9">
        <w:rPr>
          <w:rFonts w:ascii="Times New Roman" w:hAnsi="Times New Roman" w:cs="Times New Roman"/>
        </w:rPr>
        <w:t xml:space="preserve"> fonte de controvérsia na liquidação e assegura que a execução observe exatamente a lógica econômica da indenização fixada pelo Juízo.</w:t>
      </w:r>
    </w:p>
    <w:p w14:paraId="2DD2F194" w14:textId="01457CE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Diante disso, caso V. Exa. entenda necessário suprir a omissão apontada, requer a embargada que a integração do julgado seja redigida em termos expressos no sentido de que, para fins exclusivos de liquidação e correta apuração da diferença indenizatória, os depósitos prévios realizados pela expropriante ---inclusive o depósito de R$ </w:t>
      </w:r>
      <w:r w:rsidR="001952D6">
        <w:rPr>
          <w:rFonts w:ascii="Times New Roman" w:hAnsi="Times New Roman" w:cs="Times New Roman"/>
        </w:rPr>
        <w:t>...</w:t>
      </w:r>
      <w:r w:rsidRPr="00EC3BE9">
        <w:rPr>
          <w:rFonts w:ascii="Times New Roman" w:hAnsi="Times New Roman" w:cs="Times New Roman"/>
        </w:rPr>
        <w:t xml:space="preserve"> efetuado em </w:t>
      </w:r>
      <w:r w:rsidR="001952D6">
        <w:rPr>
          <w:rFonts w:ascii="Times New Roman" w:hAnsi="Times New Roman" w:cs="Times New Roman"/>
        </w:rPr>
        <w:t>...</w:t>
      </w:r>
      <w:r w:rsidRPr="00EC3BE9">
        <w:rPr>
          <w:rFonts w:ascii="Times New Roman" w:hAnsi="Times New Roman" w:cs="Times New Roman"/>
        </w:rPr>
        <w:t xml:space="preserve">--- sejam considerados em valor temporalmente equivalente à data-base da avaliação judicial, fixada em </w:t>
      </w:r>
      <w:r w:rsidR="001952D6">
        <w:rPr>
          <w:rFonts w:ascii="Times New Roman" w:hAnsi="Times New Roman" w:cs="Times New Roman"/>
        </w:rPr>
        <w:t>...</w:t>
      </w:r>
      <w:r w:rsidRPr="00EC3BE9">
        <w:rPr>
          <w:rFonts w:ascii="Times New Roman" w:hAnsi="Times New Roman" w:cs="Times New Roman"/>
        </w:rPr>
        <w:t>, computando-se a atualização monetária ou os rendimentos efetivamente correspondentes ao período, sempre vedada qualquer duplicidade de incidência. Apurado o valor atualizado dos depósitos na mesma data-base da indenização, deverá ser efetuado o respectivo abatimento, incidindo os consectários legais posteriores exclusivamente sobre o saldo remanescente da diferença indenizatória.</w:t>
      </w:r>
    </w:p>
    <w:p w14:paraId="2C6E92C5" w14:textId="61D4E25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 xml:space="preserve">Requer, ainda, que conste expressamente que tal integração possui caráter exclusivamente </w:t>
      </w:r>
      <w:proofErr w:type="spellStart"/>
      <w:r w:rsidRPr="00EC3BE9">
        <w:rPr>
          <w:rFonts w:ascii="Times New Roman" w:hAnsi="Times New Roman" w:cs="Times New Roman"/>
        </w:rPr>
        <w:t>aclaratório</w:t>
      </w:r>
      <w:proofErr w:type="spellEnd"/>
      <w:r w:rsidRPr="00EC3BE9">
        <w:rPr>
          <w:rFonts w:ascii="Times New Roman" w:hAnsi="Times New Roman" w:cs="Times New Roman"/>
        </w:rPr>
        <w:t>, sem modificação do critério central já estabelecido na sentença, sem reconhecimento de crédito autônomo em favor da expropriante e sem autorização para cumulação de índices ou atualização em duplicidade, destinando-se apenas a tornar o título judicial suficientemente preciso para a futura liquidação.</w:t>
      </w:r>
    </w:p>
    <w:p w14:paraId="3BAF0EAB" w14:textId="04064D2C" w:rsidR="00EC3BE9" w:rsidRPr="001952D6" w:rsidRDefault="00EC3BE9" w:rsidP="00EC3BE9">
      <w:pPr>
        <w:ind w:right="-568"/>
        <w:jc w:val="both"/>
        <w:rPr>
          <w:rFonts w:ascii="Times New Roman" w:hAnsi="Times New Roman" w:cs="Times New Roman"/>
          <w:b/>
          <w:bCs/>
        </w:rPr>
      </w:pPr>
      <w:r w:rsidRPr="001952D6">
        <w:rPr>
          <w:rFonts w:ascii="Times New Roman" w:hAnsi="Times New Roman" w:cs="Times New Roman"/>
          <w:b/>
          <w:bCs/>
        </w:rPr>
        <w:t>V-</w:t>
      </w:r>
      <w:r w:rsidR="001952D6" w:rsidRPr="001952D6">
        <w:rPr>
          <w:rFonts w:ascii="Times New Roman" w:hAnsi="Times New Roman" w:cs="Times New Roman"/>
          <w:b/>
          <w:bCs/>
        </w:rPr>
        <w:t xml:space="preserve"> </w:t>
      </w:r>
      <w:r w:rsidRPr="001952D6">
        <w:rPr>
          <w:rFonts w:ascii="Times New Roman" w:hAnsi="Times New Roman" w:cs="Times New Roman"/>
          <w:b/>
          <w:bCs/>
        </w:rPr>
        <w:t>IMPROCEDÊNCIA DA PRETENDIDA EXCLUSÃO DA TAXA SELIC</w:t>
      </w:r>
    </w:p>
    <w:p w14:paraId="3A317ECE" w14:textId="13A9168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Via Processual Inadequada: a matéria não comporta solução por embargos de declaração.</w:t>
      </w:r>
    </w:p>
    <w:p w14:paraId="35F8107A" w14:textId="58D26228"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r. sentença não foi omissa quanto ao índice de atualização monetária: ao contrário, enfrentou expressamente a questão, fundamentando de forma clara e motivada a incidência do art. 3º da EC 113/2021 a partir da data-base do laudo pericial, com apoio nas Súmulas 67 do STJ e 561 do STF. Houve, portanto, pronunciamento expresso e fundamentado sobre a matéria — o que, por definição, afasta a hipótese de omissão [art. 1.022, II, CPC].</w:t>
      </w:r>
    </w:p>
    <w:p w14:paraId="6A2FBB21" w14:textId="1A0C7C73"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O que a embargante pretende, em rigor, é a substituição do critério jurídico adotado pelo Juízo por outro que lhe é mais favorável, o que é matéria própria de apelação [art. 1.009 do CPC], e não de embargos de declaração. </w:t>
      </w:r>
    </w:p>
    <w:p w14:paraId="39F1A7AE" w14:textId="6C0F16C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Admitir que a mera indicação de uma tese jurídica alternativa, ainda que amparada em precedentes de outros tribunais, configure "</w:t>
      </w:r>
      <w:r w:rsidRPr="001952D6">
        <w:rPr>
          <w:rFonts w:ascii="Times New Roman" w:hAnsi="Times New Roman" w:cs="Times New Roman"/>
          <w:i/>
          <w:iCs/>
        </w:rPr>
        <w:t>erro de premissa</w:t>
      </w:r>
      <w:r w:rsidRPr="00EC3BE9">
        <w:rPr>
          <w:rFonts w:ascii="Times New Roman" w:hAnsi="Times New Roman" w:cs="Times New Roman"/>
        </w:rPr>
        <w:t>" corrigível por embargos equivaleria a converter esse recurso em sucedâneo recursal amplo, com desvirtuamento de sua finalidade constitucional e infraconstitucional.</w:t>
      </w:r>
    </w:p>
    <w:p w14:paraId="294E5ABF" w14:textId="19E8AED3"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Nesse sentido, requer em caráter preliminar, o não conhecimento do tópico III.3 dos embargos, por inadequação da via eleita, devendo a matéria, se a embargante assim entender, ser reservada à apelação, quando poderá ser submetida a cognição exauriente, com efeito devolutivo amplo e em contraditório pleno perante o Tribunal.</w:t>
      </w:r>
    </w:p>
    <w:p w14:paraId="0D38AB93" w14:textId="3393B1C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Ainda que superada a preliminar acima, a tese ora suscitada configura inovação processual indevida. Compulsando os autos, verifica-se que, ao longo de mais de seis anos de tramitação [petição inicial, contestação, réplica, laudo pericial, esclarecimentos periciais e alegações finais (evento </w:t>
      </w:r>
      <w:r w:rsidR="001952D6">
        <w:rPr>
          <w:rFonts w:ascii="Times New Roman" w:hAnsi="Times New Roman" w:cs="Times New Roman"/>
        </w:rPr>
        <w:t>...</w:t>
      </w:r>
      <w:r w:rsidRPr="00EC3BE9">
        <w:rPr>
          <w:rFonts w:ascii="Times New Roman" w:hAnsi="Times New Roman" w:cs="Times New Roman"/>
        </w:rPr>
        <w:t xml:space="preserve">)], a expropriante jamais suscitou a questão de sua própria natureza jurídica de direito privado como óbice à aplicação do art. 3º da EC 113/2021. </w:t>
      </w:r>
    </w:p>
    <w:p w14:paraId="6C059452" w14:textId="4418C23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Ao contrário: a autora sempre atuou nos autos em conformidade com o regime processual comumente aplicado às desapropriações por utilidade pública, sem qualquer ressalva quanto ao índice de atualização a ser eventualmente aplicado à indenização.</w:t>
      </w:r>
    </w:p>
    <w:p w14:paraId="0C9EB4E4" w14:textId="04E083E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Sem prejuízo das razões processuais acima, e para que não se alegue ausência de impugnação específica, a embargada passa a impugnar o mérito da tese.</w:t>
      </w:r>
    </w:p>
    <w:p w14:paraId="4D95B2E6" w14:textId="3431751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indenização decorre de ato de utilidade pública e atende a finalidade de interesse público nacional, o que autoriza tratamento equiparado</w:t>
      </w:r>
    </w:p>
    <w:p w14:paraId="02FCFB79" w14:textId="6866897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desapropriação em exame não é uma relação de direito privado comum. Decorre de Decreto Presidencial e de declaração de utilidade pública editada pela ANEEL, autarquia federal, no exercício de competência regulatória sobre o setor elétrico nacional [Resolução n. 5.105/2015], </w:t>
      </w:r>
      <w:r w:rsidRPr="00EC3BE9">
        <w:rPr>
          <w:rFonts w:ascii="Times New Roman" w:hAnsi="Times New Roman" w:cs="Times New Roman"/>
        </w:rPr>
        <w:lastRenderedPageBreak/>
        <w:t>tendo por finalidade a implantação de empreendimento de geração de energia elétrica de interesse estratégico nacional.</w:t>
      </w:r>
    </w:p>
    <w:p w14:paraId="7B367ED1" w14:textId="40B563D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delegação da função expropriatória à concessionária [art. 3º do DL 3.365/1941] não desnatura a origem estatal do ato que fundamenta a desapropriação, nem a finalidade pública que a indenização visa a satisfazer em contrapartida. A concessionária atua, nesse específico ato, como </w:t>
      </w:r>
      <w:r w:rsidRPr="001952D6">
        <w:rPr>
          <w:rFonts w:ascii="Times New Roman" w:hAnsi="Times New Roman" w:cs="Times New Roman"/>
          <w:i/>
          <w:iCs/>
        </w:rPr>
        <w:t xml:space="preserve">longa </w:t>
      </w:r>
      <w:proofErr w:type="spellStart"/>
      <w:r w:rsidRPr="001952D6">
        <w:rPr>
          <w:rFonts w:ascii="Times New Roman" w:hAnsi="Times New Roman" w:cs="Times New Roman"/>
          <w:i/>
          <w:iCs/>
        </w:rPr>
        <w:t>manus</w:t>
      </w:r>
      <w:proofErr w:type="spellEnd"/>
      <w:r w:rsidRPr="00EC3BE9">
        <w:rPr>
          <w:rFonts w:ascii="Times New Roman" w:hAnsi="Times New Roman" w:cs="Times New Roman"/>
        </w:rPr>
        <w:t xml:space="preserve"> do Poder Concedente, executando competência que, materialmente, é estatal. </w:t>
      </w:r>
    </w:p>
    <w:p w14:paraId="09DE7376" w14:textId="09C40A5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Não se trata de mera relação obrigacional privada entre particulares, mas de exercício de prerrogativa de direito público [a supressão compulsória da propriedade alheia], simplesmente operacionalizada por delegação a ente privado por razões de eficiência regulatória. </w:t>
      </w:r>
    </w:p>
    <w:p w14:paraId="40F3D2FC" w14:textId="40CE9B2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Se a jurisprudência admite que a concessionária se beneficie das prerrogativas ligadas ao exercício da função expropriatória ---o próprio poder de desapropriar, que é atributo estatal por excelência---, não é coerente que, no mesmo processo, ela invoque sua condição de mera pessoa jurídica de direito privado para se eximir dos consectários que tradicionalmente acompanham as ações desapropriatórias movidas em nome do interesse público. </w:t>
      </w:r>
    </w:p>
    <w:p w14:paraId="2D526924" w14:textId="512218C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Trata-se de postura contraditória: aproveitar-se do regime público quando este lhe favorece -o poder de desapropriar- e refugiar-se no regime privado quando este lhe é economicamente mais vantajoso -o índice de atualização da indenização.</w:t>
      </w:r>
    </w:p>
    <w:p w14:paraId="2A0465F0" w14:textId="241E6C2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garantia constitucional da justa indenização [art. 5º, XXIV, CF] impõe a manutenção do índice que efetivamente recomponha o valor da propriedade suprimida</w:t>
      </w:r>
    </w:p>
    <w:p w14:paraId="655FAC5F" w14:textId="3E28F648"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Constituição Federal assegura, como cláusula pétrea inerente ao direito de propriedade, que a desapropriação somente se legitima mediante indenização justa, prévia e em dinheiro [art. 5º, XXIV, CF]. O conceito de "</w:t>
      </w:r>
      <w:r w:rsidRPr="001952D6">
        <w:rPr>
          <w:rFonts w:ascii="Times New Roman" w:hAnsi="Times New Roman" w:cs="Times New Roman"/>
          <w:i/>
          <w:iCs/>
        </w:rPr>
        <w:t>justa indenização</w:t>
      </w:r>
      <w:r w:rsidRPr="00EC3BE9">
        <w:rPr>
          <w:rFonts w:ascii="Times New Roman" w:hAnsi="Times New Roman" w:cs="Times New Roman"/>
        </w:rPr>
        <w:t xml:space="preserve">" não se limita ao valor nominal fixado por ocasião do laudo pericial: compreende também a garantia de que esse valor não seja corroído pelo decurso do tempo processual até o efetivo pagamento. </w:t>
      </w:r>
    </w:p>
    <w:p w14:paraId="0A9F5238" w14:textId="5D915EF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No caso concreto, a ação tramita desde </w:t>
      </w:r>
      <w:r w:rsidR="001952D6">
        <w:rPr>
          <w:rFonts w:ascii="Times New Roman" w:hAnsi="Times New Roman" w:cs="Times New Roman"/>
        </w:rPr>
        <w:t>...</w:t>
      </w:r>
      <w:r w:rsidRPr="00EC3BE9">
        <w:rPr>
          <w:rFonts w:ascii="Times New Roman" w:hAnsi="Times New Roman" w:cs="Times New Roman"/>
        </w:rPr>
        <w:t xml:space="preserve">, tendo a sentença sido proferida somente em </w:t>
      </w:r>
      <w:r w:rsidR="001952D6">
        <w:rPr>
          <w:rFonts w:ascii="Times New Roman" w:hAnsi="Times New Roman" w:cs="Times New Roman"/>
        </w:rPr>
        <w:t>...</w:t>
      </w:r>
      <w:r w:rsidRPr="00EC3BE9">
        <w:rPr>
          <w:rFonts w:ascii="Times New Roman" w:hAnsi="Times New Roman" w:cs="Times New Roman"/>
        </w:rPr>
        <w:t xml:space="preserve">, ou seja, mais de seis anos depois. Durante esse período, a taxa SELIC não apenas remunerou o capital, mas também refletiu, com maior fidelidade que os índices genéricos de preços ao consumidor, o custo de oportunidade do dinheiro no mercado brasileiro, atualmente fixado em patamar de 14% ao ano pelo Comitê de Política Monetária do Banco Central. </w:t>
      </w:r>
    </w:p>
    <w:p w14:paraId="3998D32D" w14:textId="2CF43A8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Substituir esse índice pelo IPCA-E, sensivelmente inferior, em nada altera a mora do devedor nem a demora inerente ao processo, mas transfere ao expropriado o ônus econômico dessa demora, em contrariedade à própria razão de ser da correção monetária e da garantia constitucional de indenização justa. </w:t>
      </w:r>
    </w:p>
    <w:p w14:paraId="36EA2E07" w14:textId="307684B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Ainda que se reconheça que o art. 3º da EC 113/2021, em sua estrutura formal, tenha como destinatário típico a Fazenda Pública, nada impede que o Juízo, no exercício de seu papel na concretização do princípio constitucional da justa indenização, adote a taxa SELIC como parâmetro de recomposição monetária mais adequado à hipótese concreta;  não como aplicação direta e </w:t>
      </w:r>
      <w:r w:rsidRPr="001952D6">
        <w:rPr>
          <w:rFonts w:ascii="Times New Roman" w:hAnsi="Times New Roman" w:cs="Times New Roman"/>
          <w:i/>
          <w:iCs/>
        </w:rPr>
        <w:t>stricto sensu</w:t>
      </w:r>
      <w:r w:rsidRPr="00EC3BE9">
        <w:rPr>
          <w:rFonts w:ascii="Times New Roman" w:hAnsi="Times New Roman" w:cs="Times New Roman"/>
        </w:rPr>
        <w:t xml:space="preserve"> do dispositivo constitucional invocado, mas como critério substitutivo </w:t>
      </w:r>
      <w:r w:rsidRPr="00EC3BE9">
        <w:rPr>
          <w:rFonts w:ascii="Times New Roman" w:hAnsi="Times New Roman" w:cs="Times New Roman"/>
        </w:rPr>
        <w:lastRenderedPageBreak/>
        <w:t xml:space="preserve">idôneo, à luz da vedação ao enriquecimento sem causa e da principiologia que rege a desapropriação. </w:t>
      </w:r>
    </w:p>
    <w:p w14:paraId="5439E099" w14:textId="4DCD5BD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 menção ao art. 3º da EC 113/2021 na fundamentação da sentença pode ser compreendida como referência ao parâmetro numérico consagrado por aquele dispositivo, sem que a conclusão dependa, para sua subsistência, da qualificação subjetiva da expropriante como Fazenda Pública em sentido estrito.</w:t>
      </w:r>
    </w:p>
    <w:p w14:paraId="451D8D63" w14:textId="5A49CD6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 precedente invocado pela embargante [TJPR/Sanepar] não é aplicável ao caso: trata de matéria diversa</w:t>
      </w:r>
    </w:p>
    <w:p w14:paraId="19C5DADF" w14:textId="5C5ACBE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O precedente do Tribunal de Justiça do Paraná citado pela embargante versa sobre o termo inicial dos juros moratórios [art. 15-B do DL 3.365/1941] em desapropriação indireta promovida por sociedade de economia mista prestadora de serviço de saneamento --- matéria distinta da ora discutida, que envolve o índice de correção monetária e de compensação da mora aplicável à totalidade do período de tramitação processual. </w:t>
      </w:r>
    </w:p>
    <w:p w14:paraId="47A17CF4" w14:textId="224C4531" w:rsidR="00EC3BE9" w:rsidRPr="00EC3BE9" w:rsidRDefault="00EC3BE9" w:rsidP="00EC3BE9">
      <w:pPr>
        <w:ind w:right="-568"/>
        <w:jc w:val="both"/>
        <w:rPr>
          <w:rFonts w:ascii="Times New Roman" w:hAnsi="Times New Roman" w:cs="Times New Roman"/>
        </w:rPr>
      </w:pPr>
      <w:proofErr w:type="gramStart"/>
      <w:r w:rsidRPr="00EC3BE9">
        <w:rPr>
          <w:rFonts w:ascii="Times New Roman" w:hAnsi="Times New Roman" w:cs="Times New Roman"/>
        </w:rPr>
        <w:t>A  distinção</w:t>
      </w:r>
      <w:proofErr w:type="gramEnd"/>
      <w:r w:rsidRPr="00EC3BE9">
        <w:rPr>
          <w:rFonts w:ascii="Times New Roman" w:hAnsi="Times New Roman" w:cs="Times New Roman"/>
        </w:rPr>
        <w:t xml:space="preserve"> é relevante: o art. 15-B disciplina o momento a partir do qual se computam os juros moratórios, tema vinculado ao calendário de pagamento de precatórios; já o art. 3º da EC 113/2021, na fundamentação da sentença, foi utilizado como índice de atualização monetária e de juros combinados, aplicável a partir da data-base do laudo pericial. </w:t>
      </w:r>
    </w:p>
    <w:p w14:paraId="4B75C63E" w14:textId="63072318"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São questões jurídicas autônomas, e a jurisprudência sobre uma não se transplanta automaticamente para a outra. A embargante, ao equiparar os dois institutos, incorre em generalização indevida que não encontra respaldo na </w:t>
      </w:r>
      <w:proofErr w:type="spellStart"/>
      <w:r w:rsidRPr="001952D6">
        <w:rPr>
          <w:rFonts w:ascii="Times New Roman" w:hAnsi="Times New Roman" w:cs="Times New Roman"/>
          <w:i/>
          <w:iCs/>
        </w:rPr>
        <w:t>ratio</w:t>
      </w:r>
      <w:proofErr w:type="spellEnd"/>
      <w:r w:rsidRPr="001952D6">
        <w:rPr>
          <w:rFonts w:ascii="Times New Roman" w:hAnsi="Times New Roman" w:cs="Times New Roman"/>
          <w:i/>
          <w:iCs/>
        </w:rPr>
        <w:t xml:space="preserve"> </w:t>
      </w:r>
      <w:proofErr w:type="spellStart"/>
      <w:r w:rsidRPr="001952D6">
        <w:rPr>
          <w:rFonts w:ascii="Times New Roman" w:hAnsi="Times New Roman" w:cs="Times New Roman"/>
          <w:i/>
          <w:iCs/>
        </w:rPr>
        <w:t>decidendi</w:t>
      </w:r>
      <w:proofErr w:type="spellEnd"/>
      <w:r w:rsidRPr="00EC3BE9">
        <w:rPr>
          <w:rFonts w:ascii="Times New Roman" w:hAnsi="Times New Roman" w:cs="Times New Roman"/>
        </w:rPr>
        <w:t xml:space="preserve"> do precedente invocado.</w:t>
      </w:r>
    </w:p>
    <w:p w14:paraId="2B4087A3" w14:textId="23DA35B3"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Distinção necessária entre "</w:t>
      </w:r>
      <w:r w:rsidRPr="001952D6">
        <w:rPr>
          <w:rFonts w:ascii="Times New Roman" w:hAnsi="Times New Roman" w:cs="Times New Roman"/>
          <w:i/>
          <w:iCs/>
        </w:rPr>
        <w:t>redação vigente à data da sentença</w:t>
      </w:r>
      <w:r w:rsidRPr="00EC3BE9">
        <w:rPr>
          <w:rFonts w:ascii="Times New Roman" w:hAnsi="Times New Roman" w:cs="Times New Roman"/>
        </w:rPr>
        <w:t>" e "</w:t>
      </w:r>
      <w:r w:rsidRPr="001952D6">
        <w:rPr>
          <w:rFonts w:ascii="Times New Roman" w:hAnsi="Times New Roman" w:cs="Times New Roman"/>
          <w:i/>
          <w:iCs/>
        </w:rPr>
        <w:t>redação aplicável ao período de mora</w:t>
      </w:r>
      <w:r w:rsidRPr="00EC3BE9">
        <w:rPr>
          <w:rFonts w:ascii="Times New Roman" w:hAnsi="Times New Roman" w:cs="Times New Roman"/>
        </w:rPr>
        <w:t xml:space="preserve">" </w:t>
      </w:r>
    </w:p>
    <w:p w14:paraId="65A0349B" w14:textId="5447046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Ainda que se reconheça que a redação da EC 113/2021, conferida pela EC 136/2025, restringiu formalmente sua incidência a requisitórios da Fazenda Pública federal, essa redação não é retroativa e não tem o condão de desconstituir, para o passado, a incidência de índices já consolidados no período de vigência da redação originária [</w:t>
      </w:r>
      <w:r w:rsidR="001952D6">
        <w:rPr>
          <w:rFonts w:ascii="Times New Roman" w:hAnsi="Times New Roman" w:cs="Times New Roman"/>
        </w:rPr>
        <w:t>...</w:t>
      </w:r>
      <w:r w:rsidRPr="00EC3BE9">
        <w:rPr>
          <w:rFonts w:ascii="Times New Roman" w:hAnsi="Times New Roman" w:cs="Times New Roman"/>
        </w:rPr>
        <w:t xml:space="preserve"> a </w:t>
      </w:r>
      <w:r w:rsidR="001952D6">
        <w:rPr>
          <w:rFonts w:ascii="Times New Roman" w:hAnsi="Times New Roman" w:cs="Times New Roman"/>
        </w:rPr>
        <w:t>...</w:t>
      </w:r>
      <w:r w:rsidRPr="00EC3BE9">
        <w:rPr>
          <w:rFonts w:ascii="Times New Roman" w:hAnsi="Times New Roman" w:cs="Times New Roman"/>
        </w:rPr>
        <w:t>].</w:t>
      </w:r>
    </w:p>
    <w:p w14:paraId="33CAA802" w14:textId="5BBECF9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Ainda que se viesse a afastar a SELIC para o período posterior a </w:t>
      </w:r>
      <w:r w:rsidR="001952D6">
        <w:rPr>
          <w:rFonts w:ascii="Times New Roman" w:hAnsi="Times New Roman" w:cs="Times New Roman"/>
        </w:rPr>
        <w:t>...</w:t>
      </w:r>
      <w:r w:rsidRPr="00EC3BE9">
        <w:rPr>
          <w:rFonts w:ascii="Times New Roman" w:hAnsi="Times New Roman" w:cs="Times New Roman"/>
        </w:rPr>
        <w:t>, subsistiria sua aplicação para o período intermediário, o que a embargante pretende afastar por completo, em pedido que se revela mais amplo do que o próprio regime intertemporal comportaria, mesmo em sua tese.</w:t>
      </w:r>
    </w:p>
    <w:p w14:paraId="56330495" w14:textId="422F2AC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Vedação à decisão-surpresa e da necessidade de ampla dilação argumentativa antes de qualquer reforma [art. 10 do CPC] </w:t>
      </w:r>
    </w:p>
    <w:p w14:paraId="7E43A88F" w14:textId="2687F67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Caso o r. Juízo entenda por bem enfrentar o mérito da tese suscitada pela embargante, superando as preliminares processuais acima, requer, em atenção ao art. 10 do CPC [vedação à decisão-surpresa] e ao próprio art. 1.023, § 2º, do CPC, que eventual reforma seja precedida da integral consideração dos fundamentos ora apresentados, de modo que a decisão </w:t>
      </w:r>
      <w:proofErr w:type="spellStart"/>
      <w:r w:rsidRPr="00EC3BE9">
        <w:rPr>
          <w:rFonts w:ascii="Times New Roman" w:hAnsi="Times New Roman" w:cs="Times New Roman"/>
        </w:rPr>
        <w:t>aclaratória</w:t>
      </w:r>
      <w:proofErr w:type="spellEnd"/>
      <w:r w:rsidRPr="00EC3BE9">
        <w:rPr>
          <w:rFonts w:ascii="Times New Roman" w:hAnsi="Times New Roman" w:cs="Times New Roman"/>
        </w:rPr>
        <w:t xml:space="preserve">, se vier a modificar o capítulo da SELIC, o faça apenas após enfrentar expressamente: </w:t>
      </w:r>
    </w:p>
    <w:p w14:paraId="04A66D64" w14:textId="20B1F3ED" w:rsidR="00EC3BE9" w:rsidRPr="00EC3BE9" w:rsidRDefault="001952D6" w:rsidP="00EC3BE9">
      <w:pPr>
        <w:ind w:right="-568"/>
        <w:jc w:val="both"/>
        <w:rPr>
          <w:rFonts w:ascii="Times New Roman" w:hAnsi="Times New Roman" w:cs="Times New Roman"/>
        </w:rPr>
      </w:pPr>
      <w:r>
        <w:rPr>
          <w:rFonts w:ascii="Segoe UI Emoji" w:hAnsi="Segoe UI Emoji" w:cs="Segoe UI Emoji"/>
        </w:rPr>
        <w:t xml:space="preserve">- </w:t>
      </w:r>
      <w:proofErr w:type="gramStart"/>
      <w:r w:rsidR="00EC3BE9" w:rsidRPr="00EC3BE9">
        <w:rPr>
          <w:rFonts w:ascii="Times New Roman" w:hAnsi="Times New Roman" w:cs="Times New Roman"/>
        </w:rPr>
        <w:t>a</w:t>
      </w:r>
      <w:proofErr w:type="gramEnd"/>
      <w:r w:rsidR="00EC3BE9" w:rsidRPr="00EC3BE9">
        <w:rPr>
          <w:rFonts w:ascii="Times New Roman" w:hAnsi="Times New Roman" w:cs="Times New Roman"/>
        </w:rPr>
        <w:t xml:space="preserve"> natureza pública da finalidade da desapropriação e sua origem   em ato do poder concedente federal; </w:t>
      </w:r>
    </w:p>
    <w:p w14:paraId="7FBF371E" w14:textId="3A48BD57" w:rsidR="00EC3BE9" w:rsidRPr="00EC3BE9" w:rsidRDefault="001952D6" w:rsidP="00EC3BE9">
      <w:pPr>
        <w:ind w:right="-568"/>
        <w:jc w:val="both"/>
        <w:rPr>
          <w:rFonts w:ascii="Times New Roman" w:hAnsi="Times New Roman" w:cs="Times New Roman"/>
        </w:rPr>
      </w:pPr>
      <w:r>
        <w:rPr>
          <w:rFonts w:ascii="Segoe UI Emoji" w:hAnsi="Segoe UI Emoji" w:cs="Segoe UI Emoji"/>
        </w:rPr>
        <w:lastRenderedPageBreak/>
        <w:t xml:space="preserve">- </w:t>
      </w:r>
      <w:proofErr w:type="gramStart"/>
      <w:r w:rsidR="00EC3BE9" w:rsidRPr="00EC3BE9">
        <w:rPr>
          <w:rFonts w:ascii="Times New Roman" w:hAnsi="Times New Roman" w:cs="Times New Roman"/>
        </w:rPr>
        <w:t>a</w:t>
      </w:r>
      <w:proofErr w:type="gramEnd"/>
      <w:r w:rsidR="00EC3BE9" w:rsidRPr="00EC3BE9">
        <w:rPr>
          <w:rFonts w:ascii="Times New Roman" w:hAnsi="Times New Roman" w:cs="Times New Roman"/>
        </w:rPr>
        <w:t xml:space="preserve"> garantia constitucional da justa indenização; </w:t>
      </w:r>
    </w:p>
    <w:p w14:paraId="65B27707" w14:textId="42D6F3B2" w:rsidR="00EC3BE9" w:rsidRPr="00EC3BE9" w:rsidRDefault="001952D6" w:rsidP="00EC3BE9">
      <w:pPr>
        <w:ind w:right="-568"/>
        <w:jc w:val="both"/>
        <w:rPr>
          <w:rFonts w:ascii="Times New Roman" w:hAnsi="Times New Roman" w:cs="Times New Roman"/>
        </w:rPr>
      </w:pPr>
      <w:r>
        <w:rPr>
          <w:rFonts w:ascii="Segoe UI Emoji" w:hAnsi="Segoe UI Emoji" w:cs="Segoe UI Emoji"/>
        </w:rPr>
        <w:t xml:space="preserve">- </w:t>
      </w:r>
      <w:proofErr w:type="gramStart"/>
      <w:r w:rsidR="00EC3BE9" w:rsidRPr="00EC3BE9">
        <w:rPr>
          <w:rFonts w:ascii="Times New Roman" w:hAnsi="Times New Roman" w:cs="Times New Roman"/>
        </w:rPr>
        <w:t>a</w:t>
      </w:r>
      <w:proofErr w:type="gramEnd"/>
      <w:r w:rsidR="00EC3BE9" w:rsidRPr="00EC3BE9">
        <w:rPr>
          <w:rFonts w:ascii="Times New Roman" w:hAnsi="Times New Roman" w:cs="Times New Roman"/>
        </w:rPr>
        <w:t xml:space="preserve"> distinção do precedente paradigma invocado pela embargante; e </w:t>
      </w:r>
    </w:p>
    <w:p w14:paraId="0A8D2E93" w14:textId="5D89F90E" w:rsidR="00EC3BE9" w:rsidRPr="00EC3BE9" w:rsidRDefault="001952D6" w:rsidP="00EC3BE9">
      <w:pPr>
        <w:ind w:right="-568"/>
        <w:jc w:val="both"/>
        <w:rPr>
          <w:rFonts w:ascii="Times New Roman" w:hAnsi="Times New Roman" w:cs="Times New Roman"/>
        </w:rPr>
      </w:pPr>
      <w:r>
        <w:rPr>
          <w:rFonts w:ascii="Segoe UI Emoji" w:hAnsi="Segoe UI Emoji" w:cs="Segoe UI Emoji"/>
        </w:rPr>
        <w:t xml:space="preserve">- </w:t>
      </w:r>
      <w:proofErr w:type="gramStart"/>
      <w:r w:rsidR="00EC3BE9" w:rsidRPr="00EC3BE9">
        <w:rPr>
          <w:rFonts w:ascii="Times New Roman" w:hAnsi="Times New Roman" w:cs="Times New Roman"/>
        </w:rPr>
        <w:t>a</w:t>
      </w:r>
      <w:proofErr w:type="gramEnd"/>
      <w:r w:rsidR="00EC3BE9" w:rsidRPr="00EC3BE9">
        <w:rPr>
          <w:rFonts w:ascii="Times New Roman" w:hAnsi="Times New Roman" w:cs="Times New Roman"/>
        </w:rPr>
        <w:t xml:space="preserve"> preclusão quanto à tese não suscitada anteriormente nos autos. </w:t>
      </w:r>
    </w:p>
    <w:p w14:paraId="72CFE993" w14:textId="11247E42"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Essa cautela se impõe não apenas em respeito ao contraditório substancial, mas porque a matéria, uma vez decidida em embargos com efeito modificativo, tende a vincular a fase de liquidação e cumprimento de sentença [art. 509 do CPC], circunstância que impõe redobrado rigor na motivação de qualquer decisão que venha a reduzir o valor a ser recebido pela parte expropriada; sob pena de comprometimento irreversível do direito à justa indenização.</w:t>
      </w:r>
    </w:p>
    <w:p w14:paraId="6CE905FF" w14:textId="07663E32" w:rsidR="00EC3BE9" w:rsidRPr="001952D6" w:rsidRDefault="00EC3BE9" w:rsidP="00EC3BE9">
      <w:pPr>
        <w:ind w:right="-568"/>
        <w:jc w:val="both"/>
        <w:rPr>
          <w:rFonts w:ascii="Times New Roman" w:hAnsi="Times New Roman" w:cs="Times New Roman"/>
          <w:b/>
          <w:bCs/>
        </w:rPr>
      </w:pPr>
      <w:r w:rsidRPr="001952D6">
        <w:rPr>
          <w:rFonts w:ascii="Times New Roman" w:hAnsi="Times New Roman" w:cs="Times New Roman"/>
          <w:b/>
          <w:bCs/>
        </w:rPr>
        <w:t>VI-MANIFESTAÇÃO ESPECÍFICA SOBRE O ITEM III.4 DOS EMBARGOS [BASE DE CÁLCULO DOS JUROS MORATÓRIOS]</w:t>
      </w:r>
    </w:p>
    <w:p w14:paraId="5DE76F79" w14:textId="786CC77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Análise técnica: o que está correto e o que não pode ser admitido na forma proposta </w:t>
      </w:r>
    </w:p>
    <w:p w14:paraId="47BCB45B" w14:textId="794D4C8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Quanto ao item III.4, a embargada reconhece, em juízo de boa-fé processual, que assiste razão parcial à embargante num ponto isolado e estritamente técnico: é correto, como premissa abstrata, que os juros moratórios por serem "</w:t>
      </w:r>
      <w:r w:rsidRPr="001952D6">
        <w:rPr>
          <w:rFonts w:ascii="Times New Roman" w:hAnsi="Times New Roman" w:cs="Times New Roman"/>
          <w:i/>
          <w:iCs/>
        </w:rPr>
        <w:t>devidos em face do atraso no pagamento</w:t>
      </w:r>
      <w:r w:rsidRPr="00EC3BE9">
        <w:rPr>
          <w:rFonts w:ascii="Times New Roman" w:hAnsi="Times New Roman" w:cs="Times New Roman"/>
        </w:rPr>
        <w:t xml:space="preserve">", nas palavras da própria sentença — incidam sobre o saldo remanescente da indenização, e não sobre o valor total fixado pelo Perito. </w:t>
      </w:r>
    </w:p>
    <w:p w14:paraId="50104293" w14:textId="257EA4A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Isso decorre de lógica elementar: a parcela já satisfeita mediante depósito prévio e levantada pela expropriada [ou disponibilizada para levantamento] não está "</w:t>
      </w:r>
      <w:r w:rsidRPr="001952D6">
        <w:rPr>
          <w:rFonts w:ascii="Times New Roman" w:hAnsi="Times New Roman" w:cs="Times New Roman"/>
          <w:i/>
          <w:iCs/>
        </w:rPr>
        <w:t>em atraso</w:t>
      </w:r>
      <w:r w:rsidRPr="00EC3BE9">
        <w:rPr>
          <w:rFonts w:ascii="Times New Roman" w:hAnsi="Times New Roman" w:cs="Times New Roman"/>
        </w:rPr>
        <w:t xml:space="preserve">", de modo que não há razão para nela incidirem juros moratórios. Até aqui, portanto, não há omissão substancial apta a alterar o resultado do julgado, mas apenas explicitação de consequência lógica que já decorre do próprio texto da sentença.  </w:t>
      </w:r>
    </w:p>
    <w:p w14:paraId="3FE4E85A" w14:textId="067E697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Todavia, a redação pretendida pela embargante --- segundo a qual a base de cálculo corresponderia ao saldo apurado "</w:t>
      </w:r>
      <w:r w:rsidRPr="001952D6">
        <w:rPr>
          <w:rFonts w:ascii="Times New Roman" w:hAnsi="Times New Roman" w:cs="Times New Roman"/>
          <w:i/>
          <w:iCs/>
        </w:rPr>
        <w:t>depois de ambos [o valor da indenização e os depósitos] serem atualizados pelo mesmo índice e reconduzidos à mesma data-base, antes da realização da respectiva subtração"</w:t>
      </w:r>
      <w:r w:rsidRPr="00EC3BE9">
        <w:rPr>
          <w:rFonts w:ascii="Times New Roman" w:hAnsi="Times New Roman" w:cs="Times New Roman"/>
        </w:rPr>
        <w:t xml:space="preserve">---não é uma mera explicitação técnica inócua. </w:t>
      </w:r>
    </w:p>
    <w:p w14:paraId="1C50D846" w14:textId="3AA0BDD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Trata-se, em rigor, da incorporação dissimulada, dentro do tópico III.4, da própria tese de mérito veiculada de forma autônoma no item III.2 dos mesmos embargos [atualização dos depósitos prévios pelo IPCA-E até a data-base do laudo pericial, antes da apuração do saldo principal]. </w:t>
      </w:r>
    </w:p>
    <w:p w14:paraId="7A343557" w14:textId="439ECE9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Ou seja: a embargante pretende obter, "</w:t>
      </w:r>
      <w:r w:rsidRPr="001952D6">
        <w:rPr>
          <w:rFonts w:ascii="Times New Roman" w:hAnsi="Times New Roman" w:cs="Times New Roman"/>
          <w:i/>
          <w:iCs/>
        </w:rPr>
        <w:t>por arrasto</w:t>
      </w:r>
      <w:r w:rsidRPr="00EC3BE9">
        <w:rPr>
          <w:rFonts w:ascii="Times New Roman" w:hAnsi="Times New Roman" w:cs="Times New Roman"/>
        </w:rPr>
        <w:t xml:space="preserve">" e sob o rótulo de simples fixação de base de cálculo dos juros, o mesmo resultado prático que persegue, de forma expressa e fundamentada, no item III.2 — item esse que a embargada já impugna de forma específica e autônoma. </w:t>
      </w:r>
    </w:p>
    <w:p w14:paraId="5B9127E0" w14:textId="3E697F7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Essa técnica de redação é processualmente inadequada e deve ser expressamente rejeitada pelo r. Juízo, sob pena de comprometimento do princípio da congruência [</w:t>
      </w:r>
      <w:proofErr w:type="spellStart"/>
      <w:r w:rsidRPr="00EC3BE9">
        <w:rPr>
          <w:rFonts w:ascii="Times New Roman" w:hAnsi="Times New Roman" w:cs="Times New Roman"/>
        </w:rPr>
        <w:t>arts</w:t>
      </w:r>
      <w:proofErr w:type="spellEnd"/>
      <w:r w:rsidRPr="00EC3BE9">
        <w:rPr>
          <w:rFonts w:ascii="Times New Roman" w:hAnsi="Times New Roman" w:cs="Times New Roman"/>
        </w:rPr>
        <w:t>. 141 e 492 do CPC] e do próprio contraditório [</w:t>
      </w:r>
      <w:proofErr w:type="spellStart"/>
      <w:r w:rsidRPr="00EC3BE9">
        <w:rPr>
          <w:rFonts w:ascii="Times New Roman" w:hAnsi="Times New Roman" w:cs="Times New Roman"/>
        </w:rPr>
        <w:t>arts</w:t>
      </w:r>
      <w:proofErr w:type="spellEnd"/>
      <w:r w:rsidRPr="00EC3BE9">
        <w:rPr>
          <w:rFonts w:ascii="Times New Roman" w:hAnsi="Times New Roman" w:cs="Times New Roman"/>
        </w:rPr>
        <w:t xml:space="preserve">. 9º e 10 do CPC]: cada capítulo da decisão </w:t>
      </w:r>
      <w:proofErr w:type="spellStart"/>
      <w:r w:rsidRPr="00EC3BE9">
        <w:rPr>
          <w:rFonts w:ascii="Times New Roman" w:hAnsi="Times New Roman" w:cs="Times New Roman"/>
        </w:rPr>
        <w:t>aclaratória</w:t>
      </w:r>
      <w:proofErr w:type="spellEnd"/>
      <w:r w:rsidRPr="00EC3BE9">
        <w:rPr>
          <w:rFonts w:ascii="Times New Roman" w:hAnsi="Times New Roman" w:cs="Times New Roman"/>
        </w:rPr>
        <w:t xml:space="preserve"> deve responder exatamente à omissão, contradição ou erro material que lhe corresponde, sem que a </w:t>
      </w:r>
      <w:r w:rsidRPr="00EC3BE9">
        <w:rPr>
          <w:rFonts w:ascii="Times New Roman" w:hAnsi="Times New Roman" w:cs="Times New Roman"/>
        </w:rPr>
        <w:lastRenderedPageBreak/>
        <w:t xml:space="preserve">resposta a um tópico absorva, por via oblíqua, o mérito de outro tópico ainda pendente de decisão autônoma. </w:t>
      </w:r>
    </w:p>
    <w:p w14:paraId="06882E4E" w14:textId="704C63B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Caso o r. Juízo acolha a redação da forma como proposta pela embargante, a decisão sobre a atualização dos depósitos [item III.2] restará prejudicada de fato, ainda antes de ser apreciada em seus próprios fundamentos; o que subverte a ordem lógica e o direito da embargada de ver essa matéria discutida e decidida com a profundidade que lhe é própria.</w:t>
      </w:r>
    </w:p>
    <w:p w14:paraId="0BE191AA" w14:textId="3D9AD2C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Parágrafo de contrariedade </w:t>
      </w:r>
    </w:p>
    <w:p w14:paraId="679DDDC1" w14:textId="7795E29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Diante disso, a embargada impugna expressamente a redação proposta pela embargante para o suprimento da alegada omissão quanto à base de cálculo dos juros moratórios, na parte em que pressupõe, como premissa já resolvida, que os valores depositados a título de oferta sejam "</w:t>
      </w:r>
      <w:r w:rsidRPr="001952D6">
        <w:rPr>
          <w:rFonts w:ascii="Times New Roman" w:hAnsi="Times New Roman" w:cs="Times New Roman"/>
          <w:i/>
          <w:iCs/>
        </w:rPr>
        <w:t>atualizados pelo mesmo índice e reconduzidos à mesma data-base</w:t>
      </w:r>
      <w:r w:rsidRPr="00EC3BE9">
        <w:rPr>
          <w:rFonts w:ascii="Times New Roman" w:hAnsi="Times New Roman" w:cs="Times New Roman"/>
        </w:rPr>
        <w:t xml:space="preserve">" do laudo pericial antes da apuração do saldo indenizatório. </w:t>
      </w:r>
    </w:p>
    <w:p w14:paraId="7894A2D7" w14:textId="4C232FD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Esse pressuposto constitui, na essência, o próprio objeto do item III.2 dos embargos, matéria estranha à omissão especificamente veiculada no item III.4 e que, por isso, não pode ser decidida "</w:t>
      </w:r>
      <w:r w:rsidRPr="001952D6">
        <w:rPr>
          <w:rFonts w:ascii="Times New Roman" w:hAnsi="Times New Roman" w:cs="Times New Roman"/>
          <w:i/>
          <w:iCs/>
        </w:rPr>
        <w:t>de passagem</w:t>
      </w:r>
      <w:r w:rsidRPr="00EC3BE9">
        <w:rPr>
          <w:rFonts w:ascii="Times New Roman" w:hAnsi="Times New Roman" w:cs="Times New Roman"/>
        </w:rPr>
        <w:t xml:space="preserve">", sem o enfrentamento direto dos fundamentos que a embargada apresenta em sentido contrário naquele capítulo próprio. </w:t>
      </w:r>
    </w:p>
    <w:p w14:paraId="78092819" w14:textId="7CF056A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Admitir-se o contrário equivaleria a permitir que a parte, mediante desdobramento formal de uma única tese em dois tópicos </w:t>
      </w:r>
      <w:proofErr w:type="spellStart"/>
      <w:r w:rsidRPr="00EC3BE9">
        <w:rPr>
          <w:rFonts w:ascii="Times New Roman" w:hAnsi="Times New Roman" w:cs="Times New Roman"/>
        </w:rPr>
        <w:t>redacionalmente</w:t>
      </w:r>
      <w:proofErr w:type="spellEnd"/>
      <w:r w:rsidRPr="00EC3BE9">
        <w:rPr>
          <w:rFonts w:ascii="Times New Roman" w:hAnsi="Times New Roman" w:cs="Times New Roman"/>
        </w:rPr>
        <w:t xml:space="preserve"> distintos, obtivesse decisão favorável em ambos pela via mais frágil [a integração por omissão], sem que o Juízo enfrentasse, em nenhum dos dois momentos, a resistência argumentativa da parte contrária de forma completa e autônoma. </w:t>
      </w:r>
    </w:p>
    <w:p w14:paraId="43D2A933" w14:textId="2B3919F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Requer, pois, que, caso o r. Juízo entenda cabível suprir a omissão relativa à base de cálculo dos juros moratórios, o faça com a estrita ressalva de que tal esclarecimento em nada prejudica, antecipa ou condiciona o julgamento do item III.2, que deverá ser apreciado exclusivamente à luz dos fundamentos e contra fundamentos a ele pertinentes, constantes desta manifestação e dos embargos.</w:t>
      </w:r>
    </w:p>
    <w:p w14:paraId="5C91661E" w14:textId="48A4DAF0"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Redação alternativa sugerida, para clareza da decisão </w:t>
      </w:r>
    </w:p>
    <w:p w14:paraId="510778CB" w14:textId="776FFF5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Para que a decisão </w:t>
      </w:r>
      <w:proofErr w:type="spellStart"/>
      <w:r w:rsidRPr="00EC3BE9">
        <w:rPr>
          <w:rFonts w:ascii="Times New Roman" w:hAnsi="Times New Roman" w:cs="Times New Roman"/>
        </w:rPr>
        <w:t>aclaratória</w:t>
      </w:r>
      <w:proofErr w:type="spellEnd"/>
      <w:r w:rsidRPr="00EC3BE9">
        <w:rPr>
          <w:rFonts w:ascii="Times New Roman" w:hAnsi="Times New Roman" w:cs="Times New Roman"/>
        </w:rPr>
        <w:t xml:space="preserve"> seja dotada da clareza que a própria embargante reclama — e sem prejulgamento do item III.2 —, sugere-se, caso o r. Juízo entenda pertinente suprir a omissão, a adoção de redação nos seguintes termos: "</w:t>
      </w:r>
      <w:r w:rsidRPr="001952D6">
        <w:rPr>
          <w:rFonts w:ascii="Times New Roman" w:hAnsi="Times New Roman" w:cs="Times New Roman"/>
          <w:i/>
          <w:iCs/>
        </w:rPr>
        <w:t>os juros moratórios de 6% ao ano incidem sobre o saldo indenizatório remanescente, correspondente à diferença entre a indenização fixada judicialmente e os valores depositados a título de oferta, observados os critérios de atualização monetária e de data-base que vierem a ser definidos, em capítulo próprio e autônomo, quanto ao item III.2 destes embargos</w:t>
      </w:r>
      <w:r w:rsidRPr="00EC3BE9">
        <w:rPr>
          <w:rFonts w:ascii="Times New Roman" w:hAnsi="Times New Roman" w:cs="Times New Roman"/>
        </w:rPr>
        <w:t xml:space="preserve">". </w:t>
      </w:r>
    </w:p>
    <w:p w14:paraId="13CA6FEC" w14:textId="1EA41B8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Dessa forma, supre-se a omissão pontual quanto à identificação da grandeza sobre a qual incidem os juros moratórios (o saldo, e não o valor total), sem que se resolva, ainda que indiretamente, a controvérsia especificamente devolvida no item III.2, que a embargada requer seja julgada de forma independente, com base nos fundamentos próprios ali deduzidos.</w:t>
      </w:r>
    </w:p>
    <w:p w14:paraId="6D3FF9ED" w14:textId="18C1D3C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 xml:space="preserve">Pedido específico quanto a este tópico III.4 </w:t>
      </w:r>
    </w:p>
    <w:p w14:paraId="4A63DA6E" w14:textId="5EE748A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Destarte, requer a embargada que, na eventualidade de acolhimento do item III.4 dos embargos:</w:t>
      </w:r>
    </w:p>
    <w:p w14:paraId="1AD1989B" w14:textId="6DA5450B" w:rsidR="00EC3BE9" w:rsidRPr="00EC3BE9" w:rsidRDefault="001952D6" w:rsidP="00EC3BE9">
      <w:pPr>
        <w:ind w:right="-568"/>
        <w:jc w:val="both"/>
        <w:rPr>
          <w:rFonts w:ascii="Times New Roman" w:hAnsi="Times New Roman" w:cs="Times New Roman"/>
        </w:rPr>
      </w:pPr>
      <w:r w:rsidRPr="001952D6">
        <w:rPr>
          <w:rFonts w:ascii="Times New Roman" w:hAnsi="Times New Roman" w:cs="Times New Roman"/>
        </w:rPr>
        <w:t>(a</w:t>
      </w:r>
      <w:r>
        <w:rPr>
          <w:rFonts w:ascii="Times New Roman" w:hAnsi="Times New Roman" w:cs="Times New Roman"/>
        </w:rPr>
        <w:t xml:space="preserve">) </w:t>
      </w:r>
      <w:r w:rsidR="00EC3BE9" w:rsidRPr="001952D6">
        <w:rPr>
          <w:rFonts w:ascii="Times New Roman" w:hAnsi="Times New Roman" w:cs="Times New Roman"/>
        </w:rPr>
        <w:t xml:space="preserve">seja reconhecido apenas que os juros moratórios incidem sobre o saldo indenizatório remanescente [diferença entre a indenização judicial e os valores depositados a título de oferta], sem qualquer referência, nesse capítulo, à metodologia de atualização e </w:t>
      </w:r>
      <w:proofErr w:type="spellStart"/>
      <w:r w:rsidR="00EC3BE9" w:rsidRPr="001952D6">
        <w:rPr>
          <w:rFonts w:ascii="Times New Roman" w:hAnsi="Times New Roman" w:cs="Times New Roman"/>
        </w:rPr>
        <w:t>reconducção</w:t>
      </w:r>
      <w:proofErr w:type="spellEnd"/>
      <w:r w:rsidR="00EC3BE9" w:rsidRPr="001952D6">
        <w:rPr>
          <w:rFonts w:ascii="Times New Roman" w:hAnsi="Times New Roman" w:cs="Times New Roman"/>
        </w:rPr>
        <w:t xml:space="preserve"> dos depósitos a data-base comum;</w:t>
      </w:r>
    </w:p>
    <w:p w14:paraId="04B1662C" w14:textId="758755EC"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(b)</w:t>
      </w:r>
      <w:r w:rsidR="001952D6">
        <w:rPr>
          <w:rFonts w:ascii="Times New Roman" w:hAnsi="Times New Roman" w:cs="Times New Roman"/>
        </w:rPr>
        <w:t xml:space="preserve"> </w:t>
      </w:r>
      <w:r w:rsidRPr="00EC3BE9">
        <w:rPr>
          <w:rFonts w:ascii="Times New Roman" w:hAnsi="Times New Roman" w:cs="Times New Roman"/>
        </w:rPr>
        <w:t>seja expressamente consignado que a definição da metodologia de atualização dos valores depositados [atualização pelo IPCA-E até a data-base do laudo, ou qualquer outro critério] permanece integralmente sujeita à decisão autônoma do item III.2, à luz dos fundamentos e contra-argumentos próprios apresentados por ambas as partes naquele capítulo, não se admitindo qualquer efeito de prejulgamento ou de vinculação decorrente da resposta dada ao presente item III.4.</w:t>
      </w:r>
    </w:p>
    <w:p w14:paraId="7FF96193" w14:textId="77777777" w:rsidR="00EC3BE9" w:rsidRPr="001952D6" w:rsidRDefault="00EC3BE9" w:rsidP="00EC3BE9">
      <w:pPr>
        <w:ind w:right="-568"/>
        <w:jc w:val="both"/>
        <w:rPr>
          <w:rFonts w:ascii="Times New Roman" w:hAnsi="Times New Roman" w:cs="Times New Roman"/>
          <w:b/>
          <w:bCs/>
        </w:rPr>
      </w:pPr>
      <w:r w:rsidRPr="001952D6">
        <w:rPr>
          <w:rFonts w:ascii="Times New Roman" w:hAnsi="Times New Roman" w:cs="Times New Roman"/>
          <w:b/>
          <w:bCs/>
        </w:rPr>
        <w:t>VII-</w:t>
      </w:r>
      <w:r w:rsidRPr="001952D6">
        <w:rPr>
          <w:rFonts w:ascii="Times New Roman" w:hAnsi="Times New Roman" w:cs="Times New Roman"/>
          <w:b/>
          <w:bCs/>
        </w:rPr>
        <w:tab/>
        <w:t xml:space="preserve">REJEIÇÃO DO PEDIDO REANÁLISE DOS CRITÉRIOS INDIVIDUAIS DO § 2º DO ART.85 DO CPC - MATÉRIA FORA DOS LIMITES DO ENQUADRAMENTO PREVISTO NO ART. 1.022 DO CPC </w:t>
      </w:r>
    </w:p>
    <w:p w14:paraId="21519479" w14:textId="63F82BA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Como sobressaltado alhures, os embargos de declaração têm cabimento restrito às hipóteses do art. 1.022 do CPC -obscuridade, contradição, omissão e erro material- não se prestando 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para rediscutir os critérios adotados pela decisão embargada dentro do percentual legal fixados para a condenação da verba honorária advocatícia sucumbencial.</w:t>
      </w:r>
    </w:p>
    <w:p w14:paraId="5AB58CAC" w14:textId="42B0903F"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 pedido expresso formulado nesse pleito pelo embargante para “</w:t>
      </w:r>
      <w:r w:rsidRPr="001952D6">
        <w:rPr>
          <w:rFonts w:ascii="Times New Roman" w:hAnsi="Times New Roman" w:cs="Times New Roman"/>
          <w:i/>
          <w:iCs/>
        </w:rPr>
        <w:t>atribuindo-se efeitos modificativos ao julgado para reduzir os honorários advocatícios a percentual inferior a 5%, compatível com as circunstâncias concretas da causa</w:t>
      </w:r>
      <w:r w:rsidRPr="00EC3BE9">
        <w:rPr>
          <w:rFonts w:ascii="Times New Roman" w:hAnsi="Times New Roman" w:cs="Times New Roman"/>
        </w:rPr>
        <w:t xml:space="preserve">” evidencia pretensão de rejulgamento, vedada em sede de embargos de declaração. </w:t>
      </w:r>
    </w:p>
    <w:p w14:paraId="6B718F2C" w14:textId="0A9A9928"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A embargada não pode deixar de registrar, com a franqueza que o momento exige, a impropriedade técnica da tentativa: </w:t>
      </w:r>
    </w:p>
    <w:p w14:paraId="3AC9D85B" w14:textId="4E1EFCF9"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w:t>
      </w:r>
      <w:r w:rsidR="001952D6">
        <w:rPr>
          <w:rFonts w:ascii="Times New Roman" w:hAnsi="Times New Roman" w:cs="Times New Roman"/>
        </w:rPr>
        <w:t xml:space="preserve"> </w:t>
      </w:r>
      <w:proofErr w:type="gramStart"/>
      <w:r w:rsidRPr="00EC3BE9">
        <w:rPr>
          <w:rFonts w:ascii="Times New Roman" w:hAnsi="Times New Roman" w:cs="Times New Roman"/>
        </w:rPr>
        <w:t>não</w:t>
      </w:r>
      <w:proofErr w:type="gramEnd"/>
      <w:r w:rsidRPr="00EC3BE9">
        <w:rPr>
          <w:rFonts w:ascii="Times New Roman" w:hAnsi="Times New Roman" w:cs="Times New Roman"/>
        </w:rPr>
        <w:t xml:space="preserve"> há omissão. A sentença enfrentou expressamente o tema, fixou o percentual, indicou o fundamento legal aplicável [art. 27, § 1º, do Decreto-Lei 3.365/1941] e apontou a circunstância concreta que a levou à conclusão; o grau de zelo dos patronos da expropriada. Pronunciamento existente, ainda que sucinto, não é omissão: é exercício do poder-dever de fundamentação nos limites que o próprio julgador reputou suficientes, e a suficiência da motivação não se mede pela extensão do texto, mas pela idoneidade do fundamento para sustentar a conclusão, o que aqui se verifica;</w:t>
      </w:r>
    </w:p>
    <w:p w14:paraId="54B481D8" w14:textId="2C264E2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 </w:t>
      </w:r>
      <w:proofErr w:type="gramStart"/>
      <w:r w:rsidRPr="00EC3BE9">
        <w:rPr>
          <w:rFonts w:ascii="Times New Roman" w:hAnsi="Times New Roman" w:cs="Times New Roman"/>
        </w:rPr>
        <w:t>não</w:t>
      </w:r>
      <w:proofErr w:type="gramEnd"/>
      <w:r w:rsidRPr="00EC3BE9">
        <w:rPr>
          <w:rFonts w:ascii="Times New Roman" w:hAnsi="Times New Roman" w:cs="Times New Roman"/>
        </w:rPr>
        <w:t xml:space="preserve"> há contradição. A embargante não aponta, em nenhum momento, proposições internamente inconciliáveis na fundamentação da sentença; aponta, isto sim, discordância quanto ao peso atribuído a um dos critérios do art. 85, § 2º, do CPC em detrimento dos demais. Discordância quanto à ponderação de critérios não é contradição lógica; é, quando muito, alegação de fundamentação insuficiente, o que, por si só, também não é vício integrativo, mas eventual </w:t>
      </w:r>
      <w:proofErr w:type="spellStart"/>
      <w:r w:rsidRPr="001952D6">
        <w:rPr>
          <w:rFonts w:ascii="Times New Roman" w:hAnsi="Times New Roman" w:cs="Times New Roman"/>
          <w:i/>
          <w:iCs/>
        </w:rPr>
        <w:t>error</w:t>
      </w:r>
      <w:proofErr w:type="spellEnd"/>
      <w:r w:rsidRPr="001952D6">
        <w:rPr>
          <w:rFonts w:ascii="Times New Roman" w:hAnsi="Times New Roman" w:cs="Times New Roman"/>
          <w:i/>
          <w:iCs/>
        </w:rPr>
        <w:t xml:space="preserve"> in </w:t>
      </w:r>
      <w:proofErr w:type="spellStart"/>
      <w:r w:rsidRPr="001952D6">
        <w:rPr>
          <w:rFonts w:ascii="Times New Roman" w:hAnsi="Times New Roman" w:cs="Times New Roman"/>
          <w:i/>
          <w:iCs/>
        </w:rPr>
        <w:t>judicando</w:t>
      </w:r>
      <w:proofErr w:type="spellEnd"/>
      <w:r w:rsidRPr="00EC3BE9">
        <w:rPr>
          <w:rFonts w:ascii="Times New Roman" w:hAnsi="Times New Roman" w:cs="Times New Roman"/>
        </w:rPr>
        <w:t xml:space="preserve">, corrigível apenas pela via recursal própria. </w:t>
      </w:r>
    </w:p>
    <w:p w14:paraId="2BE6116A" w14:textId="5CDE29A5"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w:t>
      </w:r>
      <w:r w:rsidR="001952D6">
        <w:rPr>
          <w:rFonts w:ascii="Times New Roman" w:hAnsi="Times New Roman" w:cs="Times New Roman"/>
        </w:rPr>
        <w:t xml:space="preserve"> </w:t>
      </w:r>
      <w:proofErr w:type="gramStart"/>
      <w:r w:rsidRPr="00EC3BE9">
        <w:rPr>
          <w:rFonts w:ascii="Times New Roman" w:hAnsi="Times New Roman" w:cs="Times New Roman"/>
        </w:rPr>
        <w:t>não</w:t>
      </w:r>
      <w:proofErr w:type="gramEnd"/>
      <w:r w:rsidRPr="00EC3BE9">
        <w:rPr>
          <w:rFonts w:ascii="Times New Roman" w:hAnsi="Times New Roman" w:cs="Times New Roman"/>
        </w:rPr>
        <w:t xml:space="preserve"> há erro material. Erro material é a divergência entre o que o julgador quis decidir e o que efetivamente restou consignado; um lapso de transcrição, um equívoco aritmético, uma inversão de nomes. Nada disso está em jogo aqui: a sentença fixou exatamente o percentual que pretendia fixar, com base no fundamento que pretendia invocar. Não há qualquer dissonância entre a vontade decisória e sua expressão textual.</w:t>
      </w:r>
    </w:p>
    <w:p w14:paraId="35DA1896" w14:textId="51F08BA9"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O que a embargante efetivamente pretende: rejulgamento travestido de integração. Despido o pedido de sua roupagem processual, o que a embargante busca, na essência, é que o Juízo reveja o mérito de sua própria decisão, substituindo o percentual de 5% ---fixado dentro dos limites expressamente autorizados pelo art. 27, § 1º, do Decreto-Lei 3.365/1941, que estabelece faixa de 0,5% a 5%</w:t>
      </w:r>
      <w:proofErr w:type="gramStart"/>
      <w:r w:rsidRPr="00EC3BE9">
        <w:rPr>
          <w:rFonts w:ascii="Times New Roman" w:hAnsi="Times New Roman" w:cs="Times New Roman"/>
        </w:rPr>
        <w:t>---  por</w:t>
      </w:r>
      <w:proofErr w:type="gramEnd"/>
      <w:r w:rsidRPr="00EC3BE9">
        <w:rPr>
          <w:rFonts w:ascii="Times New Roman" w:hAnsi="Times New Roman" w:cs="Times New Roman"/>
        </w:rPr>
        <w:t xml:space="preserve"> percentual inferior, ao fundamento de que a motivação apresentada seria "</w:t>
      </w:r>
      <w:r w:rsidRPr="001952D6">
        <w:rPr>
          <w:rFonts w:ascii="Times New Roman" w:hAnsi="Times New Roman" w:cs="Times New Roman"/>
          <w:i/>
          <w:iCs/>
        </w:rPr>
        <w:t>insuficiente</w:t>
      </w:r>
      <w:r w:rsidRPr="00EC3BE9">
        <w:rPr>
          <w:rFonts w:ascii="Times New Roman" w:hAnsi="Times New Roman" w:cs="Times New Roman"/>
        </w:rPr>
        <w:t xml:space="preserve">" para justificar o teto legal. </w:t>
      </w:r>
    </w:p>
    <w:p w14:paraId="6A72BE01" w14:textId="142AC1B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Ora, o percentual fixado está dentro da moldura legal. Não há, aqui, violação de norma cogente, extrapolação de limite, ou aplicação de critério estranho ao ordenamento. O que há é o exercício, pelo julgador de primeiro grau, de juízo de discricionariedade vinculada dentro de faixa que a própria lei lhe confere, sopesando os critérios do art. 85, § 2º, do CPC. </w:t>
      </w:r>
    </w:p>
    <w:p w14:paraId="3251259F" w14:textId="764882A8"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Se a embargante entende que esse juízo deveria ter ponderado de forma diversa os elementos de zelo profissional, tempo de duração da causa, complexidade da matéria ou lugar de prestação do serviço, o remédio processual para tanto é a apelação [art. 1.009 do CPC], a ser julgada por</w:t>
      </w:r>
      <w:r w:rsidR="001952D6">
        <w:rPr>
          <w:rFonts w:ascii="Times New Roman" w:hAnsi="Times New Roman" w:cs="Times New Roman"/>
        </w:rPr>
        <w:t xml:space="preserve"> </w:t>
      </w:r>
      <w:r w:rsidRPr="00EC3BE9">
        <w:rPr>
          <w:rFonts w:ascii="Times New Roman" w:hAnsi="Times New Roman" w:cs="Times New Roman"/>
        </w:rPr>
        <w:t>órgão colegiado com competência revisora plena; e não os embargos de declaração, que se prestam à integração e ao aclaramento da decisão, jamais à sua reforma por simples inconformismo com o mérito.</w:t>
      </w:r>
    </w:p>
    <w:p w14:paraId="6DB5F0EB" w14:textId="107BBF35"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 xml:space="preserve">Quanto ao trabalho realizado pelos advogados e o tempo exigido para o seu serviço [art. 85, § 2º, I e IV, do CPC], o caderno processual evidencia um trâmite extenuante que já perdura por longo prazo de quase 7 anos de tramitação, tendo sido iniciado ainda em </w:t>
      </w:r>
      <w:r w:rsidR="001952D6">
        <w:rPr>
          <w:rFonts w:ascii="Times New Roman" w:hAnsi="Times New Roman" w:cs="Times New Roman"/>
        </w:rPr>
        <w:t>..</w:t>
      </w:r>
      <w:r w:rsidRPr="00EC3BE9">
        <w:rPr>
          <w:rFonts w:ascii="Times New Roman" w:hAnsi="Times New Roman" w:cs="Times New Roman"/>
        </w:rPr>
        <w:t>. Ao longo desse labirinto processual, os procuradores da Expropriada atuaram ativamente em:</w:t>
      </w:r>
    </w:p>
    <w:p w14:paraId="77E85058" w14:textId="4F352DB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w:t>
      </w:r>
      <w:r w:rsidR="001952D6">
        <w:rPr>
          <w:rFonts w:ascii="Times New Roman" w:hAnsi="Times New Roman" w:cs="Times New Roman"/>
        </w:rPr>
        <w:t xml:space="preserve"> </w:t>
      </w:r>
      <w:r w:rsidRPr="00EC3BE9">
        <w:rPr>
          <w:rFonts w:ascii="Times New Roman" w:hAnsi="Times New Roman" w:cs="Times New Roman"/>
        </w:rPr>
        <w:t>Múltiplas e complexas habilitações de sucessores e espólios decorrentes do falecimento de sócios no curso da lide;</w:t>
      </w:r>
    </w:p>
    <w:p w14:paraId="265F2C3E" w14:textId="0BA488D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w:t>
      </w:r>
      <w:r w:rsidR="001952D6">
        <w:rPr>
          <w:rFonts w:ascii="Times New Roman" w:hAnsi="Times New Roman" w:cs="Times New Roman"/>
        </w:rPr>
        <w:t xml:space="preserve"> </w:t>
      </w:r>
      <w:r w:rsidRPr="00EC3BE9">
        <w:rPr>
          <w:rFonts w:ascii="Times New Roman" w:hAnsi="Times New Roman" w:cs="Times New Roman"/>
        </w:rPr>
        <w:t>Acompanhamento de perícia técnica complexa e estatística baseada no Método MCDDM [Grau II de Fundamentação], exigindo manifestações robustas e a submissão do expert a três rodadas sucessivas de esclarecimentos para garantir o justo preço da terra nua, benfeitorias e prejuízos aos remanescentes;</w:t>
      </w:r>
    </w:p>
    <w:p w14:paraId="2C310C22" w14:textId="1A76F72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w:t>
      </w:r>
      <w:r w:rsidR="001952D6">
        <w:rPr>
          <w:rFonts w:ascii="Times New Roman" w:hAnsi="Times New Roman" w:cs="Times New Roman"/>
        </w:rPr>
        <w:t xml:space="preserve"> </w:t>
      </w:r>
      <w:r w:rsidRPr="00EC3BE9">
        <w:rPr>
          <w:rFonts w:ascii="Times New Roman" w:hAnsi="Times New Roman" w:cs="Times New Roman"/>
        </w:rPr>
        <w:t>Gerenciamento de incidentes secundários, tais como penhoras no rosto dos autos, transferências de parcelas incontroversas e liberação de alvarás judiciais;</w:t>
      </w:r>
    </w:p>
    <w:p w14:paraId="756AF069" w14:textId="0182721A"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w:t>
      </w:r>
      <w:r w:rsidR="001952D6">
        <w:rPr>
          <w:rFonts w:ascii="Times New Roman" w:hAnsi="Times New Roman" w:cs="Times New Roman"/>
        </w:rPr>
        <w:t xml:space="preserve"> </w:t>
      </w:r>
      <w:r w:rsidRPr="00EC3BE9">
        <w:rPr>
          <w:rFonts w:ascii="Times New Roman" w:hAnsi="Times New Roman" w:cs="Times New Roman"/>
        </w:rPr>
        <w:t>Apresentação de alegações finais substanciosas, fundamentais para o convencimento deste Juízo.</w:t>
      </w:r>
    </w:p>
    <w:p w14:paraId="6CF4DFF0" w14:textId="04601103"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Portanto, a fixação dos honorários no patamar máximo de 5% sobre a diferença indenizatória não representa qualquer excesso; pelo contrário, é o único percentual apto a remunerar dignamente a advocacia que desfez uma fraude simulada, suportou seis anos de litígio complexo e garantiu a justa indenização constitucional.</w:t>
      </w:r>
    </w:p>
    <w:p w14:paraId="74EBD1DD" w14:textId="74795117"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lastRenderedPageBreak/>
        <w:t xml:space="preserve">Bem por isso, a embargada/expropriada requer a REJEIÇÃO DOS EMBARGOS DE DECLARAÇÃO quanto ao pedido de </w:t>
      </w:r>
      <w:proofErr w:type="gramStart"/>
      <w:r w:rsidRPr="00EC3BE9">
        <w:rPr>
          <w:rFonts w:ascii="Times New Roman" w:hAnsi="Times New Roman" w:cs="Times New Roman"/>
        </w:rPr>
        <w:t>redução  da</w:t>
      </w:r>
      <w:proofErr w:type="gramEnd"/>
      <w:r w:rsidRPr="00EC3BE9">
        <w:rPr>
          <w:rFonts w:ascii="Times New Roman" w:hAnsi="Times New Roman" w:cs="Times New Roman"/>
        </w:rPr>
        <w:t xml:space="preserve"> verba honorária advocatícia sucumbencial.</w:t>
      </w:r>
    </w:p>
    <w:p w14:paraId="445914EF" w14:textId="77777777" w:rsidR="00EC3BE9" w:rsidRPr="001952D6" w:rsidRDefault="00EC3BE9" w:rsidP="00EC3BE9">
      <w:pPr>
        <w:ind w:right="-568"/>
        <w:jc w:val="both"/>
        <w:rPr>
          <w:rFonts w:ascii="Times New Roman" w:hAnsi="Times New Roman" w:cs="Times New Roman"/>
          <w:b/>
          <w:bCs/>
        </w:rPr>
      </w:pPr>
      <w:r w:rsidRPr="001952D6">
        <w:rPr>
          <w:rFonts w:ascii="Times New Roman" w:hAnsi="Times New Roman" w:cs="Times New Roman"/>
          <w:b/>
          <w:bCs/>
        </w:rPr>
        <w:t>VIII-</w:t>
      </w:r>
      <w:r w:rsidRPr="001952D6">
        <w:rPr>
          <w:rFonts w:ascii="Times New Roman" w:hAnsi="Times New Roman" w:cs="Times New Roman"/>
          <w:b/>
          <w:bCs/>
        </w:rPr>
        <w:tab/>
        <w:t>PEDIDOS</w:t>
      </w:r>
    </w:p>
    <w:p w14:paraId="0DC20D13" w14:textId="6D28E31C" w:rsidR="00EC3BE9" w:rsidRPr="00EC3BE9" w:rsidRDefault="00EC3BE9" w:rsidP="00EC3BE9">
      <w:pPr>
        <w:ind w:right="-568"/>
        <w:jc w:val="both"/>
        <w:rPr>
          <w:rFonts w:ascii="Times New Roman" w:hAnsi="Times New Roman" w:cs="Times New Roman"/>
        </w:rPr>
      </w:pPr>
      <w:proofErr w:type="spellStart"/>
      <w:r w:rsidRPr="001952D6">
        <w:rPr>
          <w:rFonts w:ascii="Times New Roman" w:hAnsi="Times New Roman" w:cs="Times New Roman"/>
          <w:b/>
          <w:bCs/>
          <w:i/>
          <w:iCs/>
        </w:rPr>
        <w:t>Ex</w:t>
      </w:r>
      <w:proofErr w:type="spellEnd"/>
      <w:r w:rsidRPr="001952D6">
        <w:rPr>
          <w:rFonts w:ascii="Times New Roman" w:hAnsi="Times New Roman" w:cs="Times New Roman"/>
          <w:b/>
          <w:bCs/>
          <w:i/>
          <w:iCs/>
        </w:rPr>
        <w:t xml:space="preserve"> positis</w:t>
      </w:r>
      <w:r w:rsidRPr="00EC3BE9">
        <w:rPr>
          <w:rFonts w:ascii="Times New Roman" w:hAnsi="Times New Roman" w:cs="Times New Roman"/>
        </w:rPr>
        <w:t>, a embargada requer:</w:t>
      </w:r>
    </w:p>
    <w:p w14:paraId="008482AD" w14:textId="663C0F0F" w:rsidR="00EC3BE9" w:rsidRPr="001952D6" w:rsidRDefault="001952D6" w:rsidP="001952D6">
      <w:pPr>
        <w:ind w:right="-568"/>
        <w:jc w:val="both"/>
        <w:rPr>
          <w:rFonts w:ascii="Times New Roman" w:hAnsi="Times New Roman" w:cs="Times New Roman"/>
        </w:rPr>
      </w:pPr>
      <w:r w:rsidRPr="001952D6">
        <w:rPr>
          <w:rFonts w:ascii="Times New Roman" w:hAnsi="Times New Roman" w:cs="Times New Roman"/>
        </w:rPr>
        <w:t>a)</w:t>
      </w:r>
      <w:r>
        <w:rPr>
          <w:rFonts w:ascii="Times New Roman" w:hAnsi="Times New Roman" w:cs="Times New Roman"/>
        </w:rPr>
        <w:t xml:space="preserve"> </w:t>
      </w:r>
      <w:r w:rsidR="00EC3BE9" w:rsidRPr="001952D6">
        <w:rPr>
          <w:rFonts w:ascii="Times New Roman" w:hAnsi="Times New Roman" w:cs="Times New Roman"/>
        </w:rPr>
        <w:t xml:space="preserve">quanto ao item I dos embargos [erros materiais], seja deferida a correção da fundamentação e da parte dispositiva da sentença, para que passem a constar: (i) Área 02 de </w:t>
      </w:r>
      <w:r>
        <w:rPr>
          <w:rFonts w:ascii="Times New Roman" w:hAnsi="Times New Roman" w:cs="Times New Roman"/>
        </w:rPr>
        <w:t>...</w:t>
      </w:r>
      <w:r w:rsidR="00EC3BE9" w:rsidRPr="001952D6">
        <w:rPr>
          <w:rFonts w:ascii="Times New Roman" w:hAnsi="Times New Roman" w:cs="Times New Roman"/>
        </w:rPr>
        <w:t xml:space="preserve"> m²; (</w:t>
      </w:r>
      <w:proofErr w:type="spellStart"/>
      <w:r w:rsidR="00EC3BE9" w:rsidRPr="001952D6">
        <w:rPr>
          <w:rFonts w:ascii="Times New Roman" w:hAnsi="Times New Roman" w:cs="Times New Roman"/>
        </w:rPr>
        <w:t>ii</w:t>
      </w:r>
      <w:proofErr w:type="spellEnd"/>
      <w:r w:rsidR="00EC3BE9" w:rsidRPr="001952D6">
        <w:rPr>
          <w:rFonts w:ascii="Times New Roman" w:hAnsi="Times New Roman" w:cs="Times New Roman"/>
        </w:rPr>
        <w:t xml:space="preserve">) área total desapropriada de </w:t>
      </w:r>
      <w:r>
        <w:rPr>
          <w:rFonts w:ascii="Times New Roman" w:hAnsi="Times New Roman" w:cs="Times New Roman"/>
        </w:rPr>
        <w:t>...</w:t>
      </w:r>
      <w:r w:rsidR="00EC3BE9" w:rsidRPr="001952D6">
        <w:rPr>
          <w:rFonts w:ascii="Times New Roman" w:hAnsi="Times New Roman" w:cs="Times New Roman"/>
        </w:rPr>
        <w:t xml:space="preserve"> m²; (</w:t>
      </w:r>
      <w:proofErr w:type="spellStart"/>
      <w:r w:rsidR="00EC3BE9" w:rsidRPr="001952D6">
        <w:rPr>
          <w:rFonts w:ascii="Times New Roman" w:hAnsi="Times New Roman" w:cs="Times New Roman"/>
        </w:rPr>
        <w:t>iii</w:t>
      </w:r>
      <w:proofErr w:type="spellEnd"/>
      <w:r w:rsidR="00EC3BE9" w:rsidRPr="001952D6">
        <w:rPr>
          <w:rFonts w:ascii="Times New Roman" w:hAnsi="Times New Roman" w:cs="Times New Roman"/>
        </w:rPr>
        <w:t xml:space="preserve">) valor da Área 02 de R$ </w:t>
      </w:r>
      <w:r>
        <w:rPr>
          <w:rFonts w:ascii="Times New Roman" w:hAnsi="Times New Roman" w:cs="Times New Roman"/>
        </w:rPr>
        <w:t>...</w:t>
      </w:r>
      <w:r w:rsidR="00EC3BE9" w:rsidRPr="001952D6">
        <w:rPr>
          <w:rFonts w:ascii="Times New Roman" w:hAnsi="Times New Roman" w:cs="Times New Roman"/>
        </w:rPr>
        <w:t>; (</w:t>
      </w:r>
      <w:proofErr w:type="spellStart"/>
      <w:r w:rsidR="00EC3BE9" w:rsidRPr="001952D6">
        <w:rPr>
          <w:rFonts w:ascii="Times New Roman" w:hAnsi="Times New Roman" w:cs="Times New Roman"/>
        </w:rPr>
        <w:t>iv</w:t>
      </w:r>
      <w:proofErr w:type="spellEnd"/>
      <w:r w:rsidR="00EC3BE9" w:rsidRPr="001952D6">
        <w:rPr>
          <w:rFonts w:ascii="Times New Roman" w:hAnsi="Times New Roman" w:cs="Times New Roman"/>
        </w:rPr>
        <w:t xml:space="preserve">) valor total da terra nua de R$ </w:t>
      </w:r>
      <w:r>
        <w:rPr>
          <w:rFonts w:ascii="Times New Roman" w:hAnsi="Times New Roman" w:cs="Times New Roman"/>
        </w:rPr>
        <w:t>...</w:t>
      </w:r>
      <w:r w:rsidR="00EC3BE9" w:rsidRPr="001952D6">
        <w:rPr>
          <w:rFonts w:ascii="Times New Roman" w:hAnsi="Times New Roman" w:cs="Times New Roman"/>
        </w:rPr>
        <w:t xml:space="preserve">; (v) indenização total de R$ </w:t>
      </w:r>
      <w:r>
        <w:rPr>
          <w:rFonts w:ascii="Times New Roman" w:hAnsi="Times New Roman" w:cs="Times New Roman"/>
        </w:rPr>
        <w:t>...</w:t>
      </w:r>
      <w:r w:rsidR="00EC3BE9" w:rsidRPr="001952D6">
        <w:rPr>
          <w:rFonts w:ascii="Times New Roman" w:hAnsi="Times New Roman" w:cs="Times New Roman"/>
        </w:rPr>
        <w:t>; e, ainda, seja corrigida a identificação da parte que impugnou a composição amostral, para constar “</w:t>
      </w:r>
      <w:r w:rsidR="00EC3BE9" w:rsidRPr="001952D6">
        <w:rPr>
          <w:rFonts w:ascii="Times New Roman" w:hAnsi="Times New Roman" w:cs="Times New Roman"/>
          <w:i/>
          <w:iCs/>
        </w:rPr>
        <w:t>parte expropriante</w:t>
      </w:r>
      <w:r w:rsidR="00EC3BE9" w:rsidRPr="001952D6">
        <w:rPr>
          <w:rFonts w:ascii="Times New Roman" w:hAnsi="Times New Roman" w:cs="Times New Roman"/>
        </w:rPr>
        <w:t>” em lugar de “</w:t>
      </w:r>
      <w:r w:rsidR="00EC3BE9" w:rsidRPr="001952D6">
        <w:rPr>
          <w:rFonts w:ascii="Times New Roman" w:hAnsi="Times New Roman" w:cs="Times New Roman"/>
          <w:i/>
          <w:iCs/>
        </w:rPr>
        <w:t>parte expropriada</w:t>
      </w:r>
      <w:r w:rsidR="00EC3BE9" w:rsidRPr="001952D6">
        <w:rPr>
          <w:rFonts w:ascii="Times New Roman" w:hAnsi="Times New Roman" w:cs="Times New Roman"/>
        </w:rPr>
        <w:t>”, tratando-se de correções que a própria embargada não resiste, por se cuidarem de efetivo erro material, nos termos do art. 1.022, III, do CPC;</w:t>
      </w:r>
    </w:p>
    <w:p w14:paraId="53BEF47C" w14:textId="207AC93E"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b)</w:t>
      </w:r>
      <w:r w:rsidR="001952D6">
        <w:rPr>
          <w:rFonts w:ascii="Times New Roman" w:hAnsi="Times New Roman" w:cs="Times New Roman"/>
        </w:rPr>
        <w:t xml:space="preserve"> </w:t>
      </w:r>
      <w:r w:rsidRPr="00EC3BE9">
        <w:rPr>
          <w:rFonts w:ascii="Times New Roman" w:hAnsi="Times New Roman" w:cs="Times New Roman"/>
        </w:rPr>
        <w:t>quanto ao item II dos embargos [extrapolação dos limites amostrais], seja NÃO CONHECIDO, por inadequação da via eleita, ante a ausência de contradição interna e estrutural no julgado, tratando-se de inconformismo com a valoração da prova pericial, insuscetível de reexame por embargos de declaração; subsidiariamente, caso conhecido, seja REJEITADO NO MÉRITO, mantendo-se incólume a conclusão da sentença quanto à validade metodológica do laudo pericial;</w:t>
      </w:r>
    </w:p>
    <w:p w14:paraId="67D41691" w14:textId="1C5121F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c)</w:t>
      </w:r>
      <w:r w:rsidR="001952D6">
        <w:rPr>
          <w:rFonts w:ascii="Times New Roman" w:hAnsi="Times New Roman" w:cs="Times New Roman"/>
        </w:rPr>
        <w:t xml:space="preserve"> </w:t>
      </w:r>
      <w:r w:rsidRPr="00EC3BE9">
        <w:rPr>
          <w:rFonts w:ascii="Times New Roman" w:hAnsi="Times New Roman" w:cs="Times New Roman"/>
        </w:rPr>
        <w:t>quanto ao item III dos embargos [fator de oferta], sejam REJEITADOS, por não configurar omissão a ausência de menção nominal ao coeficiente “</w:t>
      </w:r>
      <w:r w:rsidRPr="001952D6">
        <w:rPr>
          <w:rFonts w:ascii="Times New Roman" w:hAnsi="Times New Roman" w:cs="Times New Roman"/>
          <w:i/>
          <w:iCs/>
        </w:rPr>
        <w:t>0,90</w:t>
      </w:r>
      <w:r w:rsidRPr="00EC3BE9">
        <w:rPr>
          <w:rFonts w:ascii="Times New Roman" w:hAnsi="Times New Roman" w:cs="Times New Roman"/>
        </w:rPr>
        <w:t xml:space="preserve">”, já que a sentença enfrentou de forma suficiente e motivada a validade do método comparativo e do tratamento estatístico empregado pelo perito judicial, não se prestando 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à reabertura do debate técnico já decidido;</w:t>
      </w:r>
    </w:p>
    <w:p w14:paraId="15A37C3D" w14:textId="0589C9D6"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d)</w:t>
      </w:r>
      <w:r w:rsidR="001952D6">
        <w:rPr>
          <w:rFonts w:ascii="Times New Roman" w:hAnsi="Times New Roman" w:cs="Times New Roman"/>
        </w:rPr>
        <w:t xml:space="preserve"> </w:t>
      </w:r>
      <w:r w:rsidRPr="00EC3BE9">
        <w:rPr>
          <w:rFonts w:ascii="Times New Roman" w:hAnsi="Times New Roman" w:cs="Times New Roman"/>
        </w:rPr>
        <w:t xml:space="preserve">quanto ao item IV dos embargos [atualização dos depósitos prévios], seja acolhido, em caráter exclusivamente </w:t>
      </w:r>
      <w:proofErr w:type="spellStart"/>
      <w:r w:rsidRPr="00EC3BE9">
        <w:rPr>
          <w:rFonts w:ascii="Times New Roman" w:hAnsi="Times New Roman" w:cs="Times New Roman"/>
        </w:rPr>
        <w:t>aclaratório</w:t>
      </w:r>
      <w:proofErr w:type="spellEnd"/>
      <w:r w:rsidRPr="00EC3BE9">
        <w:rPr>
          <w:rFonts w:ascii="Times New Roman" w:hAnsi="Times New Roman" w:cs="Times New Roman"/>
        </w:rPr>
        <w:t xml:space="preserve"> e integrativo, para que conste expressamente que os depósitos prévios realizados pela expropriante ---    inclusive o de R$ </w:t>
      </w:r>
      <w:r w:rsidR="001952D6">
        <w:rPr>
          <w:rFonts w:ascii="Times New Roman" w:hAnsi="Times New Roman" w:cs="Times New Roman"/>
        </w:rPr>
        <w:t>...</w:t>
      </w:r>
      <w:r w:rsidRPr="00EC3BE9">
        <w:rPr>
          <w:rFonts w:ascii="Times New Roman" w:hAnsi="Times New Roman" w:cs="Times New Roman"/>
        </w:rPr>
        <w:t xml:space="preserve">, efetuado em </w:t>
      </w:r>
      <w:r w:rsidR="001952D6">
        <w:rPr>
          <w:rFonts w:ascii="Times New Roman" w:hAnsi="Times New Roman" w:cs="Times New Roman"/>
        </w:rPr>
        <w:t>...</w:t>
      </w:r>
      <w:r w:rsidRPr="00EC3BE9">
        <w:rPr>
          <w:rFonts w:ascii="Times New Roman" w:hAnsi="Times New Roman" w:cs="Times New Roman"/>
        </w:rPr>
        <w:t xml:space="preserve">   ---         sejam considerados em valor temporalmente equivalente à data-base da avaliação judicial [</w:t>
      </w:r>
      <w:r w:rsidR="001952D6">
        <w:rPr>
          <w:rFonts w:ascii="Times New Roman" w:hAnsi="Times New Roman" w:cs="Times New Roman"/>
        </w:rPr>
        <w:t>...</w:t>
      </w:r>
      <w:r w:rsidRPr="00EC3BE9">
        <w:rPr>
          <w:rFonts w:ascii="Times New Roman" w:hAnsi="Times New Roman" w:cs="Times New Roman"/>
        </w:rPr>
        <w:t>], mediante atualização monetária ou rendimentos efetivamente correspondentes ao período, vedada qualquer duplicidade de incidência, sem reconhecimento de crédito autônomo em favor da expropriante e sem alteração da premissa central da sentença, segundo a qual a correção monetária e os demais consectários recaem exclusivamente sobre o saldo remanescente;</w:t>
      </w:r>
    </w:p>
    <w:p w14:paraId="62BBC356" w14:textId="41A32F8D"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e)</w:t>
      </w:r>
      <w:r w:rsidR="001952D6">
        <w:rPr>
          <w:rFonts w:ascii="Times New Roman" w:hAnsi="Times New Roman" w:cs="Times New Roman"/>
        </w:rPr>
        <w:t xml:space="preserve"> </w:t>
      </w:r>
      <w:r w:rsidRPr="00EC3BE9">
        <w:rPr>
          <w:rFonts w:ascii="Times New Roman" w:hAnsi="Times New Roman" w:cs="Times New Roman"/>
        </w:rPr>
        <w:t xml:space="preserve">quanto ao item V dos embargos [exclusão da taxa SELIC — item III.3 dos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seja NÃO CONHECIDO, em caráter preliminar, por inadequação da via eleita e por configurar inovação processual vedada, ante a preclusão da matéria não suscitada em momento processual oportuno; subsidiariamente, caso conhecido, seja REJEITADO NO MÉRITO, mantendo-se a aplicação da taxa SELIC tal como fixada na sentença embargada, à luz da finalidade pública do ato expropriatório, da garantia constitucional da justa indenização e da inaplicabilidade do precedente paradigma invocado pela embargante; subsidiariamente ainda, caso se entenda pela procedência parcial da tese, que a exclusão da SELIC se limite ao período de vigência da redação conferida pela EC 136/2025 [a partir de </w:t>
      </w:r>
      <w:r w:rsidR="004D1900">
        <w:rPr>
          <w:rFonts w:ascii="Times New Roman" w:hAnsi="Times New Roman" w:cs="Times New Roman"/>
        </w:rPr>
        <w:t>...</w:t>
      </w:r>
      <w:r w:rsidRPr="00EC3BE9">
        <w:rPr>
          <w:rFonts w:ascii="Times New Roman" w:hAnsi="Times New Roman" w:cs="Times New Roman"/>
        </w:rPr>
        <w:t xml:space="preserve">], preservando-se sua incidência para o </w:t>
      </w:r>
      <w:r w:rsidRPr="00EC3BE9">
        <w:rPr>
          <w:rFonts w:ascii="Times New Roman" w:hAnsi="Times New Roman" w:cs="Times New Roman"/>
        </w:rPr>
        <w:lastRenderedPageBreak/>
        <w:t>período anterior; em qualquer hipótese, que a decisão seja precedida da integral consideração dos fundamentos apresentados nesta contrariedade, nos termos do art. 10 do CPC;</w:t>
      </w:r>
    </w:p>
    <w:p w14:paraId="42DE3D66" w14:textId="586B2AE1"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f)</w:t>
      </w:r>
      <w:r w:rsidR="004D1900">
        <w:rPr>
          <w:rFonts w:ascii="Times New Roman" w:hAnsi="Times New Roman" w:cs="Times New Roman"/>
        </w:rPr>
        <w:t xml:space="preserve"> </w:t>
      </w:r>
      <w:r w:rsidRPr="00EC3BE9">
        <w:rPr>
          <w:rFonts w:ascii="Times New Roman" w:hAnsi="Times New Roman" w:cs="Times New Roman"/>
        </w:rPr>
        <w:t xml:space="preserve">quanto ao item VI dos embargos [base de cálculo dos juros moratórios — item III.4 dos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seja PARCIALMENTE ACOLHIDO, tão somente para reconhecer que os juros moratórios incidem sobre o saldo indenizatório remanescente [diferença entre a indenização judicial e os valores depositados a título de oferta], REJEITANDO-SE, CONTUDO, a incorporação, “</w:t>
      </w:r>
      <w:r w:rsidRPr="004D1900">
        <w:rPr>
          <w:rFonts w:ascii="Times New Roman" w:hAnsi="Times New Roman" w:cs="Times New Roman"/>
          <w:i/>
          <w:iCs/>
        </w:rPr>
        <w:t>por arrasto</w:t>
      </w:r>
      <w:r w:rsidRPr="00EC3BE9">
        <w:rPr>
          <w:rFonts w:ascii="Times New Roman" w:hAnsi="Times New Roman" w:cs="Times New Roman"/>
        </w:rPr>
        <w:t xml:space="preserve">”, da metodologia de atualização e recondução dos depósitos a data-base comum, matéria que deverá permanecer sujeita à decisão autônoma do item anterior [item IV/III.2 dos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sem qualquer efeito de prejulgamento decorrente da resposta dada a este item;</w:t>
      </w:r>
    </w:p>
    <w:p w14:paraId="3517A31A" w14:textId="3A49DC3B"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g)</w:t>
      </w:r>
      <w:r w:rsidR="004D1900">
        <w:rPr>
          <w:rFonts w:ascii="Times New Roman" w:hAnsi="Times New Roman" w:cs="Times New Roman"/>
        </w:rPr>
        <w:t xml:space="preserve"> </w:t>
      </w:r>
      <w:r w:rsidRPr="00EC3BE9">
        <w:rPr>
          <w:rFonts w:ascii="Times New Roman" w:hAnsi="Times New Roman" w:cs="Times New Roman"/>
        </w:rPr>
        <w:t xml:space="preserve">quanto ao item VII dos embargos [redução do percentual de honorários advocatícios--- item III.5 dos </w:t>
      </w:r>
      <w:proofErr w:type="spellStart"/>
      <w:r w:rsidRPr="00EC3BE9">
        <w:rPr>
          <w:rFonts w:ascii="Times New Roman" w:hAnsi="Times New Roman" w:cs="Times New Roman"/>
        </w:rPr>
        <w:t>aclaratórios</w:t>
      </w:r>
      <w:proofErr w:type="spellEnd"/>
      <w:r w:rsidRPr="00EC3BE9">
        <w:rPr>
          <w:rFonts w:ascii="Times New Roman" w:hAnsi="Times New Roman" w:cs="Times New Roman"/>
        </w:rPr>
        <w:t xml:space="preserve">], seja NÃO CONHECIDO, por manifesta inadequação da via eleita, ante a ausência de qualquer das hipóteses do art. 1.022 do CPC, tratando-se de inequívoca pretensão de rejulgamento do mérito; subsidiariamente, caso conhecido, seja REJEITADO NO MÉRITO, mantendo-se </w:t>
      </w:r>
      <w:r w:rsidRPr="004D1900">
        <w:rPr>
          <w:rFonts w:ascii="Times New Roman" w:hAnsi="Times New Roman" w:cs="Times New Roman"/>
          <w:i/>
          <w:iCs/>
        </w:rPr>
        <w:t xml:space="preserve">in </w:t>
      </w:r>
      <w:proofErr w:type="spellStart"/>
      <w:r w:rsidRPr="004D1900">
        <w:rPr>
          <w:rFonts w:ascii="Times New Roman" w:hAnsi="Times New Roman" w:cs="Times New Roman"/>
          <w:i/>
          <w:iCs/>
        </w:rPr>
        <w:t>totum</w:t>
      </w:r>
      <w:proofErr w:type="spellEnd"/>
      <w:r w:rsidRPr="00EC3BE9">
        <w:rPr>
          <w:rFonts w:ascii="Times New Roman" w:hAnsi="Times New Roman" w:cs="Times New Roman"/>
        </w:rPr>
        <w:t xml:space="preserve"> o percentual de 5% fixado a título de honorários advocatícios, por estar dentro dos limites legais do art. 27, § 1º, do Decreto-Lei 3.365/1941 e devidamente amparado nas circunstâncias concretas da causa;</w:t>
      </w:r>
    </w:p>
    <w:p w14:paraId="66D8E6C6" w14:textId="15FF4244" w:rsidR="00EC3BE9" w:rsidRPr="00EC3BE9" w:rsidRDefault="00EC3BE9" w:rsidP="00EC3BE9">
      <w:pPr>
        <w:ind w:right="-568"/>
        <w:jc w:val="both"/>
        <w:rPr>
          <w:rFonts w:ascii="Times New Roman" w:hAnsi="Times New Roman" w:cs="Times New Roman"/>
        </w:rPr>
      </w:pPr>
      <w:r w:rsidRPr="00EC3BE9">
        <w:rPr>
          <w:rFonts w:ascii="Times New Roman" w:hAnsi="Times New Roman" w:cs="Times New Roman"/>
        </w:rPr>
        <w:t>h)</w:t>
      </w:r>
      <w:r w:rsidR="004D1900">
        <w:rPr>
          <w:rFonts w:ascii="Times New Roman" w:hAnsi="Times New Roman" w:cs="Times New Roman"/>
        </w:rPr>
        <w:t xml:space="preserve"> </w:t>
      </w:r>
      <w:r w:rsidRPr="00EC3BE9">
        <w:rPr>
          <w:rFonts w:ascii="Times New Roman" w:hAnsi="Times New Roman" w:cs="Times New Roman"/>
        </w:rPr>
        <w:t>por fim, seja a embargante, se for o caso, CONDENADA AO PAGAMENTO DAS CUSTAS PROCESSUAIS E HONORÁRIOS ADVOCATÍCIOS RECURSAIS que vierem a ser fixados, agora também em decorrência do não provimento, total ou parcial, dos embargos de declaração ora contrariados.</w:t>
      </w:r>
    </w:p>
    <w:p w14:paraId="468931D3" w14:textId="6FF7830C" w:rsidR="00EC3BE9" w:rsidRPr="00EC3BE9" w:rsidRDefault="00EC3BE9" w:rsidP="004D1900">
      <w:pPr>
        <w:spacing w:after="0" w:line="240" w:lineRule="auto"/>
        <w:ind w:right="-567"/>
        <w:jc w:val="center"/>
        <w:rPr>
          <w:rFonts w:ascii="Times New Roman" w:hAnsi="Times New Roman" w:cs="Times New Roman"/>
        </w:rPr>
      </w:pPr>
      <w:r w:rsidRPr="00EC3BE9">
        <w:rPr>
          <w:rFonts w:ascii="Times New Roman" w:hAnsi="Times New Roman" w:cs="Times New Roman"/>
        </w:rPr>
        <w:t>P</w:t>
      </w:r>
      <w:r w:rsidR="004D1900">
        <w:rPr>
          <w:rFonts w:ascii="Times New Roman" w:hAnsi="Times New Roman" w:cs="Times New Roman"/>
        </w:rPr>
        <w:t>ede</w:t>
      </w:r>
      <w:r w:rsidRPr="00EC3BE9">
        <w:rPr>
          <w:rFonts w:ascii="Times New Roman" w:hAnsi="Times New Roman" w:cs="Times New Roman"/>
        </w:rPr>
        <w:t xml:space="preserve"> Deferimento.</w:t>
      </w:r>
    </w:p>
    <w:p w14:paraId="163C0BDA" w14:textId="3B1A29D3" w:rsidR="00EC3BE9" w:rsidRDefault="004D1900" w:rsidP="004D1900">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6214A5E2" w14:textId="27EE074D" w:rsidR="004D1900" w:rsidRPr="00EC3BE9" w:rsidRDefault="004D1900" w:rsidP="004D1900">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4D1900" w:rsidRPr="00EC3B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545C5"/>
    <w:multiLevelType w:val="hybridMultilevel"/>
    <w:tmpl w:val="2B60632C"/>
    <w:lvl w:ilvl="0" w:tplc="C0FC073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80E1470"/>
    <w:multiLevelType w:val="hybridMultilevel"/>
    <w:tmpl w:val="05246F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26344062">
    <w:abstractNumId w:val="0"/>
  </w:num>
  <w:num w:numId="2" w16cid:durableId="931397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BE9"/>
    <w:rsid w:val="001952D6"/>
    <w:rsid w:val="00360316"/>
    <w:rsid w:val="004D1900"/>
    <w:rsid w:val="00EC3B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1169"/>
  <w15:chartTrackingRefBased/>
  <w15:docId w15:val="{ECE34C66-841E-4574-8726-7C0A5B96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C3B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C3B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C3BE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C3BE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C3BE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C3BE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C3BE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C3BE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C3BE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C3BE9"/>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C3BE9"/>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C3BE9"/>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C3BE9"/>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C3BE9"/>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C3BE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C3BE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C3BE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C3BE9"/>
    <w:rPr>
      <w:rFonts w:eastAsiaTheme="majorEastAsia" w:cstheme="majorBidi"/>
      <w:color w:val="272727" w:themeColor="text1" w:themeTint="D8"/>
    </w:rPr>
  </w:style>
  <w:style w:type="paragraph" w:styleId="Ttulo">
    <w:name w:val="Title"/>
    <w:basedOn w:val="Normal"/>
    <w:next w:val="Normal"/>
    <w:link w:val="TtuloChar"/>
    <w:uiPriority w:val="10"/>
    <w:qFormat/>
    <w:rsid w:val="00EC3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C3B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C3BE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C3BE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C3BE9"/>
    <w:pPr>
      <w:spacing w:before="160"/>
      <w:jc w:val="center"/>
    </w:pPr>
    <w:rPr>
      <w:i/>
      <w:iCs/>
      <w:color w:val="404040" w:themeColor="text1" w:themeTint="BF"/>
    </w:rPr>
  </w:style>
  <w:style w:type="character" w:customStyle="1" w:styleId="CitaoChar">
    <w:name w:val="Citação Char"/>
    <w:basedOn w:val="Fontepargpadro"/>
    <w:link w:val="Citao"/>
    <w:uiPriority w:val="29"/>
    <w:rsid w:val="00EC3BE9"/>
    <w:rPr>
      <w:i/>
      <w:iCs/>
      <w:color w:val="404040" w:themeColor="text1" w:themeTint="BF"/>
    </w:rPr>
  </w:style>
  <w:style w:type="paragraph" w:styleId="PargrafodaLista">
    <w:name w:val="List Paragraph"/>
    <w:basedOn w:val="Normal"/>
    <w:uiPriority w:val="34"/>
    <w:qFormat/>
    <w:rsid w:val="00EC3BE9"/>
    <w:pPr>
      <w:ind w:left="720"/>
      <w:contextualSpacing/>
    </w:pPr>
  </w:style>
  <w:style w:type="character" w:styleId="nfaseIntensa">
    <w:name w:val="Intense Emphasis"/>
    <w:basedOn w:val="Fontepargpadro"/>
    <w:uiPriority w:val="21"/>
    <w:qFormat/>
    <w:rsid w:val="00EC3BE9"/>
    <w:rPr>
      <w:i/>
      <w:iCs/>
      <w:color w:val="2F5496" w:themeColor="accent1" w:themeShade="BF"/>
    </w:rPr>
  </w:style>
  <w:style w:type="paragraph" w:styleId="CitaoIntensa">
    <w:name w:val="Intense Quote"/>
    <w:basedOn w:val="Normal"/>
    <w:next w:val="Normal"/>
    <w:link w:val="CitaoIntensaChar"/>
    <w:uiPriority w:val="30"/>
    <w:qFormat/>
    <w:rsid w:val="00EC3B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C3BE9"/>
    <w:rPr>
      <w:i/>
      <w:iCs/>
      <w:color w:val="2F5496" w:themeColor="accent1" w:themeShade="BF"/>
    </w:rPr>
  </w:style>
  <w:style w:type="character" w:styleId="RefernciaIntensa">
    <w:name w:val="Intense Reference"/>
    <w:basedOn w:val="Fontepargpadro"/>
    <w:uiPriority w:val="32"/>
    <w:qFormat/>
    <w:rsid w:val="00EC3B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18</Pages>
  <Words>8090</Words>
  <Characters>43688</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2026-10-07T00:06:00Z</dcterms:created>
  <dcterms:modified xsi:type="dcterms:W3CDTF">2026-10-07T00:29:00Z</dcterms:modified>
</cp:coreProperties>
</file>