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C81988" w14:textId="77777777" w:rsidR="00A92FDB" w:rsidRPr="00A92FDB" w:rsidRDefault="00A92FDB" w:rsidP="00A92FDB">
      <w:pPr>
        <w:spacing w:after="0" w:line="240" w:lineRule="auto"/>
        <w:ind w:right="-567"/>
        <w:jc w:val="center"/>
        <w:rPr>
          <w:rFonts w:ascii="Arial Black" w:hAnsi="Arial Black" w:cs="Times New Roman"/>
        </w:rPr>
      </w:pPr>
      <w:r w:rsidRPr="00A92FDB">
        <w:rPr>
          <w:rFonts w:ascii="Arial Black" w:hAnsi="Arial Black" w:cs="Times New Roman"/>
        </w:rPr>
        <w:t>MODELO DE PETIÇÃO</w:t>
      </w:r>
    </w:p>
    <w:p w14:paraId="75886838" w14:textId="77777777" w:rsidR="00A92FDB" w:rsidRPr="00A92FDB" w:rsidRDefault="00A92FDB" w:rsidP="00A92FDB">
      <w:pPr>
        <w:spacing w:after="0" w:line="240" w:lineRule="auto"/>
        <w:ind w:right="-567"/>
        <w:jc w:val="center"/>
        <w:rPr>
          <w:rFonts w:ascii="Arial Black" w:hAnsi="Arial Black" w:cs="Times New Roman"/>
        </w:rPr>
      </w:pPr>
      <w:r w:rsidRPr="00A92FDB">
        <w:rPr>
          <w:rFonts w:ascii="Arial Black" w:hAnsi="Arial Black" w:cs="Times New Roman"/>
        </w:rPr>
        <w:t>CUMPRIMENTO DE SENTENÇA. TÍTULO JUDICIAL. ILÍQUIDO.</w:t>
      </w:r>
    </w:p>
    <w:p w14:paraId="0D132941" w14:textId="77777777" w:rsidR="00A92FDB" w:rsidRPr="00A92FDB" w:rsidRDefault="00A92FDB" w:rsidP="00A92FDB">
      <w:pPr>
        <w:spacing w:after="0" w:line="240" w:lineRule="auto"/>
        <w:ind w:right="-567"/>
        <w:jc w:val="center"/>
        <w:rPr>
          <w:rFonts w:ascii="Arial Black" w:hAnsi="Arial Black" w:cs="Times New Roman"/>
        </w:rPr>
      </w:pPr>
      <w:r w:rsidRPr="00A92FDB">
        <w:rPr>
          <w:rFonts w:ascii="Arial Black" w:hAnsi="Arial Black" w:cs="Times New Roman"/>
        </w:rPr>
        <w:t>ALTERAÇÃO. IMPOSSIBILIDADE. EXTINÇÃO. MEMORIAL</w:t>
      </w:r>
    </w:p>
    <w:p w14:paraId="33224E4C" w14:textId="77777777" w:rsidR="00A92FDB" w:rsidRPr="00A92FDB" w:rsidRDefault="00A92FDB" w:rsidP="00A92FDB">
      <w:pPr>
        <w:spacing w:after="0" w:line="240" w:lineRule="auto"/>
        <w:ind w:right="-567"/>
        <w:jc w:val="right"/>
        <w:rPr>
          <w:rFonts w:ascii="Arial Black" w:hAnsi="Arial Black" w:cs="Times New Roman"/>
        </w:rPr>
      </w:pPr>
      <w:proofErr w:type="spellStart"/>
      <w:r w:rsidRPr="00A92FDB">
        <w:rPr>
          <w:rFonts w:ascii="Arial Black" w:hAnsi="Arial Black" w:cs="Times New Roman"/>
        </w:rPr>
        <w:t>Rénan</w:t>
      </w:r>
      <w:proofErr w:type="spellEnd"/>
      <w:r w:rsidRPr="00A92FDB">
        <w:rPr>
          <w:rFonts w:ascii="Arial Black" w:hAnsi="Arial Black" w:cs="Times New Roman"/>
        </w:rPr>
        <w:t xml:space="preserve"> </w:t>
      </w:r>
      <w:proofErr w:type="spellStart"/>
      <w:r w:rsidRPr="00A92FDB">
        <w:rPr>
          <w:rFonts w:ascii="Arial Black" w:hAnsi="Arial Black" w:cs="Times New Roman"/>
        </w:rPr>
        <w:t>Kfuri</w:t>
      </w:r>
      <w:proofErr w:type="spellEnd"/>
      <w:r w:rsidRPr="00A92FDB">
        <w:rPr>
          <w:rFonts w:ascii="Arial Black" w:hAnsi="Arial Black" w:cs="Times New Roman"/>
        </w:rPr>
        <w:t xml:space="preserve"> Lopes</w:t>
      </w:r>
    </w:p>
    <w:p w14:paraId="46228F7A" w14:textId="77777777" w:rsidR="00A92FDB" w:rsidRPr="00A92FDB" w:rsidRDefault="00A92FDB" w:rsidP="00A92FDB">
      <w:pPr>
        <w:ind w:right="-568"/>
        <w:jc w:val="both"/>
        <w:rPr>
          <w:rFonts w:ascii="Times New Roman" w:hAnsi="Times New Roman" w:cs="Times New Roman"/>
        </w:rPr>
      </w:pPr>
    </w:p>
    <w:p w14:paraId="6BAFBE15" w14:textId="46ED4738" w:rsidR="00A92FDB" w:rsidRDefault="00A92FDB" w:rsidP="00A92FDB">
      <w:pPr>
        <w:ind w:right="-568"/>
        <w:jc w:val="both"/>
        <w:rPr>
          <w:rFonts w:ascii="Times New Roman" w:hAnsi="Times New Roman" w:cs="Times New Roman"/>
        </w:rPr>
      </w:pPr>
      <w:r w:rsidRPr="00A92FDB">
        <w:rPr>
          <w:rFonts w:ascii="Times New Roman" w:hAnsi="Times New Roman" w:cs="Times New Roman"/>
        </w:rPr>
        <w:t>E</w:t>
      </w:r>
      <w:r>
        <w:rPr>
          <w:rFonts w:ascii="Times New Roman" w:hAnsi="Times New Roman" w:cs="Times New Roman"/>
        </w:rPr>
        <w:t>xmo. Sr. Ministro ...- DD Relator do Recurso Especial n. ... - ... Turma do STJ</w:t>
      </w:r>
    </w:p>
    <w:p w14:paraId="61CAB325" w14:textId="77777777" w:rsidR="00A92FDB" w:rsidRDefault="00A92FDB" w:rsidP="00A92FDB">
      <w:pPr>
        <w:ind w:right="-568"/>
        <w:jc w:val="both"/>
        <w:rPr>
          <w:rFonts w:ascii="Times New Roman" w:hAnsi="Times New Roman" w:cs="Times New Roman"/>
        </w:rPr>
      </w:pPr>
    </w:p>
    <w:p w14:paraId="1E74E678" w14:textId="5E55ED01"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RECORRENTES:</w:t>
      </w:r>
      <w:r w:rsidRPr="00A92FDB">
        <w:rPr>
          <w:rFonts w:ascii="Times New Roman" w:hAnsi="Times New Roman" w:cs="Times New Roman"/>
        </w:rPr>
        <w:tab/>
      </w:r>
      <w:r>
        <w:rPr>
          <w:rFonts w:ascii="Times New Roman" w:hAnsi="Times New Roman" w:cs="Times New Roman"/>
        </w:rPr>
        <w:t>...</w:t>
      </w:r>
    </w:p>
    <w:p w14:paraId="05BA4324" w14:textId="77777777" w:rsidR="00A92FDB" w:rsidRPr="00A92FDB" w:rsidRDefault="00A92FDB" w:rsidP="00A92FDB">
      <w:pPr>
        <w:ind w:right="-568"/>
        <w:jc w:val="both"/>
        <w:rPr>
          <w:rFonts w:ascii="Times New Roman" w:hAnsi="Times New Roman" w:cs="Times New Roman"/>
        </w:rPr>
      </w:pPr>
    </w:p>
    <w:p w14:paraId="760574CD" w14:textId="4A361CE8"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RECORRIDO:</w:t>
      </w:r>
      <w:r w:rsidRPr="00A92FDB">
        <w:rPr>
          <w:rFonts w:ascii="Times New Roman" w:hAnsi="Times New Roman" w:cs="Times New Roman"/>
        </w:rPr>
        <w:tab/>
      </w:r>
      <w:r>
        <w:rPr>
          <w:rFonts w:ascii="Times New Roman" w:hAnsi="Times New Roman" w:cs="Times New Roman"/>
        </w:rPr>
        <w:t>...</w:t>
      </w:r>
    </w:p>
    <w:p w14:paraId="32AF5CE8" w14:textId="18FFC6FA"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 xml:space="preserve">- </w:t>
      </w:r>
      <w:proofErr w:type="gramStart"/>
      <w:r w:rsidRPr="00A92FDB">
        <w:rPr>
          <w:rFonts w:ascii="Times New Roman" w:hAnsi="Times New Roman" w:cs="Times New Roman"/>
        </w:rPr>
        <w:t>MEMORIAL  PELOS</w:t>
      </w:r>
      <w:proofErr w:type="gramEnd"/>
      <w:r w:rsidRPr="00A92FDB">
        <w:rPr>
          <w:rFonts w:ascii="Times New Roman" w:hAnsi="Times New Roman" w:cs="Times New Roman"/>
        </w:rPr>
        <w:t xml:space="preserve">  RECORRENTES-</w:t>
      </w:r>
    </w:p>
    <w:p w14:paraId="0C8BF6DE" w14:textId="77777777"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PRECEDENTES DA QUARTA TURMA DO STJ</w:t>
      </w:r>
    </w:p>
    <w:p w14:paraId="78C22217" w14:textId="77777777"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 Violação aos Artigos 509, inciso I, e 510 do Código de Processo Civil. Matéria de Ordem Pública e Transgressão à Coisa Julgada -</w:t>
      </w:r>
    </w:p>
    <w:p w14:paraId="4AA2D52D" w14:textId="77777777"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A jurisprudência desta Corte firmou-se no sentido de que a execução de título judicial deve ser realizada nos termos da condenação exposta na sentença exequenda, sendo defeso ao juízo da execução modificar o que foi decidido no título executivo, sob pena de violação da coisa julgada.</w:t>
      </w:r>
    </w:p>
    <w:p w14:paraId="7E79988C" w14:textId="2A1C3DB1"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Eminente Relator e Doutos Ministros da Quarta Turma</w:t>
      </w:r>
      <w:r>
        <w:rPr>
          <w:rFonts w:ascii="Times New Roman" w:hAnsi="Times New Roman" w:cs="Times New Roman"/>
        </w:rPr>
        <w:t xml:space="preserve"> </w:t>
      </w:r>
      <w:r w:rsidRPr="00A92FDB">
        <w:rPr>
          <w:rFonts w:ascii="Times New Roman" w:hAnsi="Times New Roman" w:cs="Times New Roman"/>
        </w:rPr>
        <w:t>do Superior Tribunal de Justiça</w:t>
      </w:r>
    </w:p>
    <w:p w14:paraId="19DE238E" w14:textId="19E9879C" w:rsidR="00A92FDB" w:rsidRPr="00A92FDB" w:rsidRDefault="00A92FDB" w:rsidP="00A92FDB">
      <w:pPr>
        <w:ind w:right="-568"/>
        <w:jc w:val="both"/>
        <w:rPr>
          <w:rFonts w:ascii="Times New Roman" w:hAnsi="Times New Roman" w:cs="Times New Roman"/>
          <w:b/>
          <w:bCs/>
        </w:rPr>
      </w:pPr>
      <w:r w:rsidRPr="00A92FDB">
        <w:rPr>
          <w:rFonts w:ascii="Times New Roman" w:hAnsi="Times New Roman" w:cs="Times New Roman"/>
          <w:b/>
          <w:bCs/>
        </w:rPr>
        <w:t xml:space="preserve">I- </w:t>
      </w:r>
      <w:r w:rsidRPr="00A92FDB">
        <w:rPr>
          <w:rFonts w:ascii="Times New Roman" w:hAnsi="Times New Roman" w:cs="Times New Roman"/>
          <w:b/>
          <w:bCs/>
        </w:rPr>
        <w:t>CONTEXTUALIZANDO O CASO CONCRETO</w:t>
      </w:r>
    </w:p>
    <w:p w14:paraId="6EFDD511" w14:textId="73A12F2C"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De prima insta observar que na petição inicial da Ação de Cobrança que antecedeu à sentença retro, o autor [ora recorrido] pediu a condenação dos réus “</w:t>
      </w:r>
      <w:r w:rsidRPr="00A92FDB">
        <w:rPr>
          <w:rFonts w:ascii="Times New Roman" w:hAnsi="Times New Roman" w:cs="Times New Roman"/>
          <w:i/>
          <w:iCs/>
        </w:rPr>
        <w:t xml:space="preserve">no pagamento dos alugueis vencidos desde 10/12/96, incluindo-se correção e juros legais (art. 1.064 do CC) e os vincendos até a data da efetiva entrega dos imóveis prontos e acabados, com baixa e “habite-se”, na forma dos </w:t>
      </w:r>
      <w:proofErr w:type="spellStart"/>
      <w:r w:rsidRPr="00A92FDB">
        <w:rPr>
          <w:rFonts w:ascii="Times New Roman" w:hAnsi="Times New Roman" w:cs="Times New Roman"/>
          <w:i/>
          <w:iCs/>
        </w:rPr>
        <w:t>arts</w:t>
      </w:r>
      <w:proofErr w:type="spellEnd"/>
      <w:r w:rsidRPr="00A92FDB">
        <w:rPr>
          <w:rFonts w:ascii="Times New Roman" w:hAnsi="Times New Roman" w:cs="Times New Roman"/>
          <w:i/>
          <w:iCs/>
        </w:rPr>
        <w:t>. 921, 927 do Código Civil e 290 do Código de Processo Civil</w:t>
      </w:r>
      <w:r w:rsidRPr="00A92FDB">
        <w:rPr>
          <w:rFonts w:ascii="Times New Roman" w:hAnsi="Times New Roman" w:cs="Times New Roman"/>
        </w:rPr>
        <w:t xml:space="preserve">” [vide e-STJ Fl. </w:t>
      </w:r>
      <w:r>
        <w:rPr>
          <w:rFonts w:ascii="Times New Roman" w:hAnsi="Times New Roman" w:cs="Times New Roman"/>
        </w:rPr>
        <w:t>...</w:t>
      </w:r>
      <w:r w:rsidRPr="00A92FDB">
        <w:rPr>
          <w:rFonts w:ascii="Times New Roman" w:hAnsi="Times New Roman" w:cs="Times New Roman"/>
        </w:rPr>
        <w:t>].</w:t>
      </w:r>
    </w:p>
    <w:p w14:paraId="145094D7" w14:textId="306B4B92"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 xml:space="preserve">Com o propósito de objetividade e abreviar nesta casa recursal, vale pontuar que a discussão reside na </w:t>
      </w:r>
      <w:proofErr w:type="spellStart"/>
      <w:r w:rsidRPr="00A92FDB">
        <w:rPr>
          <w:rFonts w:ascii="Times New Roman" w:hAnsi="Times New Roman" w:cs="Times New Roman"/>
        </w:rPr>
        <w:t>IMpossibilidade</w:t>
      </w:r>
      <w:proofErr w:type="spellEnd"/>
      <w:r w:rsidRPr="00A92FDB">
        <w:rPr>
          <w:rFonts w:ascii="Times New Roman" w:hAnsi="Times New Roman" w:cs="Times New Roman"/>
        </w:rPr>
        <w:t xml:space="preserve"> do cumprimento de sentença por valor certo em descompasso com a parte dispositiva da sentença exequenda que ordenou a liquidação para se apurar o valor condenatório com base nos valores dos alugueis, como pedido na petição inicial. Título judicial exequendo, </w:t>
      </w:r>
      <w:r w:rsidRPr="00A92FDB">
        <w:rPr>
          <w:rFonts w:ascii="Times New Roman" w:hAnsi="Times New Roman" w:cs="Times New Roman"/>
          <w:i/>
          <w:iCs/>
        </w:rPr>
        <w:t>in litteris</w:t>
      </w:r>
      <w:r w:rsidRPr="00A92FDB">
        <w:rPr>
          <w:rFonts w:ascii="Times New Roman" w:hAnsi="Times New Roman" w:cs="Times New Roman"/>
        </w:rPr>
        <w:t xml:space="preserve">: </w:t>
      </w:r>
    </w:p>
    <w:p w14:paraId="726AAF21" w14:textId="4D4AE08E"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w:t>
      </w:r>
      <w:r w:rsidRPr="00A92FDB">
        <w:rPr>
          <w:rFonts w:ascii="Times New Roman" w:hAnsi="Times New Roman" w:cs="Times New Roman"/>
          <w:i/>
          <w:iCs/>
        </w:rPr>
        <w:t xml:space="preserve">Ao pagamento dos alugueis, a serem apurados em liquidação de sentença, considerando a média do valor correspondente a cada unidade, em cada avaliação, vencidos desde </w:t>
      </w:r>
      <w:r w:rsidRPr="00A92FDB">
        <w:rPr>
          <w:rFonts w:ascii="Times New Roman" w:hAnsi="Times New Roman" w:cs="Times New Roman"/>
          <w:i/>
          <w:iCs/>
        </w:rPr>
        <w:t>...</w:t>
      </w:r>
      <w:r w:rsidRPr="00A92FDB">
        <w:rPr>
          <w:rFonts w:ascii="Times New Roman" w:hAnsi="Times New Roman" w:cs="Times New Roman"/>
          <w:i/>
          <w:iCs/>
        </w:rPr>
        <w:t xml:space="preserve"> até a data em que foram entregues, no caso dos imóveis do edifício </w:t>
      </w:r>
      <w:r w:rsidRPr="00A92FDB">
        <w:rPr>
          <w:rFonts w:ascii="Times New Roman" w:hAnsi="Times New Roman" w:cs="Times New Roman"/>
          <w:i/>
          <w:iCs/>
        </w:rPr>
        <w:t>...</w:t>
      </w:r>
      <w:r w:rsidRPr="00A92FDB">
        <w:rPr>
          <w:rFonts w:ascii="Times New Roman" w:hAnsi="Times New Roman" w:cs="Times New Roman"/>
          <w:i/>
          <w:iCs/>
        </w:rPr>
        <w:t xml:space="preserve"> ou da data em que se operar a baixa e habite-se, no caso dos demais. Tais valores devem ser corrigidos pelos índices da Tabela da Corregedoria de Justiça, desde a época do vencimento e acrescidos de juros de 0,5 </w:t>
      </w:r>
      <w:r w:rsidRPr="00A92FDB">
        <w:rPr>
          <w:rFonts w:ascii="Times New Roman" w:hAnsi="Times New Roman" w:cs="Times New Roman"/>
          <w:i/>
          <w:iCs/>
        </w:rPr>
        <w:lastRenderedPageBreak/>
        <w:t>ao mês, contados desde a citação até a entrada em vigor do Novo Código Civil, a partir da qual deverá incidir juros de 12% ao ano</w:t>
      </w:r>
      <w:r w:rsidRPr="00A92FDB">
        <w:rPr>
          <w:rFonts w:ascii="Times New Roman" w:hAnsi="Times New Roman" w:cs="Times New Roman"/>
        </w:rPr>
        <w:t xml:space="preserve">” [vide e-STJ Fl. </w:t>
      </w:r>
      <w:r>
        <w:rPr>
          <w:rFonts w:ascii="Times New Roman" w:hAnsi="Times New Roman" w:cs="Times New Roman"/>
        </w:rPr>
        <w:t>...</w:t>
      </w:r>
      <w:r w:rsidRPr="00A92FDB">
        <w:rPr>
          <w:rFonts w:ascii="Times New Roman" w:hAnsi="Times New Roman" w:cs="Times New Roman"/>
        </w:rPr>
        <w:t>].</w:t>
      </w:r>
    </w:p>
    <w:p w14:paraId="42BDEE85" w14:textId="62D84153"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 xml:space="preserve">O recorrido/exequente deu início ao cumprimento de sentença contra os executados e os ora recorrentes sem apuração da liquidação de sentença conforme traçado no decisum de primeiro grau que se constituiu o título judicial exequendo. Os valores do crédito exequendo foram lançados a seu bel prazer, aleatoriamente, desacompanhados de qualquer documento, tendo o juízo da CENTRASE de </w:t>
      </w:r>
      <w:r>
        <w:rPr>
          <w:rFonts w:ascii="Times New Roman" w:hAnsi="Times New Roman" w:cs="Times New Roman"/>
        </w:rPr>
        <w:t>...</w:t>
      </w:r>
      <w:r w:rsidRPr="00A92FDB">
        <w:rPr>
          <w:rFonts w:ascii="Times New Roman" w:hAnsi="Times New Roman" w:cs="Times New Roman"/>
        </w:rPr>
        <w:t xml:space="preserve"> deferido a citação dos recorridos, na qualidade de terceiros garantidores hipotecários [e-STJ Fl. </w:t>
      </w:r>
      <w:r>
        <w:rPr>
          <w:rFonts w:ascii="Times New Roman" w:hAnsi="Times New Roman" w:cs="Times New Roman"/>
        </w:rPr>
        <w:t>...</w:t>
      </w:r>
      <w:r w:rsidRPr="00A92FDB">
        <w:rPr>
          <w:rFonts w:ascii="Times New Roman" w:hAnsi="Times New Roman" w:cs="Times New Roman"/>
        </w:rPr>
        <w:t>].</w:t>
      </w:r>
    </w:p>
    <w:p w14:paraId="2064D4CE" w14:textId="1D4EED70"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 xml:space="preserve">Os ora Recorrentes foram regularmente citados para o cumprimento de sentença e, em resposta, peticionaram nos autos impugnando a pretensão executiva deduzida pelo Exequente, uma vez que se encontra em frontal desconformidade com os exatos limites da parte dispositiva da ILÍQUIDA sentença exequenda </w:t>
      </w:r>
    </w:p>
    <w:p w14:paraId="5DCACCA0" w14:textId="77F7A4D2"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Diante de todo esse cenário, os aqui Recorrentes requereram expressamente a extinção do cumprimento de sentença em curso, porquanto instaurado em manifesta desatenção aos exatos termos da sentença exequenda, a qual condicionou, de forma inequívoca, a exigibilidade do crédito à prévia liquidação, com apuração do valor dos aluguéis nesta fase processual.</w:t>
      </w:r>
    </w:p>
    <w:p w14:paraId="169C62AD" w14:textId="727B02E6"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 xml:space="preserve">Com efeito, o título judicial, transitado em julgado, foi absolutamente claro ao determinar a prévia liquidação de sentença, estabelecendo que o </w:t>
      </w:r>
      <w:r w:rsidRPr="00A92FDB">
        <w:rPr>
          <w:rFonts w:ascii="Times New Roman" w:hAnsi="Times New Roman" w:cs="Times New Roman"/>
          <w:i/>
          <w:iCs/>
        </w:rPr>
        <w:t xml:space="preserve">quantum </w:t>
      </w:r>
      <w:proofErr w:type="spellStart"/>
      <w:r w:rsidRPr="00A92FDB">
        <w:rPr>
          <w:rFonts w:ascii="Times New Roman" w:hAnsi="Times New Roman" w:cs="Times New Roman"/>
          <w:i/>
          <w:iCs/>
        </w:rPr>
        <w:t>debeatur</w:t>
      </w:r>
      <w:proofErr w:type="spellEnd"/>
      <w:r w:rsidRPr="00A92FDB">
        <w:rPr>
          <w:rFonts w:ascii="Times New Roman" w:hAnsi="Times New Roman" w:cs="Times New Roman"/>
        </w:rPr>
        <w:t xml:space="preserve"> deveria ser apurado com base no valor dos aluguéis no período estabelecido, a serem devidamente quantificados nesta fase processual [do cumprimento de sentença], o que evidencia que não há, até o presente momento, valor líquido e certo apto a embasar a execução direta.</w:t>
      </w:r>
    </w:p>
    <w:p w14:paraId="06E382C2" w14:textId="742B2012"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Destarte, o exequente/recorrido, em manifesta violação ao comando sentencial, intenta promover o cumprimento de sentença fora dos moldes expressamente fixados no decisum, como se lhe fosse dado modificar unilateralmente os critérios definidos no título judicial, o que é juridicamente inadmissível.</w:t>
      </w:r>
    </w:p>
    <w:p w14:paraId="08C2C610" w14:textId="357A4FBF"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Ademais, é princípio basilar do processo civil que o cumprimento de sentença deve observar estrita fidelidade ao título executivo judicial, sendo vedado às partes — e ao próprio Juízo — alterar, inovar ou ampliar o conteúdo da decisão transitada em julgado, sob pena de violação direta à coisa julgada material.</w:t>
      </w:r>
    </w:p>
    <w:p w14:paraId="16B2B90C" w14:textId="305219F2"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Nesse sentido, o Código de Processo Civil é categórico ao dispor que:</w:t>
      </w:r>
    </w:p>
    <w:p w14:paraId="6171B38F" w14:textId="0166F743" w:rsidR="00A92FDB" w:rsidRPr="00A92FDB" w:rsidRDefault="00A92FDB" w:rsidP="00A92FDB">
      <w:pPr>
        <w:ind w:right="-568"/>
        <w:jc w:val="both"/>
        <w:rPr>
          <w:rFonts w:ascii="Times New Roman" w:hAnsi="Times New Roman" w:cs="Times New Roman"/>
        </w:rPr>
      </w:pPr>
      <w:r>
        <w:rPr>
          <w:rFonts w:ascii="Times New Roman" w:hAnsi="Times New Roman" w:cs="Times New Roman"/>
        </w:rPr>
        <w:t xml:space="preserve">- </w:t>
      </w:r>
      <w:proofErr w:type="gramStart"/>
      <w:r w:rsidRPr="00A92FDB">
        <w:rPr>
          <w:rFonts w:ascii="Times New Roman" w:hAnsi="Times New Roman" w:cs="Times New Roman"/>
        </w:rPr>
        <w:t>a</w:t>
      </w:r>
      <w:proofErr w:type="gramEnd"/>
      <w:r w:rsidRPr="00A92FDB">
        <w:rPr>
          <w:rFonts w:ascii="Times New Roman" w:hAnsi="Times New Roman" w:cs="Times New Roman"/>
        </w:rPr>
        <w:t xml:space="preserve"> sentença faz coisa julgada material [art. 502 do CPC];</w:t>
      </w:r>
    </w:p>
    <w:p w14:paraId="6202699C" w14:textId="0A235FB1" w:rsidR="00A92FDB" w:rsidRPr="00A92FDB" w:rsidRDefault="00A92FDB" w:rsidP="00A92FDB">
      <w:pPr>
        <w:ind w:right="-568"/>
        <w:jc w:val="both"/>
        <w:rPr>
          <w:rFonts w:ascii="Times New Roman" w:hAnsi="Times New Roman" w:cs="Times New Roman"/>
        </w:rPr>
      </w:pPr>
      <w:r>
        <w:rPr>
          <w:rFonts w:ascii="Times New Roman" w:hAnsi="Times New Roman" w:cs="Times New Roman"/>
        </w:rPr>
        <w:t xml:space="preserve">- </w:t>
      </w:r>
      <w:proofErr w:type="gramStart"/>
      <w:r w:rsidRPr="00A92FDB">
        <w:rPr>
          <w:rFonts w:ascii="Times New Roman" w:hAnsi="Times New Roman" w:cs="Times New Roman"/>
        </w:rPr>
        <w:t>a</w:t>
      </w:r>
      <w:proofErr w:type="gramEnd"/>
      <w:r w:rsidRPr="00A92FDB">
        <w:rPr>
          <w:rFonts w:ascii="Times New Roman" w:hAnsi="Times New Roman" w:cs="Times New Roman"/>
        </w:rPr>
        <w:t xml:space="preserve"> liquidação destina-se exclusivamente a determinar o valor da condenação, quando ilíquida, sem modificar ou discutir o conteúdo do julgado [art. 509 do CPC];</w:t>
      </w:r>
    </w:p>
    <w:p w14:paraId="119A7EC2" w14:textId="579B6805" w:rsidR="00A92FDB" w:rsidRPr="00A92FDB" w:rsidRDefault="00A92FDB" w:rsidP="00A92FDB">
      <w:pPr>
        <w:ind w:right="-568"/>
        <w:jc w:val="both"/>
        <w:rPr>
          <w:rFonts w:ascii="Times New Roman" w:hAnsi="Times New Roman" w:cs="Times New Roman"/>
        </w:rPr>
      </w:pPr>
      <w:r>
        <w:rPr>
          <w:rFonts w:ascii="Times New Roman" w:hAnsi="Times New Roman" w:cs="Times New Roman"/>
        </w:rPr>
        <w:t xml:space="preserve">- </w:t>
      </w:r>
      <w:proofErr w:type="gramStart"/>
      <w:r w:rsidRPr="00A92FDB">
        <w:rPr>
          <w:rFonts w:ascii="Times New Roman" w:hAnsi="Times New Roman" w:cs="Times New Roman"/>
        </w:rPr>
        <w:t>o</w:t>
      </w:r>
      <w:proofErr w:type="gramEnd"/>
      <w:r w:rsidRPr="00A92FDB">
        <w:rPr>
          <w:rFonts w:ascii="Times New Roman" w:hAnsi="Times New Roman" w:cs="Times New Roman"/>
        </w:rPr>
        <w:t xml:space="preserve"> cumprimento de sentença deve se dar nos exatos termos do título judicial [</w:t>
      </w:r>
      <w:proofErr w:type="spellStart"/>
      <w:r w:rsidRPr="00A92FDB">
        <w:rPr>
          <w:rFonts w:ascii="Times New Roman" w:hAnsi="Times New Roman" w:cs="Times New Roman"/>
        </w:rPr>
        <w:t>arts</w:t>
      </w:r>
      <w:proofErr w:type="spellEnd"/>
      <w:r w:rsidRPr="00A92FDB">
        <w:rPr>
          <w:rFonts w:ascii="Times New Roman" w:hAnsi="Times New Roman" w:cs="Times New Roman"/>
        </w:rPr>
        <w:t>. 513 e 515 do CPC].</w:t>
      </w:r>
    </w:p>
    <w:p w14:paraId="42048C9E" w14:textId="77777777" w:rsidR="00A92FDB" w:rsidRDefault="00A92FDB" w:rsidP="00A92FDB">
      <w:pPr>
        <w:ind w:right="-568"/>
        <w:jc w:val="both"/>
        <w:rPr>
          <w:rFonts w:ascii="Times New Roman" w:hAnsi="Times New Roman" w:cs="Times New Roman"/>
        </w:rPr>
      </w:pPr>
      <w:r w:rsidRPr="00A92FDB">
        <w:rPr>
          <w:rFonts w:ascii="Times New Roman" w:hAnsi="Times New Roman" w:cs="Times New Roman"/>
        </w:rPr>
        <w:t>E qualquer tentativa de promover o cumprimento de sentença em desacordo com os parâmetros fixados no dispositivo sentencial configura indevida rediscussão do mérito, além de grave afronta à imutabilidade da coisa julgada, o que o ordenamento jurídico expressamente repele.</w:t>
      </w:r>
    </w:p>
    <w:p w14:paraId="61AE8E42" w14:textId="08766B71"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lastRenderedPageBreak/>
        <w:t>Assim, ao desconsiderar a determinação expressa de liquidação prévia com base nos aluguéis a serem apurados, o recorrido/exequente extrapolou os limites objetivos do título exequendo, tornando o cumprimento de sentença juridicamente inviável, devendo ser reconhecida a nulidade da pretensão executiva como apresentada, com a consequente observância do procedimento correto imposto pela sentença transitada em julgado.</w:t>
      </w:r>
    </w:p>
    <w:p w14:paraId="7D5DCBD2" w14:textId="43935693"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 xml:space="preserve">A pretensão executiva deduzida pelo Recorrido/Exequente, ao desconsiderar o comando judicial transitado em julgado, carece de pressuposto de constituição e de desenvolvimento válido do processo, tornando o cumprimento de sentença incompatível com o título executivo judicial, o que autoriza sua extinção, nos termos do art. 924, inciso I, do Código de Processo Civil, ou, ainda, por inadequação da via eleita, à luz do regime legal do cumprimento de sentença previsto nos </w:t>
      </w:r>
      <w:proofErr w:type="spellStart"/>
      <w:r w:rsidRPr="00A92FDB">
        <w:rPr>
          <w:rFonts w:ascii="Times New Roman" w:hAnsi="Times New Roman" w:cs="Times New Roman"/>
        </w:rPr>
        <w:t>arts</w:t>
      </w:r>
      <w:proofErr w:type="spellEnd"/>
      <w:r w:rsidRPr="00A92FDB">
        <w:rPr>
          <w:rFonts w:ascii="Times New Roman" w:hAnsi="Times New Roman" w:cs="Times New Roman"/>
        </w:rPr>
        <w:t>. 509 e 513 do CPC.</w:t>
      </w:r>
    </w:p>
    <w:p w14:paraId="51414F1E" w14:textId="066D22B1"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Além disso, a postura do Exequente deu causa à instauração de verdadeira contenciosidade incidental, compelindo os Recorrentes a se insurgirem contra uma execução manifestamente irregular e juridicamente insustentável, o que atrai a incidência do princípio da causalidade.</w:t>
      </w:r>
    </w:p>
    <w:p w14:paraId="13EA1C6C" w14:textId="23D89940"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Por essa razão, foi igualmente requerido que o Recorrido/Exequente fosse condenado ao pagamento de honorários advocatícios sucumbenciais, na forma do art. 85, §§ 1º e 2º, do Código de Processo Civil, uma vez que a resistência apresentada pelos Recorrentes não decorre de inadimplemento, mas sim da indevida tentativa de cumprimento de sentença em desacordo com o título judicial, impondo-lhes ônus processual que não deram causa.</w:t>
      </w:r>
    </w:p>
    <w:p w14:paraId="1724606A" w14:textId="477BE186"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Trata-se, portanto, de consequência jurídica necessária e inafastável, diante da impropriedade do cumprimento de sentença tal como proposto, em flagrante violação à coisa julgada e às normas que regem a fase executiva do processo civil.</w:t>
      </w:r>
    </w:p>
    <w:p w14:paraId="5A5B681F" w14:textId="7687B123"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O v. acórdão vergastado deu guarida à r. decisão de primeiro grau que indeferiu o pleito dos aqui recorrentes.</w:t>
      </w:r>
    </w:p>
    <w:p w14:paraId="562BB8BA" w14:textId="4EA3754A"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Entendeu o v. acórdão vergastado, no ponto que interessa, de que os então agravantes, ora recorrentes, embora terceiros interessados em virtude de seu patrimônio imobiliário ter sido ofertado como garantia hipotecária, não teriam legitimidade para suscitar no cumprimento de sentença [do qual participam com seu patrimônio como garantia real], mesmo se tratando de flagrante ilegalidade a forma do cumprimento de sentença, devendo, para tanto, valerem-se do manejo de embargos de terceiro.</w:t>
      </w:r>
    </w:p>
    <w:p w14:paraId="2E1F473E" w14:textId="081FA133"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 xml:space="preserve">E, quanto ao cerne da discussão, surpreendentemente, </w:t>
      </w:r>
      <w:r w:rsidRPr="00A92FDB">
        <w:rPr>
          <w:rFonts w:ascii="Times New Roman" w:hAnsi="Times New Roman" w:cs="Times New Roman"/>
          <w:i/>
          <w:iCs/>
        </w:rPr>
        <w:t xml:space="preserve">data </w:t>
      </w:r>
      <w:proofErr w:type="spellStart"/>
      <w:r w:rsidRPr="00A92FDB">
        <w:rPr>
          <w:rFonts w:ascii="Times New Roman" w:hAnsi="Times New Roman" w:cs="Times New Roman"/>
          <w:i/>
          <w:iCs/>
        </w:rPr>
        <w:t>venia</w:t>
      </w:r>
      <w:proofErr w:type="spellEnd"/>
      <w:r w:rsidRPr="00A92FDB">
        <w:rPr>
          <w:rFonts w:ascii="Times New Roman" w:hAnsi="Times New Roman" w:cs="Times New Roman"/>
        </w:rPr>
        <w:t>, afirmou o v. acórdão recorrido em desalinho palmar com a parte dispositiva da sentença exequenda, trouxe no voto condutor “</w:t>
      </w:r>
      <w:r w:rsidRPr="00A92FDB">
        <w:rPr>
          <w:rFonts w:ascii="Times New Roman" w:hAnsi="Times New Roman" w:cs="Times New Roman"/>
          <w:i/>
          <w:iCs/>
        </w:rPr>
        <w:t>Como se vê, em momento algum, foi determinada a liquidação da sentença por arbitramento, não se sustentando a alegação de que seria necessária a instauração de fase de liquidação de sentença, uma vez que o valor devido foi apurado por meio de cálculos aritméticos simples, os quais decorrem diretamente dos critérios estabelecidos na decisão judicial transitada em julgado. O artigo 509, § 2º, do Código de Processo Civil é expresso ao prever que, quando a apuração do valor depender apenas de cálculo matemático, o credor pode promover desde logo o cumprimento de sentença, sem necessidade de liquidação, o que é o caso dos autos</w:t>
      </w:r>
      <w:r w:rsidRPr="00A92FDB">
        <w:rPr>
          <w:rFonts w:ascii="Times New Roman" w:hAnsi="Times New Roman" w:cs="Times New Roman"/>
        </w:rPr>
        <w:t xml:space="preserve">” [e-STJ Fl. </w:t>
      </w:r>
      <w:r>
        <w:rPr>
          <w:rFonts w:ascii="Times New Roman" w:hAnsi="Times New Roman" w:cs="Times New Roman"/>
        </w:rPr>
        <w:t>...</w:t>
      </w:r>
      <w:r w:rsidRPr="00A92FDB">
        <w:rPr>
          <w:rFonts w:ascii="Times New Roman" w:hAnsi="Times New Roman" w:cs="Times New Roman"/>
        </w:rPr>
        <w:t xml:space="preserve">].Vale ressaltar, pelo seu ineditismo, que causou profunda </w:t>
      </w:r>
      <w:r w:rsidRPr="00A92FDB">
        <w:rPr>
          <w:rFonts w:ascii="Times New Roman" w:hAnsi="Times New Roman" w:cs="Times New Roman"/>
        </w:rPr>
        <w:lastRenderedPageBreak/>
        <w:t xml:space="preserve">estranheza a assertiva constante do v. acórdão proferido pelo Egrégio Tribunal de Justiça de Minas Gerais no sentido de que a liquidação de sentença poderia ter sido realizada por meros cálculos aritméticos, como supostamente previsto na sentença. </w:t>
      </w:r>
    </w:p>
    <w:p w14:paraId="00AE8906" w14:textId="4077DCA5"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Ocorre que, com uma singela leitura, a olhos desarmados, da sentença de primeiro grau, verifica-se que a parte dispositiva deixou clara, expressa e insofismável a indispensabilidade da liquidação com base nos valores efetivamente apurados dos aluguéis dos imóveis, referentes a todo o período ali expressamente delimitado.</w:t>
      </w:r>
    </w:p>
    <w:p w14:paraId="0F5FCBAE" w14:textId="51588BD8"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 xml:space="preserve">Sem quebra da devida reverência, é inaceitável sob todos os aspectos a conclusão adotada pelo v. acórdão recorrido, porquanto completamente dissociada da realidade do processo e frontalmente contrária ao comando sentencial. </w:t>
      </w:r>
    </w:p>
    <w:p w14:paraId="79C7C1D5" w14:textId="4CF9B882"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 xml:space="preserve">Não há, </w:t>
      </w:r>
      <w:proofErr w:type="spellStart"/>
      <w:r w:rsidRPr="00A92FDB">
        <w:rPr>
          <w:rFonts w:ascii="Times New Roman" w:hAnsi="Times New Roman" w:cs="Times New Roman"/>
          <w:i/>
          <w:iCs/>
        </w:rPr>
        <w:t>redrobrada</w:t>
      </w:r>
      <w:proofErr w:type="spellEnd"/>
      <w:r w:rsidRPr="00A92FDB">
        <w:rPr>
          <w:rFonts w:ascii="Times New Roman" w:hAnsi="Times New Roman" w:cs="Times New Roman"/>
          <w:i/>
          <w:iCs/>
        </w:rPr>
        <w:t xml:space="preserve"> </w:t>
      </w:r>
      <w:proofErr w:type="spellStart"/>
      <w:r w:rsidRPr="00A92FDB">
        <w:rPr>
          <w:rFonts w:ascii="Times New Roman" w:hAnsi="Times New Roman" w:cs="Times New Roman"/>
          <w:i/>
          <w:iCs/>
        </w:rPr>
        <w:t>venia</w:t>
      </w:r>
      <w:proofErr w:type="spellEnd"/>
      <w:r w:rsidRPr="00A92FDB">
        <w:rPr>
          <w:rFonts w:ascii="Times New Roman" w:hAnsi="Times New Roman" w:cs="Times New Roman"/>
        </w:rPr>
        <w:t xml:space="preserve">, qualquer dificuldade hermenêutica na compreensão do que consta do caderno processual, sendo absolutamente inequívoco que a apuração do </w:t>
      </w:r>
      <w:r w:rsidRPr="00A92FDB">
        <w:rPr>
          <w:rFonts w:ascii="Times New Roman" w:hAnsi="Times New Roman" w:cs="Times New Roman"/>
          <w:i/>
          <w:iCs/>
        </w:rPr>
        <w:t xml:space="preserve">quantum </w:t>
      </w:r>
      <w:proofErr w:type="spellStart"/>
      <w:r w:rsidRPr="00A92FDB">
        <w:rPr>
          <w:rFonts w:ascii="Times New Roman" w:hAnsi="Times New Roman" w:cs="Times New Roman"/>
          <w:i/>
          <w:iCs/>
        </w:rPr>
        <w:t>debeatur</w:t>
      </w:r>
      <w:proofErr w:type="spellEnd"/>
      <w:r w:rsidRPr="00A92FDB">
        <w:rPr>
          <w:rFonts w:ascii="Times New Roman" w:hAnsi="Times New Roman" w:cs="Times New Roman"/>
        </w:rPr>
        <w:t xml:space="preserve"> exige a prévia definição fática e valorativa dos aluguéis devidos, o que, por si só, afasta a simplista e inadequada redução do procedimento </w:t>
      </w:r>
      <w:proofErr w:type="spellStart"/>
      <w:r w:rsidRPr="00A92FDB">
        <w:rPr>
          <w:rFonts w:ascii="Times New Roman" w:hAnsi="Times New Roman" w:cs="Times New Roman"/>
        </w:rPr>
        <w:t>liquidatório</w:t>
      </w:r>
      <w:proofErr w:type="spellEnd"/>
      <w:r w:rsidRPr="00A92FDB">
        <w:rPr>
          <w:rFonts w:ascii="Times New Roman" w:hAnsi="Times New Roman" w:cs="Times New Roman"/>
        </w:rPr>
        <w:t xml:space="preserve"> a meros cálculos matemáticos.</w:t>
      </w:r>
    </w:p>
    <w:p w14:paraId="1232E99B" w14:textId="47E06434"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 xml:space="preserve">Bem por isso, o presente Recurso Especial trazido no e-STJ Fl. </w:t>
      </w:r>
      <w:r>
        <w:rPr>
          <w:rFonts w:ascii="Times New Roman" w:hAnsi="Times New Roman" w:cs="Times New Roman"/>
        </w:rPr>
        <w:t>...</w:t>
      </w:r>
      <w:r w:rsidRPr="00A92FDB">
        <w:rPr>
          <w:rFonts w:ascii="Times New Roman" w:hAnsi="Times New Roman" w:cs="Times New Roman"/>
        </w:rPr>
        <w:t xml:space="preserve"> foi admitido pelo d. Terceiro Vice-Presidente, “</w:t>
      </w:r>
      <w:r w:rsidRPr="00A92FDB">
        <w:rPr>
          <w:rFonts w:ascii="Times New Roman" w:hAnsi="Times New Roman" w:cs="Times New Roman"/>
          <w:i/>
          <w:iCs/>
        </w:rPr>
        <w:t>diante de razoável dúvida acerca da aplicação da legislação infraconstitucional supostamente infringida, a situação autoriza a apreciação do recurso especial pela Corte uniformizadora...para se pronunciar a respeito do alcance das normas legais suscitadas - artigos 509, inciso I e 510, ambos do Código de Processo Civil - atendendo ao seu imperativo constitucional de dizer o direito federal</w:t>
      </w:r>
      <w:r w:rsidRPr="00A92FDB">
        <w:rPr>
          <w:rFonts w:ascii="Times New Roman" w:hAnsi="Times New Roman" w:cs="Times New Roman"/>
        </w:rPr>
        <w:t xml:space="preserve">” [e-STJ Fl. </w:t>
      </w:r>
      <w:r>
        <w:rPr>
          <w:rFonts w:ascii="Times New Roman" w:hAnsi="Times New Roman" w:cs="Times New Roman"/>
        </w:rPr>
        <w:t>...</w:t>
      </w:r>
      <w:r w:rsidRPr="00A92FDB">
        <w:rPr>
          <w:rFonts w:ascii="Times New Roman" w:hAnsi="Times New Roman" w:cs="Times New Roman"/>
        </w:rPr>
        <w:t>].</w:t>
      </w:r>
    </w:p>
    <w:p w14:paraId="46389302" w14:textId="359E7FA5" w:rsidR="00A92FDB" w:rsidRPr="00A92FDB" w:rsidRDefault="00A92FDB" w:rsidP="00A92FDB">
      <w:pPr>
        <w:ind w:right="-568"/>
        <w:jc w:val="both"/>
        <w:rPr>
          <w:rFonts w:ascii="Times New Roman" w:hAnsi="Times New Roman" w:cs="Times New Roman"/>
          <w:b/>
          <w:bCs/>
        </w:rPr>
      </w:pPr>
      <w:r w:rsidRPr="00A92FDB">
        <w:rPr>
          <w:rFonts w:ascii="Times New Roman" w:hAnsi="Times New Roman" w:cs="Times New Roman"/>
          <w:b/>
          <w:bCs/>
        </w:rPr>
        <w:t>II-</w:t>
      </w:r>
      <w:r w:rsidRPr="00A92FDB">
        <w:rPr>
          <w:rFonts w:ascii="Times New Roman" w:hAnsi="Times New Roman" w:cs="Times New Roman"/>
          <w:b/>
          <w:bCs/>
        </w:rPr>
        <w:t xml:space="preserve"> </w:t>
      </w:r>
      <w:r w:rsidRPr="00A92FDB">
        <w:rPr>
          <w:rFonts w:ascii="Times New Roman" w:hAnsi="Times New Roman" w:cs="Times New Roman"/>
          <w:b/>
          <w:bCs/>
        </w:rPr>
        <w:t>PRECEDENTES DA “</w:t>
      </w:r>
      <w:r w:rsidRPr="00A92FDB">
        <w:rPr>
          <w:rFonts w:ascii="Times New Roman" w:hAnsi="Times New Roman" w:cs="Times New Roman"/>
          <w:b/>
          <w:bCs/>
          <w:i/>
          <w:iCs/>
        </w:rPr>
        <w:t>QUARTA</w:t>
      </w:r>
      <w:r w:rsidRPr="00A92FDB">
        <w:rPr>
          <w:rFonts w:ascii="Times New Roman" w:hAnsi="Times New Roman" w:cs="Times New Roman"/>
          <w:b/>
          <w:bCs/>
        </w:rPr>
        <w:t>” TURMA DO STJ</w:t>
      </w:r>
    </w:p>
    <w:p w14:paraId="78686F5C" w14:textId="1C939C42"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Dizer que a jurisprudência deve ser coerente é afirmar que nela não deve conter contradições, isto é, os Tribunais devem manter uma relação harmônica entre o que se decide e todo o processo.</w:t>
      </w:r>
    </w:p>
    <w:p w14:paraId="4C8E583A" w14:textId="65DE561C"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Além disso, é preciso que a jurisprudência seja estável, vale dizer, as teses jurídicas consagradas pelos tribunais devem ser duradouras, garantindo a previsibilidade e, por consequência, segurança jurídica. A estabilização deve impedir a alteração desmedida de entendimentos fixados, que descambam ao decisionismo circunstancial e, por isso mesmo arbitrário.</w:t>
      </w:r>
    </w:p>
    <w:p w14:paraId="0211359A" w14:textId="1D9A4A9D"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Por fim, a jurisprudência deve ser íntegra, isto é, deve guardar compatibilidade com o Direito, daí porque se assevera nesta manifestação que, a doutrina de precedente não cria o direito em abstrato, mas sim o uniformiza.</w:t>
      </w:r>
    </w:p>
    <w:p w14:paraId="3FA00483" w14:textId="1DF8AB1A"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 xml:space="preserve">Feitas estas indispensáveis considerações, </w:t>
      </w:r>
      <w:r w:rsidRPr="00A92FDB">
        <w:rPr>
          <w:rFonts w:ascii="Times New Roman" w:hAnsi="Times New Roman" w:cs="Times New Roman"/>
          <w:i/>
          <w:iCs/>
        </w:rPr>
        <w:t xml:space="preserve">permissa </w:t>
      </w:r>
      <w:proofErr w:type="spellStart"/>
      <w:r w:rsidRPr="00A92FDB">
        <w:rPr>
          <w:rFonts w:ascii="Times New Roman" w:hAnsi="Times New Roman" w:cs="Times New Roman"/>
          <w:i/>
          <w:iCs/>
        </w:rPr>
        <w:t>venia</w:t>
      </w:r>
      <w:proofErr w:type="spellEnd"/>
      <w:r w:rsidRPr="00A92FDB">
        <w:rPr>
          <w:rFonts w:ascii="Times New Roman" w:hAnsi="Times New Roman" w:cs="Times New Roman"/>
        </w:rPr>
        <w:t>, os recorrentes trazem à baila e pedem a sua aplicação precedentes desta v. QUARTA TURMA DO STJ, no sentido de que a execução de título judicial deve ser realizada nos termos da condenação exposta na sentença exequenda, sendo defeso ao juízo da execução modificar o que foi decidido no título executivo, sob pena de violação da coisa julgada. Confira-se, no ponto:</w:t>
      </w:r>
    </w:p>
    <w:p w14:paraId="4B166DAC" w14:textId="47E6E578" w:rsidR="00A92FDB" w:rsidRPr="00DC7F51" w:rsidRDefault="00A92FDB" w:rsidP="00A92FDB">
      <w:pPr>
        <w:ind w:right="-568"/>
        <w:jc w:val="both"/>
        <w:rPr>
          <w:rFonts w:ascii="Times New Roman" w:hAnsi="Times New Roman" w:cs="Times New Roman"/>
          <w:i/>
          <w:iCs/>
        </w:rPr>
      </w:pPr>
      <w:r>
        <w:rPr>
          <w:rFonts w:ascii="Times New Roman" w:hAnsi="Times New Roman" w:cs="Times New Roman"/>
        </w:rPr>
        <w:t>“</w:t>
      </w:r>
      <w:r w:rsidRPr="00A92FDB">
        <w:rPr>
          <w:rFonts w:ascii="Times New Roman" w:hAnsi="Times New Roman" w:cs="Times New Roman"/>
          <w:i/>
          <w:iCs/>
        </w:rPr>
        <w:t xml:space="preserve">AGRAVO INTERNO NO AGRAVO EM RECURSO ESPECIAL. IMPUGNAÇÃO DO CUMPRIMENTO DE SENTENÇA. EXCESSO DE EXECUÇÃO. NÃO CARACTERIZAÇÃO. </w:t>
      </w:r>
      <w:r w:rsidRPr="00A92FDB">
        <w:rPr>
          <w:rFonts w:ascii="Times New Roman" w:hAnsi="Times New Roman" w:cs="Times New Roman"/>
          <w:i/>
          <w:iCs/>
        </w:rPr>
        <w:lastRenderedPageBreak/>
        <w:t>OBSERVÂNCIA DO TÍTULO EXECUTIVO JUDICIAL. AGRAVO INTERNO PROVIDO. DECISÃO RECONSIDERADA. AGRAVO CONHECIDO PARA NEGAR PROVIMENTO AO RECURSO ESPECIAL.</w:t>
      </w:r>
      <w:r w:rsidR="00DC7F51">
        <w:rPr>
          <w:rFonts w:ascii="Times New Roman" w:hAnsi="Times New Roman" w:cs="Times New Roman"/>
          <w:i/>
          <w:iCs/>
        </w:rPr>
        <w:t xml:space="preserve"> </w:t>
      </w:r>
      <w:r w:rsidRPr="00A92FDB">
        <w:rPr>
          <w:rFonts w:ascii="Times New Roman" w:hAnsi="Times New Roman" w:cs="Times New Roman"/>
          <w:i/>
          <w:iCs/>
        </w:rPr>
        <w:t>1. A decisão agravada merece ser reconsiderada, visto que presente a dialeticidade recursal, apta ao conhecimento do agravo em recurso especial. 2. Na fase de cumprimento de sentença, não se admite a rediscussão das matérias decididas no título judicial, sob pena de violação à coisa julgada</w:t>
      </w:r>
      <w:r w:rsidR="00DC7F51" w:rsidRPr="00DC7F51">
        <w:rPr>
          <w:rFonts w:ascii="Times New Roman" w:hAnsi="Times New Roman" w:cs="Times New Roman"/>
          <w:i/>
          <w:iCs/>
        </w:rPr>
        <w:t>.</w:t>
      </w:r>
      <w:r w:rsidRPr="00DC7F51">
        <w:rPr>
          <w:rFonts w:ascii="Times New Roman" w:hAnsi="Times New Roman" w:cs="Times New Roman"/>
          <w:i/>
          <w:iCs/>
        </w:rPr>
        <w:t xml:space="preserve"> (</w:t>
      </w:r>
      <w:proofErr w:type="spellStart"/>
      <w:r w:rsidRPr="00DC7F51">
        <w:rPr>
          <w:rFonts w:ascii="Times New Roman" w:hAnsi="Times New Roman" w:cs="Times New Roman"/>
          <w:i/>
          <w:iCs/>
        </w:rPr>
        <w:t>AgInt</w:t>
      </w:r>
      <w:proofErr w:type="spellEnd"/>
      <w:r w:rsidRPr="00DC7F51">
        <w:rPr>
          <w:rFonts w:ascii="Times New Roman" w:hAnsi="Times New Roman" w:cs="Times New Roman"/>
          <w:i/>
          <w:iCs/>
        </w:rPr>
        <w:t xml:space="preserve"> nos </w:t>
      </w:r>
      <w:proofErr w:type="spellStart"/>
      <w:r w:rsidRPr="00DC7F51">
        <w:rPr>
          <w:rFonts w:ascii="Times New Roman" w:hAnsi="Times New Roman" w:cs="Times New Roman"/>
          <w:i/>
          <w:iCs/>
        </w:rPr>
        <w:t>EDcl</w:t>
      </w:r>
      <w:proofErr w:type="spellEnd"/>
      <w:r w:rsidRPr="00DC7F51">
        <w:rPr>
          <w:rFonts w:ascii="Times New Roman" w:hAnsi="Times New Roman" w:cs="Times New Roman"/>
          <w:i/>
          <w:iCs/>
        </w:rPr>
        <w:t xml:space="preserve"> no REsp 1 .954.816/SE, Rel. Ministra MARIA ISABEL GALLOTTI, QUARTA TURMA, julgado em 4/4/2022, </w:t>
      </w:r>
      <w:proofErr w:type="spellStart"/>
      <w:r w:rsidRPr="00DC7F51">
        <w:rPr>
          <w:rFonts w:ascii="Times New Roman" w:hAnsi="Times New Roman" w:cs="Times New Roman"/>
          <w:i/>
          <w:iCs/>
        </w:rPr>
        <w:t>DJe</w:t>
      </w:r>
      <w:proofErr w:type="spellEnd"/>
      <w:r w:rsidRPr="00DC7F51">
        <w:rPr>
          <w:rFonts w:ascii="Times New Roman" w:hAnsi="Times New Roman" w:cs="Times New Roman"/>
          <w:i/>
          <w:iCs/>
        </w:rPr>
        <w:t xml:space="preserve"> de 7/4/2022). </w:t>
      </w:r>
      <w:r w:rsidR="00DC7F51" w:rsidRPr="00DC7F51">
        <w:rPr>
          <w:rFonts w:ascii="Times New Roman" w:hAnsi="Times New Roman" w:cs="Times New Roman"/>
          <w:i/>
          <w:iCs/>
        </w:rPr>
        <w:t xml:space="preserve"> </w:t>
      </w:r>
      <w:r w:rsidRPr="00DC7F51">
        <w:rPr>
          <w:rFonts w:ascii="Times New Roman" w:hAnsi="Times New Roman" w:cs="Times New Roman"/>
          <w:i/>
          <w:iCs/>
        </w:rPr>
        <w:t>3. Agravo interno provido. Decisão reconsiderada. Agravo conhecido para negar provimento ao recurso especial</w:t>
      </w:r>
      <w:r w:rsidRPr="00A92FDB">
        <w:rPr>
          <w:rFonts w:ascii="Times New Roman" w:hAnsi="Times New Roman" w:cs="Times New Roman"/>
        </w:rPr>
        <w:t>.</w:t>
      </w:r>
      <w:r w:rsidR="00DC7F51">
        <w:rPr>
          <w:rFonts w:ascii="Times New Roman" w:hAnsi="Times New Roman" w:cs="Times New Roman"/>
        </w:rPr>
        <w:t xml:space="preserve">” </w:t>
      </w:r>
      <w:r w:rsidRPr="00A92FDB">
        <w:rPr>
          <w:rFonts w:ascii="Times New Roman" w:hAnsi="Times New Roman" w:cs="Times New Roman"/>
        </w:rPr>
        <w:t xml:space="preserve">[STJ - </w:t>
      </w:r>
      <w:proofErr w:type="spellStart"/>
      <w:r w:rsidRPr="00A92FDB">
        <w:rPr>
          <w:rFonts w:ascii="Times New Roman" w:hAnsi="Times New Roman" w:cs="Times New Roman"/>
        </w:rPr>
        <w:t>AgInt</w:t>
      </w:r>
      <w:proofErr w:type="spellEnd"/>
      <w:r w:rsidRPr="00A92FDB">
        <w:rPr>
          <w:rFonts w:ascii="Times New Roman" w:hAnsi="Times New Roman" w:cs="Times New Roman"/>
        </w:rPr>
        <w:t xml:space="preserve"> no </w:t>
      </w:r>
      <w:proofErr w:type="spellStart"/>
      <w:r w:rsidRPr="00A92FDB">
        <w:rPr>
          <w:rFonts w:ascii="Times New Roman" w:hAnsi="Times New Roman" w:cs="Times New Roman"/>
        </w:rPr>
        <w:t>AREsp</w:t>
      </w:r>
      <w:proofErr w:type="spellEnd"/>
      <w:r w:rsidRPr="00A92FDB">
        <w:rPr>
          <w:rFonts w:ascii="Times New Roman" w:hAnsi="Times New Roman" w:cs="Times New Roman"/>
        </w:rPr>
        <w:t xml:space="preserve"> 2234858 MG 2022/0336713-8, Rel. RAUL ARAÚJO, Data de Julgamento: 29/05/2023, T4 – QUARTA TURMA, </w:t>
      </w:r>
      <w:proofErr w:type="spellStart"/>
      <w:r w:rsidRPr="00A92FDB">
        <w:rPr>
          <w:rFonts w:ascii="Times New Roman" w:hAnsi="Times New Roman" w:cs="Times New Roman"/>
        </w:rPr>
        <w:t>DJe</w:t>
      </w:r>
      <w:proofErr w:type="spellEnd"/>
      <w:r w:rsidRPr="00A92FDB">
        <w:rPr>
          <w:rFonts w:ascii="Times New Roman" w:hAnsi="Times New Roman" w:cs="Times New Roman"/>
        </w:rPr>
        <w:t xml:space="preserve"> 07/06/2023].</w:t>
      </w:r>
    </w:p>
    <w:p w14:paraId="4C4566F6" w14:textId="41C0B6AC" w:rsidR="00A92FDB" w:rsidRPr="00A92FDB" w:rsidRDefault="00DC7F51" w:rsidP="00A92FDB">
      <w:pPr>
        <w:ind w:right="-568"/>
        <w:jc w:val="both"/>
        <w:rPr>
          <w:rFonts w:ascii="Times New Roman" w:hAnsi="Times New Roman" w:cs="Times New Roman"/>
        </w:rPr>
      </w:pPr>
      <w:r>
        <w:rPr>
          <w:rFonts w:ascii="Times New Roman" w:hAnsi="Times New Roman" w:cs="Times New Roman"/>
        </w:rPr>
        <w:t>“</w:t>
      </w:r>
      <w:r w:rsidR="00A92FDB" w:rsidRPr="00DC7F51">
        <w:rPr>
          <w:rFonts w:ascii="Times New Roman" w:hAnsi="Times New Roman" w:cs="Times New Roman"/>
          <w:i/>
          <w:iCs/>
        </w:rPr>
        <w:t xml:space="preserve">PROCESSO CIVIL. AGRAVO INTERNO. RAZÕES QUE NÃO ENFRENTAM O FUNDAMENTO DA DECISÃO AGRAVADA. PREVIDÊNCIA PRIVADA. CUMPRIMENTO DE SENTENÇA. EXCESSO DE EXECUÇÃO. EXTRA PETITA. INEXISTÊNCIA. ALTERAÇÃO DOS CRITÉRIOS. IMPOSSIBILIDADE. REEXAME DE PROVAS. SÚMULA 7/STJ. 1. As razões do agravo interno não enfrentam adequadamente o fundamento da decisão agravada. 2. Na fase de cumprimento de sentença, não se admite a rediscussão das matérias decididas no título judicial, sob pena de violação à coisa julgada. </w:t>
      </w:r>
      <w:r w:rsidRPr="00DC7F51">
        <w:rPr>
          <w:rFonts w:ascii="Times New Roman" w:hAnsi="Times New Roman" w:cs="Times New Roman"/>
          <w:i/>
          <w:iCs/>
        </w:rPr>
        <w:t xml:space="preserve"> </w:t>
      </w:r>
      <w:r w:rsidR="00A92FDB" w:rsidRPr="00DC7F51">
        <w:rPr>
          <w:rFonts w:ascii="Times New Roman" w:hAnsi="Times New Roman" w:cs="Times New Roman"/>
          <w:i/>
          <w:iCs/>
        </w:rPr>
        <w:t xml:space="preserve">3. Não cabe, em recurso especial, reexaminar matéria fático-probatória (Súmula 7/STJ). </w:t>
      </w:r>
      <w:r w:rsidRPr="00DC7F51">
        <w:rPr>
          <w:rFonts w:ascii="Times New Roman" w:hAnsi="Times New Roman" w:cs="Times New Roman"/>
          <w:i/>
          <w:iCs/>
        </w:rPr>
        <w:t xml:space="preserve"> </w:t>
      </w:r>
      <w:r w:rsidR="00A92FDB" w:rsidRPr="00DC7F51">
        <w:rPr>
          <w:rFonts w:ascii="Times New Roman" w:hAnsi="Times New Roman" w:cs="Times New Roman"/>
          <w:i/>
          <w:iCs/>
        </w:rPr>
        <w:t>4. Agravo interno a que se nega provimento</w:t>
      </w:r>
      <w:r w:rsidR="00A92FDB" w:rsidRPr="00A92FDB">
        <w:rPr>
          <w:rFonts w:ascii="Times New Roman" w:hAnsi="Times New Roman" w:cs="Times New Roman"/>
        </w:rPr>
        <w:t>.</w:t>
      </w:r>
      <w:r>
        <w:rPr>
          <w:rFonts w:ascii="Times New Roman" w:hAnsi="Times New Roman" w:cs="Times New Roman"/>
        </w:rPr>
        <w:t xml:space="preserve">” </w:t>
      </w:r>
      <w:proofErr w:type="gramStart"/>
      <w:r w:rsidR="00A92FDB" w:rsidRPr="00A92FDB">
        <w:rPr>
          <w:rFonts w:ascii="Times New Roman" w:hAnsi="Times New Roman" w:cs="Times New Roman"/>
        </w:rPr>
        <w:t>[</w:t>
      </w:r>
      <w:proofErr w:type="spellStart"/>
      <w:proofErr w:type="gramEnd"/>
      <w:r w:rsidR="00A92FDB" w:rsidRPr="00A92FDB">
        <w:rPr>
          <w:rFonts w:ascii="Times New Roman" w:hAnsi="Times New Roman" w:cs="Times New Roman"/>
        </w:rPr>
        <w:t>AgInt</w:t>
      </w:r>
      <w:proofErr w:type="spellEnd"/>
      <w:r w:rsidR="00A92FDB" w:rsidRPr="00A92FDB">
        <w:rPr>
          <w:rFonts w:ascii="Times New Roman" w:hAnsi="Times New Roman" w:cs="Times New Roman"/>
        </w:rPr>
        <w:t xml:space="preserve"> nos </w:t>
      </w:r>
      <w:proofErr w:type="spellStart"/>
      <w:r w:rsidR="00A92FDB" w:rsidRPr="00A92FDB">
        <w:rPr>
          <w:rFonts w:ascii="Times New Roman" w:hAnsi="Times New Roman" w:cs="Times New Roman"/>
        </w:rPr>
        <w:t>EDcl</w:t>
      </w:r>
      <w:proofErr w:type="spellEnd"/>
      <w:r w:rsidR="00A92FDB" w:rsidRPr="00A92FDB">
        <w:rPr>
          <w:rFonts w:ascii="Times New Roman" w:hAnsi="Times New Roman" w:cs="Times New Roman"/>
        </w:rPr>
        <w:t xml:space="preserve"> no REsp n. 1.954.816/SE, Rel. Min. Maria Isabel Gallotti, QUARTA TURMA, julgado em 4/4/2022, </w:t>
      </w:r>
      <w:proofErr w:type="spellStart"/>
      <w:r w:rsidR="00A92FDB" w:rsidRPr="00A92FDB">
        <w:rPr>
          <w:rFonts w:ascii="Times New Roman" w:hAnsi="Times New Roman" w:cs="Times New Roman"/>
        </w:rPr>
        <w:t>DJe</w:t>
      </w:r>
      <w:proofErr w:type="spellEnd"/>
      <w:r w:rsidR="00A92FDB" w:rsidRPr="00A92FDB">
        <w:rPr>
          <w:rFonts w:ascii="Times New Roman" w:hAnsi="Times New Roman" w:cs="Times New Roman"/>
        </w:rPr>
        <w:t xml:space="preserve"> de 07/04/2022].</w:t>
      </w:r>
    </w:p>
    <w:p w14:paraId="7C5EB928" w14:textId="04859CE3" w:rsidR="00A92FDB" w:rsidRPr="00A92FDB" w:rsidRDefault="00DC7F51" w:rsidP="00A92FDB">
      <w:pPr>
        <w:ind w:right="-568"/>
        <w:jc w:val="both"/>
        <w:rPr>
          <w:rFonts w:ascii="Times New Roman" w:hAnsi="Times New Roman" w:cs="Times New Roman"/>
        </w:rPr>
      </w:pPr>
      <w:r>
        <w:rPr>
          <w:rFonts w:ascii="Times New Roman" w:hAnsi="Times New Roman" w:cs="Times New Roman"/>
        </w:rPr>
        <w:t>“</w:t>
      </w:r>
      <w:r w:rsidR="00A92FDB" w:rsidRPr="00DC7F51">
        <w:rPr>
          <w:rFonts w:ascii="Times New Roman" w:hAnsi="Times New Roman" w:cs="Times New Roman"/>
          <w:i/>
          <w:iCs/>
        </w:rPr>
        <w:t>AGRAVO INTERNO NO AGRAVO EM RECURSO ESPECIAL. TÍTULO EXECUTIVO JUDICIAL. COISA JULGADA. ALTERAÇÃO NA FASE DE CUMPRIMENTO DE SENTENÇA. IMPOSSIBILIDADE. AGRAVO NÃO PROVIDO. 1. A Corte de origem consignou que a alegação do recorrente relativa à limitação da quantidade de dias de estadia a serem pagos foi manifestada e rejeitada na fase de conhecimento do processo.</w:t>
      </w:r>
      <w:r w:rsidRPr="00DC7F51">
        <w:rPr>
          <w:rFonts w:ascii="Times New Roman" w:hAnsi="Times New Roman" w:cs="Times New Roman"/>
          <w:i/>
          <w:iCs/>
        </w:rPr>
        <w:t xml:space="preserve"> </w:t>
      </w:r>
      <w:r w:rsidR="00A92FDB" w:rsidRPr="00DC7F51">
        <w:rPr>
          <w:rFonts w:ascii="Times New Roman" w:hAnsi="Times New Roman" w:cs="Times New Roman"/>
          <w:i/>
          <w:iCs/>
        </w:rPr>
        <w:t>2. Nos termos da jurisprudência desta Corte Superior, com o trânsito em julgado, os litigantes ficam adstritos aos limites impostos pelo título executivo judicial e não podem rediscutir, na fase de cumprimento de sentença, o que não está assegurado na condenação, sob pena de ofensa à coisa julgada.</w:t>
      </w:r>
      <w:r w:rsidRPr="00DC7F51">
        <w:rPr>
          <w:rFonts w:ascii="Times New Roman" w:hAnsi="Times New Roman" w:cs="Times New Roman"/>
          <w:i/>
          <w:iCs/>
        </w:rPr>
        <w:t xml:space="preserve"> </w:t>
      </w:r>
      <w:r w:rsidR="00A92FDB" w:rsidRPr="00DC7F51">
        <w:rPr>
          <w:rFonts w:ascii="Times New Roman" w:hAnsi="Times New Roman" w:cs="Times New Roman"/>
          <w:i/>
          <w:iCs/>
        </w:rPr>
        <w:t>3. Agravo interno a que se nega provimento</w:t>
      </w:r>
      <w:r w:rsidR="00A92FDB" w:rsidRPr="00A92FDB">
        <w:rPr>
          <w:rFonts w:ascii="Times New Roman" w:hAnsi="Times New Roman" w:cs="Times New Roman"/>
        </w:rPr>
        <w:t>.</w:t>
      </w:r>
      <w:r>
        <w:rPr>
          <w:rFonts w:ascii="Times New Roman" w:hAnsi="Times New Roman" w:cs="Times New Roman"/>
        </w:rPr>
        <w:t xml:space="preserve">” </w:t>
      </w:r>
      <w:proofErr w:type="gramStart"/>
      <w:r w:rsidR="00A92FDB" w:rsidRPr="00A92FDB">
        <w:rPr>
          <w:rFonts w:ascii="Times New Roman" w:hAnsi="Times New Roman" w:cs="Times New Roman"/>
        </w:rPr>
        <w:t>[</w:t>
      </w:r>
      <w:proofErr w:type="gramEnd"/>
      <w:r w:rsidR="00A92FDB" w:rsidRPr="00A92FDB">
        <w:rPr>
          <w:rFonts w:ascii="Times New Roman" w:hAnsi="Times New Roman" w:cs="Times New Roman"/>
        </w:rPr>
        <w:t xml:space="preserve">STJ - </w:t>
      </w:r>
      <w:proofErr w:type="spellStart"/>
      <w:r w:rsidR="00A92FDB" w:rsidRPr="00A92FDB">
        <w:rPr>
          <w:rFonts w:ascii="Times New Roman" w:hAnsi="Times New Roman" w:cs="Times New Roman"/>
        </w:rPr>
        <w:t>AgInt</w:t>
      </w:r>
      <w:proofErr w:type="spellEnd"/>
      <w:r w:rsidR="00A92FDB" w:rsidRPr="00A92FDB">
        <w:rPr>
          <w:rFonts w:ascii="Times New Roman" w:hAnsi="Times New Roman" w:cs="Times New Roman"/>
        </w:rPr>
        <w:t xml:space="preserve"> no </w:t>
      </w:r>
      <w:proofErr w:type="spellStart"/>
      <w:r w:rsidR="00A92FDB" w:rsidRPr="00A92FDB">
        <w:rPr>
          <w:rFonts w:ascii="Times New Roman" w:hAnsi="Times New Roman" w:cs="Times New Roman"/>
        </w:rPr>
        <w:t>AREsp</w:t>
      </w:r>
      <w:proofErr w:type="spellEnd"/>
      <w:r w:rsidR="00A92FDB" w:rsidRPr="00A92FDB">
        <w:rPr>
          <w:rFonts w:ascii="Times New Roman" w:hAnsi="Times New Roman" w:cs="Times New Roman"/>
        </w:rPr>
        <w:t xml:space="preserve"> 1547176 SP 2019/0212302-8, Rel. Min. RAUL ARAÚJO, Data de Julgamento: 11/05/2020, T4 – QUARTA TURMA, </w:t>
      </w:r>
      <w:proofErr w:type="spellStart"/>
      <w:r w:rsidR="00A92FDB" w:rsidRPr="00A92FDB">
        <w:rPr>
          <w:rFonts w:ascii="Times New Roman" w:hAnsi="Times New Roman" w:cs="Times New Roman"/>
        </w:rPr>
        <w:t>DJe</w:t>
      </w:r>
      <w:proofErr w:type="spellEnd"/>
      <w:r w:rsidR="00A92FDB" w:rsidRPr="00A92FDB">
        <w:rPr>
          <w:rFonts w:ascii="Times New Roman" w:hAnsi="Times New Roman" w:cs="Times New Roman"/>
        </w:rPr>
        <w:t xml:space="preserve"> 25.05.2020].</w:t>
      </w:r>
    </w:p>
    <w:p w14:paraId="7E84FC3F" w14:textId="15C06D9D" w:rsidR="00A92FDB" w:rsidRPr="00DC7F51" w:rsidRDefault="00DC7F51" w:rsidP="00A92FDB">
      <w:pPr>
        <w:ind w:right="-568"/>
        <w:jc w:val="both"/>
        <w:rPr>
          <w:rFonts w:ascii="Times New Roman" w:hAnsi="Times New Roman" w:cs="Times New Roman"/>
          <w:i/>
          <w:iCs/>
        </w:rPr>
      </w:pPr>
      <w:r>
        <w:rPr>
          <w:rFonts w:ascii="Times New Roman" w:hAnsi="Times New Roman" w:cs="Times New Roman"/>
        </w:rPr>
        <w:t>“</w:t>
      </w:r>
      <w:r w:rsidR="00A92FDB" w:rsidRPr="00DC7F51">
        <w:rPr>
          <w:rFonts w:ascii="Times New Roman" w:hAnsi="Times New Roman" w:cs="Times New Roman"/>
          <w:i/>
          <w:iCs/>
        </w:rPr>
        <w:t>AGRAVO INTERNO NO AGRAVO EM RECURSO ESPECIAL. EXECUÇÃO POR QUANTIA CERTA. EXTINÇÃO ANTE A SATISFAÇÃO DA OBRIGAÇÃO. EFICÁCIA PRECLUSIVA DA COISA JULGADA. DECISÃO MANTIDA. RECURSO DESPROVIDO.</w:t>
      </w:r>
      <w:r w:rsidRPr="00DC7F51">
        <w:rPr>
          <w:rFonts w:ascii="Times New Roman" w:hAnsi="Times New Roman" w:cs="Times New Roman"/>
          <w:i/>
          <w:iCs/>
        </w:rPr>
        <w:t xml:space="preserve"> </w:t>
      </w:r>
      <w:r w:rsidR="00A92FDB" w:rsidRPr="00DC7F51">
        <w:rPr>
          <w:rFonts w:ascii="Times New Roman" w:hAnsi="Times New Roman" w:cs="Times New Roman"/>
          <w:i/>
          <w:iCs/>
        </w:rPr>
        <w:t>1. As razões recursais indicaram como violados dispositivos legais que não possuem pertinência temática com o decidido no aresto impugnado, incapazes de infirmar o juízo formulado no acórdão recorrido quanto à ocorrência de coisa julgada material e à elaboração dos cálculos em respeito aos limites impostos judicialmente. Incidência, por analogia, da orientação posta na Súmula 284/STF.</w:t>
      </w:r>
      <w:r>
        <w:rPr>
          <w:rFonts w:ascii="Times New Roman" w:hAnsi="Times New Roman" w:cs="Times New Roman"/>
          <w:i/>
          <w:iCs/>
        </w:rPr>
        <w:t xml:space="preserve"> </w:t>
      </w:r>
      <w:r w:rsidR="00A92FDB" w:rsidRPr="00DC7F51">
        <w:rPr>
          <w:rFonts w:ascii="Times New Roman" w:hAnsi="Times New Roman" w:cs="Times New Roman"/>
          <w:i/>
          <w:iCs/>
        </w:rPr>
        <w:t>2. Com o trânsito em julgado, os litigantes ficam adstritos aos limites impostos pelo título executivo judicial e não podem rediscutir, no bojo da ação executiva, o que não está assegurado na condenação, questionando a legalidade do negócio e sua base de cálculo.</w:t>
      </w:r>
      <w:r>
        <w:rPr>
          <w:rFonts w:ascii="Times New Roman" w:hAnsi="Times New Roman" w:cs="Times New Roman"/>
          <w:i/>
          <w:iCs/>
        </w:rPr>
        <w:t xml:space="preserve"> </w:t>
      </w:r>
      <w:r w:rsidR="00A92FDB" w:rsidRPr="00DC7F51">
        <w:rPr>
          <w:rFonts w:ascii="Times New Roman" w:hAnsi="Times New Roman" w:cs="Times New Roman"/>
          <w:i/>
          <w:iCs/>
        </w:rPr>
        <w:t xml:space="preserve">3. </w:t>
      </w:r>
      <w:r w:rsidR="00A92FDB" w:rsidRPr="00DC7F51">
        <w:rPr>
          <w:rFonts w:ascii="Times New Roman" w:hAnsi="Times New Roman" w:cs="Times New Roman"/>
          <w:i/>
          <w:iCs/>
        </w:rPr>
        <w:lastRenderedPageBreak/>
        <w:t>Agravo interno não provido</w:t>
      </w:r>
      <w:r w:rsidR="00A92FDB" w:rsidRPr="00A92FDB">
        <w:rPr>
          <w:rFonts w:ascii="Times New Roman" w:hAnsi="Times New Roman" w:cs="Times New Roman"/>
        </w:rPr>
        <w:t>.</w:t>
      </w:r>
      <w:r>
        <w:rPr>
          <w:rFonts w:ascii="Times New Roman" w:hAnsi="Times New Roman" w:cs="Times New Roman"/>
        </w:rPr>
        <w:t xml:space="preserve">” </w:t>
      </w:r>
      <w:proofErr w:type="gramStart"/>
      <w:r w:rsidR="00A92FDB" w:rsidRPr="00A92FDB">
        <w:rPr>
          <w:rFonts w:ascii="Times New Roman" w:hAnsi="Times New Roman" w:cs="Times New Roman"/>
        </w:rPr>
        <w:t>[</w:t>
      </w:r>
      <w:proofErr w:type="spellStart"/>
      <w:proofErr w:type="gramEnd"/>
      <w:r w:rsidR="00A92FDB" w:rsidRPr="00A92FDB">
        <w:rPr>
          <w:rFonts w:ascii="Times New Roman" w:hAnsi="Times New Roman" w:cs="Times New Roman"/>
        </w:rPr>
        <w:t>AgInt</w:t>
      </w:r>
      <w:proofErr w:type="spellEnd"/>
      <w:r w:rsidR="00A92FDB" w:rsidRPr="00A92FDB">
        <w:rPr>
          <w:rFonts w:ascii="Times New Roman" w:hAnsi="Times New Roman" w:cs="Times New Roman"/>
        </w:rPr>
        <w:t xml:space="preserve"> no </w:t>
      </w:r>
      <w:proofErr w:type="spellStart"/>
      <w:r w:rsidR="00A92FDB" w:rsidRPr="00A92FDB">
        <w:rPr>
          <w:rFonts w:ascii="Times New Roman" w:hAnsi="Times New Roman" w:cs="Times New Roman"/>
        </w:rPr>
        <w:t>AREsp</w:t>
      </w:r>
      <w:proofErr w:type="spellEnd"/>
      <w:r w:rsidR="00A92FDB" w:rsidRPr="00A92FDB">
        <w:rPr>
          <w:rFonts w:ascii="Times New Roman" w:hAnsi="Times New Roman" w:cs="Times New Roman"/>
        </w:rPr>
        <w:t xml:space="preserve"> n. 1.079.103/MS, Rel. Min. Lázaro Guimarães (Desembargador Convocado do TRF 5ª REGIÃO), QUARTA TURMA, </w:t>
      </w:r>
      <w:proofErr w:type="spellStart"/>
      <w:r w:rsidR="00A92FDB" w:rsidRPr="00A92FDB">
        <w:rPr>
          <w:rFonts w:ascii="Times New Roman" w:hAnsi="Times New Roman" w:cs="Times New Roman"/>
        </w:rPr>
        <w:t>DJe</w:t>
      </w:r>
      <w:proofErr w:type="spellEnd"/>
      <w:r w:rsidR="00A92FDB" w:rsidRPr="00A92FDB">
        <w:rPr>
          <w:rFonts w:ascii="Times New Roman" w:hAnsi="Times New Roman" w:cs="Times New Roman"/>
        </w:rPr>
        <w:t xml:space="preserve"> 12/06/2018].</w:t>
      </w:r>
    </w:p>
    <w:p w14:paraId="14980D0E" w14:textId="1239D337" w:rsidR="00A92FDB" w:rsidRPr="00DC7F51" w:rsidRDefault="00A92FDB" w:rsidP="00A92FDB">
      <w:pPr>
        <w:ind w:right="-568"/>
        <w:jc w:val="both"/>
        <w:rPr>
          <w:rFonts w:ascii="Times New Roman" w:hAnsi="Times New Roman" w:cs="Times New Roman"/>
          <w:b/>
          <w:bCs/>
        </w:rPr>
      </w:pPr>
      <w:r w:rsidRPr="00DC7F51">
        <w:rPr>
          <w:rFonts w:ascii="Times New Roman" w:hAnsi="Times New Roman" w:cs="Times New Roman"/>
          <w:b/>
          <w:bCs/>
        </w:rPr>
        <w:t>III- PRECEDENTES DA “</w:t>
      </w:r>
      <w:r w:rsidRPr="00DC7F51">
        <w:rPr>
          <w:rFonts w:ascii="Times New Roman" w:hAnsi="Times New Roman" w:cs="Times New Roman"/>
          <w:b/>
          <w:bCs/>
          <w:i/>
          <w:iCs/>
        </w:rPr>
        <w:t>SEGUNDA</w:t>
      </w:r>
      <w:r w:rsidRPr="00DC7F51">
        <w:rPr>
          <w:rFonts w:ascii="Times New Roman" w:hAnsi="Times New Roman" w:cs="Times New Roman"/>
          <w:b/>
          <w:bCs/>
        </w:rPr>
        <w:t>” e “</w:t>
      </w:r>
      <w:r w:rsidRPr="00DC7F51">
        <w:rPr>
          <w:rFonts w:ascii="Times New Roman" w:hAnsi="Times New Roman" w:cs="Times New Roman"/>
          <w:b/>
          <w:bCs/>
          <w:i/>
          <w:iCs/>
        </w:rPr>
        <w:t>TERCEIRA</w:t>
      </w:r>
      <w:r w:rsidRPr="00DC7F51">
        <w:rPr>
          <w:rFonts w:ascii="Times New Roman" w:hAnsi="Times New Roman" w:cs="Times New Roman"/>
          <w:b/>
          <w:bCs/>
        </w:rPr>
        <w:t>” TURMAS DO STJ</w:t>
      </w:r>
    </w:p>
    <w:p w14:paraId="431607DA" w14:textId="4F689AC7" w:rsidR="00A92FDB" w:rsidRPr="00A92FDB" w:rsidRDefault="00A92FDB" w:rsidP="00A92FDB">
      <w:pPr>
        <w:ind w:right="-568"/>
        <w:jc w:val="both"/>
        <w:rPr>
          <w:rFonts w:ascii="Times New Roman" w:hAnsi="Times New Roman" w:cs="Times New Roman"/>
        </w:rPr>
      </w:pPr>
      <w:r w:rsidRPr="00A92FDB">
        <w:rPr>
          <w:rFonts w:ascii="Times New Roman" w:hAnsi="Times New Roman" w:cs="Times New Roman"/>
        </w:rPr>
        <w:t>Vogando na esteira, em única voz, os precedentes das egrégias “</w:t>
      </w:r>
      <w:proofErr w:type="gramStart"/>
      <w:r w:rsidRPr="00DC7F51">
        <w:rPr>
          <w:rFonts w:ascii="Times New Roman" w:hAnsi="Times New Roman" w:cs="Times New Roman"/>
          <w:i/>
          <w:iCs/>
        </w:rPr>
        <w:t>SEGUNDA</w:t>
      </w:r>
      <w:r w:rsidRPr="00A92FDB">
        <w:rPr>
          <w:rFonts w:ascii="Times New Roman" w:hAnsi="Times New Roman" w:cs="Times New Roman"/>
        </w:rPr>
        <w:t>”  e</w:t>
      </w:r>
      <w:proofErr w:type="gramEnd"/>
      <w:r w:rsidRPr="00A92FDB">
        <w:rPr>
          <w:rFonts w:ascii="Times New Roman" w:hAnsi="Times New Roman" w:cs="Times New Roman"/>
        </w:rPr>
        <w:t xml:space="preserve"> “</w:t>
      </w:r>
      <w:r w:rsidRPr="00DC7F51">
        <w:rPr>
          <w:rFonts w:ascii="Times New Roman" w:hAnsi="Times New Roman" w:cs="Times New Roman"/>
          <w:i/>
          <w:iCs/>
        </w:rPr>
        <w:t>TERCEIRA</w:t>
      </w:r>
      <w:r w:rsidRPr="00A92FDB">
        <w:rPr>
          <w:rFonts w:ascii="Times New Roman" w:hAnsi="Times New Roman" w:cs="Times New Roman"/>
        </w:rPr>
        <w:t>” TURMAS desse d. SUPERIOR TRIBUNAL DE JUSTIÇA:</w:t>
      </w:r>
    </w:p>
    <w:p w14:paraId="446E4A55" w14:textId="252D0D92" w:rsidR="00A92FDB" w:rsidRPr="00DC7F51" w:rsidRDefault="00DC7F51" w:rsidP="00A92FDB">
      <w:pPr>
        <w:ind w:right="-568"/>
        <w:jc w:val="both"/>
        <w:rPr>
          <w:rFonts w:ascii="Times New Roman" w:hAnsi="Times New Roman" w:cs="Times New Roman"/>
          <w:i/>
          <w:iCs/>
        </w:rPr>
      </w:pPr>
      <w:r>
        <w:rPr>
          <w:rFonts w:ascii="Times New Roman" w:hAnsi="Times New Roman" w:cs="Times New Roman"/>
        </w:rPr>
        <w:t>“</w:t>
      </w:r>
      <w:r w:rsidR="00A92FDB" w:rsidRPr="00DC7F51">
        <w:rPr>
          <w:rFonts w:ascii="Times New Roman" w:hAnsi="Times New Roman" w:cs="Times New Roman"/>
          <w:i/>
          <w:iCs/>
        </w:rPr>
        <w:t>PROCESSUAL CIVIL. EMBARGOS À EXECUÇÃO. RESSARCIMENTO AO SUS. ÍNDICE DE 9,56%. VIOLAÇÃO DO ART. 1.022 DO CPC/2015. NÃO VERIFICADA. FUNDAMENTO AUTÔNOMO E SUFICIENTE PARA MANTER O JULGADO NÃO FOI REBATIDO PELO APELO NOBRE. SÚMULA N. 283/STF. CASO CONCRETO EM QUE O TÍTULO SE FORMOU ANTERIOR À VIGÊNCIA DA LEI N. 11.960/2009. NÃO AFRONTA À COISA JULGADA. DESPROVIMENTO DO AGRAVO INTERNO. MANUTENÇÃO DA DECISÃO RECORRIDA.</w:t>
      </w:r>
      <w:r w:rsidRPr="00DC7F51">
        <w:rPr>
          <w:rFonts w:ascii="Times New Roman" w:hAnsi="Times New Roman" w:cs="Times New Roman"/>
          <w:i/>
          <w:iCs/>
        </w:rPr>
        <w:t xml:space="preserve"> </w:t>
      </w:r>
      <w:r w:rsidR="00A92FDB" w:rsidRPr="00DC7F51">
        <w:rPr>
          <w:rFonts w:ascii="Times New Roman" w:hAnsi="Times New Roman" w:cs="Times New Roman"/>
          <w:i/>
          <w:iCs/>
        </w:rPr>
        <w:t>I - Na origem, trata-se de embargos à execução sustentando excesso na execução. Na sentença, julgou-se parcialmente procedente o pedido, para limitar o pagamento dos valores devidos ao período de 18/8/1999 a 30/9/1999, que deverão ser atualizados monetariamente pelo IPCA-E. No Tribunal a quo, a sentença foi parcialmente reformada, para determinar como termo final da execução novembro de 1999.</w:t>
      </w:r>
      <w:r w:rsidRPr="00DC7F51">
        <w:rPr>
          <w:rFonts w:ascii="Times New Roman" w:hAnsi="Times New Roman" w:cs="Times New Roman"/>
          <w:i/>
          <w:iCs/>
        </w:rPr>
        <w:t xml:space="preserve"> </w:t>
      </w:r>
      <w:r w:rsidR="00A92FDB" w:rsidRPr="00DC7F51">
        <w:rPr>
          <w:rFonts w:ascii="Times New Roman" w:hAnsi="Times New Roman" w:cs="Times New Roman"/>
          <w:i/>
          <w:iCs/>
        </w:rPr>
        <w:t>II - Não há violação do art. 535 do CPC/1973 (art. 1.022 do CPC/2015) quando o Tribunal a quo se manifesta clara e fundamentadamente acerca dos pontos indispensáveis para o desate da controvérsia, apreciando-a (art. 165 do CPC/1973 e art. 489 do CPC/2015), apontando as razões de seu convencimento, ainda que de forma contrária aos interesses da parte, como verificado na hipótese. [...]</w:t>
      </w:r>
      <w:r>
        <w:rPr>
          <w:rFonts w:ascii="Times New Roman" w:hAnsi="Times New Roman" w:cs="Times New Roman"/>
          <w:i/>
          <w:iCs/>
        </w:rPr>
        <w:t xml:space="preserve"> </w:t>
      </w:r>
      <w:r w:rsidR="00A92FDB" w:rsidRPr="00DC7F51">
        <w:rPr>
          <w:rFonts w:ascii="Times New Roman" w:hAnsi="Times New Roman" w:cs="Times New Roman"/>
          <w:i/>
          <w:iCs/>
        </w:rPr>
        <w:t>VII - Nessa hipótese, devem prevalecer os parâmetros fixados na sentença transitada em julgado, sendo incabível ao juízo da execução redefinir o título executivo nesse aspecto, sob pena de violação da coisa julgada.</w:t>
      </w:r>
      <w:r>
        <w:rPr>
          <w:rFonts w:ascii="Times New Roman" w:hAnsi="Times New Roman" w:cs="Times New Roman"/>
          <w:i/>
          <w:iCs/>
        </w:rPr>
        <w:t xml:space="preserve"> </w:t>
      </w:r>
      <w:r w:rsidR="00A92FDB" w:rsidRPr="00DC7F51">
        <w:rPr>
          <w:rFonts w:ascii="Times New Roman" w:hAnsi="Times New Roman" w:cs="Times New Roman"/>
          <w:i/>
          <w:iCs/>
        </w:rPr>
        <w:t xml:space="preserve">VIII - Na hipótese dos autos, o título exequendo se formou anteriormente à vigência da Lei n. 11.960/2009, razão pela qual a alteração de tal critério não importa em afronta à coisa julgada. Nesse sentido: </w:t>
      </w:r>
      <w:proofErr w:type="spellStart"/>
      <w:r w:rsidR="00A92FDB" w:rsidRPr="00DC7F51">
        <w:rPr>
          <w:rFonts w:ascii="Times New Roman" w:hAnsi="Times New Roman" w:cs="Times New Roman"/>
          <w:i/>
          <w:iCs/>
        </w:rPr>
        <w:t>AgInt</w:t>
      </w:r>
      <w:proofErr w:type="spellEnd"/>
      <w:r w:rsidR="00A92FDB" w:rsidRPr="00DC7F51">
        <w:rPr>
          <w:rFonts w:ascii="Times New Roman" w:hAnsi="Times New Roman" w:cs="Times New Roman"/>
          <w:i/>
          <w:iCs/>
        </w:rPr>
        <w:t xml:space="preserve"> no REsp n. 1.908.349/RJ, relatora Ministra Regina Helena Costa, Primeira Turma, julgado em 14/2/2022, </w:t>
      </w:r>
      <w:proofErr w:type="spellStart"/>
      <w:r w:rsidR="00A92FDB" w:rsidRPr="00DC7F51">
        <w:rPr>
          <w:rFonts w:ascii="Times New Roman" w:hAnsi="Times New Roman" w:cs="Times New Roman"/>
          <w:i/>
          <w:iCs/>
        </w:rPr>
        <w:t>DJe</w:t>
      </w:r>
      <w:proofErr w:type="spellEnd"/>
      <w:r w:rsidR="00A92FDB" w:rsidRPr="00DC7F51">
        <w:rPr>
          <w:rFonts w:ascii="Times New Roman" w:hAnsi="Times New Roman" w:cs="Times New Roman"/>
          <w:i/>
          <w:iCs/>
        </w:rPr>
        <w:t xml:space="preserve"> 17/2/2022.IX - Agravo interno improvido</w:t>
      </w:r>
      <w:r w:rsidR="00A92FDB" w:rsidRPr="00A92FDB">
        <w:rPr>
          <w:rFonts w:ascii="Times New Roman" w:hAnsi="Times New Roman" w:cs="Times New Roman"/>
        </w:rPr>
        <w:t>.</w:t>
      </w:r>
      <w:r>
        <w:rPr>
          <w:rFonts w:ascii="Times New Roman" w:hAnsi="Times New Roman" w:cs="Times New Roman"/>
        </w:rPr>
        <w:t xml:space="preserve">” </w:t>
      </w:r>
      <w:r w:rsidR="00A92FDB" w:rsidRPr="00A92FDB">
        <w:rPr>
          <w:rFonts w:ascii="Times New Roman" w:hAnsi="Times New Roman" w:cs="Times New Roman"/>
        </w:rPr>
        <w:t>[</w:t>
      </w:r>
      <w:proofErr w:type="spellStart"/>
      <w:r w:rsidR="00A92FDB" w:rsidRPr="00A92FDB">
        <w:rPr>
          <w:rFonts w:ascii="Times New Roman" w:hAnsi="Times New Roman" w:cs="Times New Roman"/>
        </w:rPr>
        <w:t>AgInt</w:t>
      </w:r>
      <w:proofErr w:type="spellEnd"/>
      <w:r w:rsidR="00A92FDB" w:rsidRPr="00A92FDB">
        <w:rPr>
          <w:rFonts w:ascii="Times New Roman" w:hAnsi="Times New Roman" w:cs="Times New Roman"/>
        </w:rPr>
        <w:t xml:space="preserve"> no </w:t>
      </w:r>
      <w:proofErr w:type="spellStart"/>
      <w:r w:rsidR="00A92FDB" w:rsidRPr="00A92FDB">
        <w:rPr>
          <w:rFonts w:ascii="Times New Roman" w:hAnsi="Times New Roman" w:cs="Times New Roman"/>
        </w:rPr>
        <w:t>AREsp</w:t>
      </w:r>
      <w:proofErr w:type="spellEnd"/>
      <w:r w:rsidR="00A92FDB" w:rsidRPr="00A92FDB">
        <w:rPr>
          <w:rFonts w:ascii="Times New Roman" w:hAnsi="Times New Roman" w:cs="Times New Roman"/>
        </w:rPr>
        <w:t xml:space="preserve"> n. 1.747.882/RS, Rel. Ministro Francisco Falcão, SEGUNDA TURMA, julgado em 06/03/2023, </w:t>
      </w:r>
      <w:proofErr w:type="spellStart"/>
      <w:r w:rsidR="00A92FDB" w:rsidRPr="00A92FDB">
        <w:rPr>
          <w:rFonts w:ascii="Times New Roman" w:hAnsi="Times New Roman" w:cs="Times New Roman"/>
        </w:rPr>
        <w:t>DJe</w:t>
      </w:r>
      <w:proofErr w:type="spellEnd"/>
      <w:r w:rsidR="00A92FDB" w:rsidRPr="00A92FDB">
        <w:rPr>
          <w:rFonts w:ascii="Times New Roman" w:hAnsi="Times New Roman" w:cs="Times New Roman"/>
        </w:rPr>
        <w:t xml:space="preserve"> de 10/03/2023].</w:t>
      </w:r>
    </w:p>
    <w:p w14:paraId="2970E2BE" w14:textId="5424B1C1" w:rsidR="00A92FDB" w:rsidRPr="00A92FDB" w:rsidRDefault="00DC7F51" w:rsidP="00A92FDB">
      <w:pPr>
        <w:ind w:right="-568"/>
        <w:jc w:val="both"/>
        <w:rPr>
          <w:rFonts w:ascii="Times New Roman" w:hAnsi="Times New Roman" w:cs="Times New Roman"/>
        </w:rPr>
      </w:pPr>
      <w:r>
        <w:rPr>
          <w:rFonts w:ascii="Times New Roman" w:hAnsi="Times New Roman" w:cs="Times New Roman"/>
        </w:rPr>
        <w:t>“</w:t>
      </w:r>
      <w:r w:rsidR="00A92FDB" w:rsidRPr="00DC7F51">
        <w:rPr>
          <w:rFonts w:ascii="Times New Roman" w:hAnsi="Times New Roman" w:cs="Times New Roman"/>
          <w:i/>
          <w:iCs/>
        </w:rPr>
        <w:t>AGRAVO INTERNO NO AGRAVO NO RECURSO ESPECIAL. AGRAVO DE INSTRUMENTO. IMPUGNAÇÃO AO CUMPRIMENTO DE SENTENÇA. PLANO DE SAÚDE. MUDANÇA DE FAIXA ETÁRIA. REAJUSTE. VIOLAÇÃO À COISA JULGADA. OCORRÊNCIA. EXCESSO DE EXECUÇÃO. RECONHECIMENTO.</w:t>
      </w:r>
      <w:r w:rsidRPr="00DC7F51">
        <w:rPr>
          <w:rFonts w:ascii="Times New Roman" w:hAnsi="Times New Roman" w:cs="Times New Roman"/>
          <w:i/>
          <w:iCs/>
        </w:rPr>
        <w:t xml:space="preserve"> </w:t>
      </w:r>
      <w:r w:rsidR="00A92FDB" w:rsidRPr="00DC7F51">
        <w:rPr>
          <w:rFonts w:ascii="Times New Roman" w:hAnsi="Times New Roman" w:cs="Times New Roman"/>
          <w:i/>
          <w:iCs/>
        </w:rPr>
        <w:t>1. A jurisprudência desta Corte firmou-se no sentido de que a execução de título judicial deve ser realizada nos termos da condenação exposta na sentença exequenda, sendo defeso ao juízo da execução modificar o que foi decidido no título executivo, sob pena de violação da coisa julgada.</w:t>
      </w:r>
      <w:r w:rsidRPr="00DC7F51">
        <w:rPr>
          <w:rFonts w:ascii="Times New Roman" w:hAnsi="Times New Roman" w:cs="Times New Roman"/>
          <w:i/>
          <w:iCs/>
        </w:rPr>
        <w:t xml:space="preserve"> </w:t>
      </w:r>
      <w:r w:rsidR="00A92FDB" w:rsidRPr="00DC7F51">
        <w:rPr>
          <w:rFonts w:ascii="Times New Roman" w:hAnsi="Times New Roman" w:cs="Times New Roman"/>
          <w:i/>
          <w:iCs/>
        </w:rPr>
        <w:t>2. "Na hipótese, a parte firmou contrato com o plano de saúde após ter ultrapassado a idade de 70 (setenta) anos, com uma mensalidade inicial de acordo com sua faixa etária, não podendo ser incluída entre os beneficiados pelo título executivo judicial que reconheceu a ilegalidade do reajuste."</w:t>
      </w:r>
      <w:r w:rsidRPr="00DC7F51">
        <w:rPr>
          <w:rFonts w:ascii="Times New Roman" w:hAnsi="Times New Roman" w:cs="Times New Roman"/>
          <w:i/>
          <w:iCs/>
        </w:rPr>
        <w:t xml:space="preserve"> </w:t>
      </w:r>
      <w:r w:rsidR="00A92FDB" w:rsidRPr="00DC7F51">
        <w:rPr>
          <w:rFonts w:ascii="Times New Roman" w:hAnsi="Times New Roman" w:cs="Times New Roman"/>
          <w:i/>
          <w:iCs/>
        </w:rPr>
        <w:t>- (</w:t>
      </w:r>
      <w:proofErr w:type="spellStart"/>
      <w:r w:rsidR="00A92FDB" w:rsidRPr="00DC7F51">
        <w:rPr>
          <w:rFonts w:ascii="Times New Roman" w:hAnsi="Times New Roman" w:cs="Times New Roman"/>
          <w:i/>
          <w:iCs/>
        </w:rPr>
        <w:t>AgInt</w:t>
      </w:r>
      <w:proofErr w:type="spellEnd"/>
      <w:r w:rsidR="00A92FDB" w:rsidRPr="00DC7F51">
        <w:rPr>
          <w:rFonts w:ascii="Times New Roman" w:hAnsi="Times New Roman" w:cs="Times New Roman"/>
          <w:i/>
          <w:iCs/>
        </w:rPr>
        <w:t xml:space="preserve"> no </w:t>
      </w:r>
      <w:proofErr w:type="spellStart"/>
      <w:r w:rsidR="00A92FDB" w:rsidRPr="00DC7F51">
        <w:rPr>
          <w:rFonts w:ascii="Times New Roman" w:hAnsi="Times New Roman" w:cs="Times New Roman"/>
          <w:i/>
          <w:iCs/>
        </w:rPr>
        <w:t>AREsp</w:t>
      </w:r>
      <w:proofErr w:type="spellEnd"/>
      <w:r w:rsidR="00A92FDB" w:rsidRPr="00DC7F51">
        <w:rPr>
          <w:rFonts w:ascii="Times New Roman" w:hAnsi="Times New Roman" w:cs="Times New Roman"/>
          <w:i/>
          <w:iCs/>
        </w:rPr>
        <w:t xml:space="preserve"> 985.097/MS, Rel. Ministro RICARDO VILLAS BÔAS CUEVA, TERCEIRA TURMA, julgado em 27/02/2018, </w:t>
      </w:r>
      <w:proofErr w:type="spellStart"/>
      <w:r w:rsidR="00A92FDB" w:rsidRPr="00DC7F51">
        <w:rPr>
          <w:rFonts w:ascii="Times New Roman" w:hAnsi="Times New Roman" w:cs="Times New Roman"/>
          <w:i/>
          <w:iCs/>
        </w:rPr>
        <w:t>DJe</w:t>
      </w:r>
      <w:proofErr w:type="spellEnd"/>
      <w:r w:rsidR="00A92FDB" w:rsidRPr="00DC7F51">
        <w:rPr>
          <w:rFonts w:ascii="Times New Roman" w:hAnsi="Times New Roman" w:cs="Times New Roman"/>
          <w:i/>
          <w:iCs/>
        </w:rPr>
        <w:t xml:space="preserve"> 09/03/2018) 3. Agravo interno a que se nega </w:t>
      </w:r>
      <w:r w:rsidR="00A92FDB" w:rsidRPr="00DC7F51">
        <w:rPr>
          <w:rFonts w:ascii="Times New Roman" w:hAnsi="Times New Roman" w:cs="Times New Roman"/>
          <w:i/>
          <w:iCs/>
        </w:rPr>
        <w:lastRenderedPageBreak/>
        <w:t>provimento</w:t>
      </w:r>
      <w:r w:rsidR="00A92FDB" w:rsidRPr="00A92FDB">
        <w:rPr>
          <w:rFonts w:ascii="Times New Roman" w:hAnsi="Times New Roman" w:cs="Times New Roman"/>
        </w:rPr>
        <w:t>.</w:t>
      </w:r>
      <w:r>
        <w:rPr>
          <w:rFonts w:ascii="Times New Roman" w:hAnsi="Times New Roman" w:cs="Times New Roman"/>
        </w:rPr>
        <w:t xml:space="preserve">” </w:t>
      </w:r>
      <w:proofErr w:type="gramStart"/>
      <w:r w:rsidR="00A92FDB" w:rsidRPr="00A92FDB">
        <w:rPr>
          <w:rFonts w:ascii="Times New Roman" w:hAnsi="Times New Roman" w:cs="Times New Roman"/>
        </w:rPr>
        <w:t>[</w:t>
      </w:r>
      <w:proofErr w:type="spellStart"/>
      <w:proofErr w:type="gramEnd"/>
      <w:r w:rsidR="00A92FDB" w:rsidRPr="00A92FDB">
        <w:rPr>
          <w:rFonts w:ascii="Times New Roman" w:hAnsi="Times New Roman" w:cs="Times New Roman"/>
        </w:rPr>
        <w:t>AgInt</w:t>
      </w:r>
      <w:proofErr w:type="spellEnd"/>
      <w:r w:rsidR="00A92FDB" w:rsidRPr="00A92FDB">
        <w:rPr>
          <w:rFonts w:ascii="Times New Roman" w:hAnsi="Times New Roman" w:cs="Times New Roman"/>
        </w:rPr>
        <w:t xml:space="preserve"> no </w:t>
      </w:r>
      <w:proofErr w:type="spellStart"/>
      <w:r w:rsidR="00A92FDB" w:rsidRPr="00A92FDB">
        <w:rPr>
          <w:rFonts w:ascii="Times New Roman" w:hAnsi="Times New Roman" w:cs="Times New Roman"/>
        </w:rPr>
        <w:t>AREsp</w:t>
      </w:r>
      <w:proofErr w:type="spellEnd"/>
      <w:r w:rsidR="00A92FDB" w:rsidRPr="00A92FDB">
        <w:rPr>
          <w:rFonts w:ascii="Times New Roman" w:hAnsi="Times New Roman" w:cs="Times New Roman"/>
        </w:rPr>
        <w:t xml:space="preserve"> n. 983.773/MS, Rel. Min. </w:t>
      </w:r>
      <w:proofErr w:type="spellStart"/>
      <w:r w:rsidR="00A92FDB" w:rsidRPr="00A92FDB">
        <w:rPr>
          <w:rFonts w:ascii="Times New Roman" w:hAnsi="Times New Roman" w:cs="Times New Roman"/>
        </w:rPr>
        <w:t>Luis</w:t>
      </w:r>
      <w:proofErr w:type="spellEnd"/>
      <w:r w:rsidR="00A92FDB" w:rsidRPr="00A92FDB">
        <w:rPr>
          <w:rFonts w:ascii="Times New Roman" w:hAnsi="Times New Roman" w:cs="Times New Roman"/>
        </w:rPr>
        <w:t xml:space="preserve"> Felipe Salomão, Quarta Turma, julgado em 21/8/2018, </w:t>
      </w:r>
      <w:proofErr w:type="spellStart"/>
      <w:r w:rsidR="00A92FDB" w:rsidRPr="00A92FDB">
        <w:rPr>
          <w:rFonts w:ascii="Times New Roman" w:hAnsi="Times New Roman" w:cs="Times New Roman"/>
        </w:rPr>
        <w:t>DJe</w:t>
      </w:r>
      <w:proofErr w:type="spellEnd"/>
      <w:r w:rsidR="00A92FDB" w:rsidRPr="00A92FDB">
        <w:rPr>
          <w:rFonts w:ascii="Times New Roman" w:hAnsi="Times New Roman" w:cs="Times New Roman"/>
        </w:rPr>
        <w:t xml:space="preserve"> de 24/8/2018].</w:t>
      </w:r>
    </w:p>
    <w:p w14:paraId="7B8CA030" w14:textId="181E18FE" w:rsidR="00A92FDB" w:rsidRPr="00A92FDB" w:rsidRDefault="00DC7F51" w:rsidP="00A92FDB">
      <w:pPr>
        <w:ind w:right="-568"/>
        <w:jc w:val="both"/>
        <w:rPr>
          <w:rFonts w:ascii="Times New Roman" w:hAnsi="Times New Roman" w:cs="Times New Roman"/>
        </w:rPr>
      </w:pPr>
      <w:r>
        <w:rPr>
          <w:rFonts w:ascii="Times New Roman" w:hAnsi="Times New Roman" w:cs="Times New Roman"/>
        </w:rPr>
        <w:t>“</w:t>
      </w:r>
      <w:r w:rsidR="00A92FDB" w:rsidRPr="00DC7F51">
        <w:rPr>
          <w:rFonts w:ascii="Times New Roman" w:hAnsi="Times New Roman" w:cs="Times New Roman"/>
          <w:i/>
          <w:iCs/>
        </w:rPr>
        <w:t xml:space="preserve">AGRAVO INTERNO NO AGRAVO EM RECURSO ESPECIAL. PROCESSUAL CIVIL. CUMPRIMENTO DE SENTENÇA. IMPUGNAÇÃO. PLANO DE SAÚDE. FAIXA ETÁRIA. CONTRATO NOVO. REAJUSTE. INEXISTÊNCIA. COISA JULGADA. VIOLAÇÃO. OCORRÊNCIA. </w:t>
      </w:r>
      <w:r w:rsidRPr="00DC7F51">
        <w:rPr>
          <w:rFonts w:ascii="Times New Roman" w:hAnsi="Times New Roman" w:cs="Times New Roman"/>
          <w:i/>
          <w:iCs/>
        </w:rPr>
        <w:t xml:space="preserve"> </w:t>
      </w:r>
      <w:r w:rsidR="00A92FDB" w:rsidRPr="00DC7F51">
        <w:rPr>
          <w:rFonts w:ascii="Times New Roman" w:hAnsi="Times New Roman" w:cs="Times New Roman"/>
          <w:i/>
          <w:iCs/>
        </w:rPr>
        <w:t xml:space="preserve">1. Recurso especial interposto contra acórdão publicado na vigência do Código de Processo Civil de 2015 (Enunciados Administrativos </w:t>
      </w:r>
      <w:proofErr w:type="spellStart"/>
      <w:r w:rsidR="00A92FDB" w:rsidRPr="00DC7F51">
        <w:rPr>
          <w:rFonts w:ascii="Times New Roman" w:hAnsi="Times New Roman" w:cs="Times New Roman"/>
          <w:i/>
          <w:iCs/>
        </w:rPr>
        <w:t>nºs</w:t>
      </w:r>
      <w:proofErr w:type="spellEnd"/>
      <w:r w:rsidR="00A92FDB" w:rsidRPr="00DC7F51">
        <w:rPr>
          <w:rFonts w:ascii="Times New Roman" w:hAnsi="Times New Roman" w:cs="Times New Roman"/>
          <w:i/>
          <w:iCs/>
        </w:rPr>
        <w:t xml:space="preserve"> 2 e 3/STJ).</w:t>
      </w:r>
      <w:r w:rsidRPr="00DC7F51">
        <w:rPr>
          <w:rFonts w:ascii="Times New Roman" w:hAnsi="Times New Roman" w:cs="Times New Roman"/>
          <w:i/>
          <w:iCs/>
        </w:rPr>
        <w:t xml:space="preserve"> </w:t>
      </w:r>
      <w:r w:rsidR="00A92FDB" w:rsidRPr="00DC7F51">
        <w:rPr>
          <w:rFonts w:ascii="Times New Roman" w:hAnsi="Times New Roman" w:cs="Times New Roman"/>
          <w:i/>
          <w:iCs/>
        </w:rPr>
        <w:t xml:space="preserve">2. O cumprimento de sentença deve seguir a conclusão do título executivo, sob pena de ofensa à coisa julgada. Precedentes. </w:t>
      </w:r>
      <w:r w:rsidRPr="00DC7F51">
        <w:rPr>
          <w:rFonts w:ascii="Times New Roman" w:hAnsi="Times New Roman" w:cs="Times New Roman"/>
          <w:i/>
          <w:iCs/>
        </w:rPr>
        <w:t xml:space="preserve"> </w:t>
      </w:r>
      <w:r w:rsidR="00A92FDB" w:rsidRPr="00DC7F51">
        <w:rPr>
          <w:rFonts w:ascii="Times New Roman" w:hAnsi="Times New Roman" w:cs="Times New Roman"/>
          <w:i/>
          <w:iCs/>
        </w:rPr>
        <w:t>3. Na hipótese, a parte firmou contrato com o plano de saúde após ter ultrapassado a idade de 70 (setenta) anos, com uma mensalidade inicial de acordo com sua faixa etária, não podendo ser incluída entre os beneficiados pelo título executivo judicial que reconheceu a ilegalidade do reajuste.</w:t>
      </w:r>
      <w:r w:rsidRPr="00DC7F51">
        <w:rPr>
          <w:rFonts w:ascii="Times New Roman" w:hAnsi="Times New Roman" w:cs="Times New Roman"/>
          <w:i/>
          <w:iCs/>
        </w:rPr>
        <w:t xml:space="preserve"> </w:t>
      </w:r>
      <w:r w:rsidR="00A92FDB" w:rsidRPr="00DC7F51">
        <w:rPr>
          <w:rFonts w:ascii="Times New Roman" w:hAnsi="Times New Roman" w:cs="Times New Roman"/>
          <w:i/>
          <w:iCs/>
        </w:rPr>
        <w:t>4. Agravo interno não provido</w:t>
      </w:r>
      <w:r w:rsidR="00A92FDB" w:rsidRPr="00A92FDB">
        <w:rPr>
          <w:rFonts w:ascii="Times New Roman" w:hAnsi="Times New Roman" w:cs="Times New Roman"/>
        </w:rPr>
        <w:t>.</w:t>
      </w:r>
      <w:r>
        <w:rPr>
          <w:rFonts w:ascii="Times New Roman" w:hAnsi="Times New Roman" w:cs="Times New Roman"/>
        </w:rPr>
        <w:t xml:space="preserve">” </w:t>
      </w:r>
      <w:proofErr w:type="gramStart"/>
      <w:r w:rsidR="00A92FDB" w:rsidRPr="00A92FDB">
        <w:rPr>
          <w:rFonts w:ascii="Times New Roman" w:hAnsi="Times New Roman" w:cs="Times New Roman"/>
        </w:rPr>
        <w:t>[</w:t>
      </w:r>
      <w:proofErr w:type="spellStart"/>
      <w:proofErr w:type="gramEnd"/>
      <w:r w:rsidR="00A92FDB" w:rsidRPr="00A92FDB">
        <w:rPr>
          <w:rFonts w:ascii="Times New Roman" w:hAnsi="Times New Roman" w:cs="Times New Roman"/>
        </w:rPr>
        <w:t>AgInt</w:t>
      </w:r>
      <w:proofErr w:type="spellEnd"/>
      <w:r w:rsidR="00A92FDB" w:rsidRPr="00A92FDB">
        <w:rPr>
          <w:rFonts w:ascii="Times New Roman" w:hAnsi="Times New Roman" w:cs="Times New Roman"/>
        </w:rPr>
        <w:t xml:space="preserve"> no </w:t>
      </w:r>
      <w:proofErr w:type="spellStart"/>
      <w:r w:rsidR="00A92FDB" w:rsidRPr="00A92FDB">
        <w:rPr>
          <w:rFonts w:ascii="Times New Roman" w:hAnsi="Times New Roman" w:cs="Times New Roman"/>
        </w:rPr>
        <w:t>AREsp</w:t>
      </w:r>
      <w:proofErr w:type="spellEnd"/>
      <w:r w:rsidR="00A92FDB" w:rsidRPr="00A92FDB">
        <w:rPr>
          <w:rFonts w:ascii="Times New Roman" w:hAnsi="Times New Roman" w:cs="Times New Roman"/>
        </w:rPr>
        <w:t xml:space="preserve"> n. 985.097/MS, Rel. Min. Ricardo Villas Bôas </w:t>
      </w:r>
      <w:proofErr w:type="spellStart"/>
      <w:r w:rsidR="00A92FDB" w:rsidRPr="00A92FDB">
        <w:rPr>
          <w:rFonts w:ascii="Times New Roman" w:hAnsi="Times New Roman" w:cs="Times New Roman"/>
        </w:rPr>
        <w:t>Cueva</w:t>
      </w:r>
      <w:proofErr w:type="spellEnd"/>
      <w:r w:rsidR="00A92FDB" w:rsidRPr="00A92FDB">
        <w:rPr>
          <w:rFonts w:ascii="Times New Roman" w:hAnsi="Times New Roman" w:cs="Times New Roman"/>
        </w:rPr>
        <w:t xml:space="preserve">, TERCEIRA TURMA, julgado em 27/02/2018, </w:t>
      </w:r>
      <w:proofErr w:type="spellStart"/>
      <w:r w:rsidR="00A92FDB" w:rsidRPr="00A92FDB">
        <w:rPr>
          <w:rFonts w:ascii="Times New Roman" w:hAnsi="Times New Roman" w:cs="Times New Roman"/>
        </w:rPr>
        <w:t>DJe</w:t>
      </w:r>
      <w:proofErr w:type="spellEnd"/>
      <w:r w:rsidR="00A92FDB" w:rsidRPr="00A92FDB">
        <w:rPr>
          <w:rFonts w:ascii="Times New Roman" w:hAnsi="Times New Roman" w:cs="Times New Roman"/>
        </w:rPr>
        <w:t xml:space="preserve"> de 09/03/2018].</w:t>
      </w:r>
    </w:p>
    <w:p w14:paraId="2AB418C9" w14:textId="55B1893C" w:rsidR="00A92FDB" w:rsidRPr="00DC7F51" w:rsidRDefault="00A92FDB" w:rsidP="00A92FDB">
      <w:pPr>
        <w:ind w:right="-568"/>
        <w:jc w:val="both"/>
        <w:rPr>
          <w:rFonts w:ascii="Times New Roman" w:hAnsi="Times New Roman" w:cs="Times New Roman"/>
          <w:b/>
          <w:bCs/>
        </w:rPr>
      </w:pPr>
      <w:r w:rsidRPr="00DC7F51">
        <w:rPr>
          <w:rFonts w:ascii="Times New Roman" w:hAnsi="Times New Roman" w:cs="Times New Roman"/>
          <w:b/>
          <w:bCs/>
        </w:rPr>
        <w:t>IV- PEDIDOS</w:t>
      </w:r>
    </w:p>
    <w:p w14:paraId="3E5FC91D" w14:textId="4DF390FD" w:rsidR="00A92FDB" w:rsidRPr="00A92FDB" w:rsidRDefault="00A92FDB" w:rsidP="00A92FDB">
      <w:pPr>
        <w:ind w:right="-568"/>
        <w:jc w:val="both"/>
        <w:rPr>
          <w:rFonts w:ascii="Times New Roman" w:hAnsi="Times New Roman" w:cs="Times New Roman"/>
        </w:rPr>
      </w:pPr>
      <w:proofErr w:type="spellStart"/>
      <w:r w:rsidRPr="00DC7F51">
        <w:rPr>
          <w:rFonts w:ascii="Times New Roman" w:hAnsi="Times New Roman" w:cs="Times New Roman"/>
          <w:b/>
          <w:bCs/>
          <w:i/>
          <w:iCs/>
        </w:rPr>
        <w:t>Ex</w:t>
      </w:r>
      <w:proofErr w:type="spellEnd"/>
      <w:r w:rsidRPr="00DC7F51">
        <w:rPr>
          <w:rFonts w:ascii="Times New Roman" w:hAnsi="Times New Roman" w:cs="Times New Roman"/>
          <w:b/>
          <w:bCs/>
          <w:i/>
          <w:iCs/>
        </w:rPr>
        <w:t xml:space="preserve"> positis</w:t>
      </w:r>
      <w:r w:rsidRPr="00A92FDB">
        <w:rPr>
          <w:rFonts w:ascii="Times New Roman" w:hAnsi="Times New Roman" w:cs="Times New Roman"/>
        </w:rPr>
        <w:t xml:space="preserve">, os recorrentes requerem a sempre atenciosa leitura de V. Exa. e demais integrantes desta nobre QUARTA TURMA desse bosquejo; e que seja DADO PROVIMENTO AO RECURSO ESPECIAL de fls. </w:t>
      </w:r>
      <w:r w:rsidR="00DC7F51">
        <w:rPr>
          <w:rFonts w:ascii="Times New Roman" w:hAnsi="Times New Roman" w:cs="Times New Roman"/>
        </w:rPr>
        <w:t>...</w:t>
      </w:r>
      <w:r w:rsidRPr="00A92FDB">
        <w:rPr>
          <w:rFonts w:ascii="Times New Roman" w:hAnsi="Times New Roman" w:cs="Times New Roman"/>
        </w:rPr>
        <w:t xml:space="preserve"> para reformar o v. acórdão combatido, e defronte a flagrante violação dos </w:t>
      </w:r>
      <w:proofErr w:type="spellStart"/>
      <w:r w:rsidRPr="00A92FDB">
        <w:rPr>
          <w:rFonts w:ascii="Times New Roman" w:hAnsi="Times New Roman" w:cs="Times New Roman"/>
        </w:rPr>
        <w:t>arts</w:t>
      </w:r>
      <w:proofErr w:type="spellEnd"/>
      <w:r w:rsidRPr="00A92FDB">
        <w:rPr>
          <w:rFonts w:ascii="Times New Roman" w:hAnsi="Times New Roman" w:cs="Times New Roman"/>
        </w:rPr>
        <w:t xml:space="preserve">. 509, INCISO I, E 510 DO CÓDIGO DE PROCESSO CIVIL vez que se trata de um cumprimento de sentença que não atendeu o comando da decisão transitada em julgado que ordenou a prévia liquidação da sentença para aferição do </w:t>
      </w:r>
      <w:r w:rsidRPr="00DC7F51">
        <w:rPr>
          <w:rFonts w:ascii="Times New Roman" w:hAnsi="Times New Roman" w:cs="Times New Roman"/>
          <w:i/>
          <w:iCs/>
        </w:rPr>
        <w:t xml:space="preserve">quantum </w:t>
      </w:r>
      <w:proofErr w:type="spellStart"/>
      <w:r w:rsidRPr="00DC7F51">
        <w:rPr>
          <w:rFonts w:ascii="Times New Roman" w:hAnsi="Times New Roman" w:cs="Times New Roman"/>
          <w:i/>
          <w:iCs/>
        </w:rPr>
        <w:t>debeatur</w:t>
      </w:r>
      <w:proofErr w:type="spellEnd"/>
      <w:r w:rsidRPr="00A92FDB">
        <w:rPr>
          <w:rFonts w:ascii="Times New Roman" w:hAnsi="Times New Roman" w:cs="Times New Roman"/>
        </w:rPr>
        <w:t xml:space="preserve">, e por se tratar matéria de ordem pública, decretando-se a nulidade de todo o cumprimento de sentença e determinando que outro se inicie com a prévia liquidação na forma estabelecida no título judicial exequendo, extinguindo-a sem julgamento de mérito [CPC, art. 485, </w:t>
      </w:r>
      <w:r w:rsidRPr="00DC7F51">
        <w:rPr>
          <w:rFonts w:ascii="Times New Roman" w:hAnsi="Times New Roman" w:cs="Times New Roman"/>
          <w:i/>
          <w:iCs/>
        </w:rPr>
        <w:t>caput</w:t>
      </w:r>
      <w:r w:rsidRPr="00A92FDB">
        <w:rPr>
          <w:rFonts w:ascii="Times New Roman" w:hAnsi="Times New Roman" w:cs="Times New Roman"/>
        </w:rPr>
        <w:t xml:space="preserve">, IV e § 3º </w:t>
      </w:r>
      <w:proofErr w:type="spellStart"/>
      <w:r w:rsidRPr="00A92FDB">
        <w:rPr>
          <w:rFonts w:ascii="Times New Roman" w:hAnsi="Times New Roman" w:cs="Times New Roman"/>
        </w:rPr>
        <w:t>c.c</w:t>
      </w:r>
      <w:proofErr w:type="spellEnd"/>
      <w:r w:rsidRPr="00A92FDB">
        <w:rPr>
          <w:rFonts w:ascii="Times New Roman" w:hAnsi="Times New Roman" w:cs="Times New Roman"/>
        </w:rPr>
        <w:t>. art. 924, I]; condenando o recorrido ao pagamento de honorários advocatícios sucumbenciais no percentual de 10% a 20% do valor do cumprimento de sentença ou outro a ser fixado por esse d. sodalício.</w:t>
      </w:r>
    </w:p>
    <w:p w14:paraId="1B94E3E8" w14:textId="3A7DC960" w:rsidR="00A92FDB" w:rsidRPr="00A92FDB" w:rsidRDefault="00A92FDB" w:rsidP="00DC7F51">
      <w:pPr>
        <w:spacing w:after="0" w:line="240" w:lineRule="auto"/>
        <w:ind w:right="-567"/>
        <w:jc w:val="center"/>
        <w:rPr>
          <w:rFonts w:ascii="Times New Roman" w:hAnsi="Times New Roman" w:cs="Times New Roman"/>
        </w:rPr>
      </w:pPr>
      <w:r w:rsidRPr="00A92FDB">
        <w:rPr>
          <w:rFonts w:ascii="Times New Roman" w:hAnsi="Times New Roman" w:cs="Times New Roman"/>
        </w:rPr>
        <w:t>P</w:t>
      </w:r>
      <w:r w:rsidR="00DC7F51">
        <w:rPr>
          <w:rFonts w:ascii="Times New Roman" w:hAnsi="Times New Roman" w:cs="Times New Roman"/>
        </w:rPr>
        <w:t>ede</w:t>
      </w:r>
      <w:r w:rsidRPr="00A92FDB">
        <w:rPr>
          <w:rFonts w:ascii="Times New Roman" w:hAnsi="Times New Roman" w:cs="Times New Roman"/>
        </w:rPr>
        <w:t xml:space="preserve"> Deferimento.</w:t>
      </w:r>
    </w:p>
    <w:p w14:paraId="1E8CC8CF" w14:textId="39AACD6C" w:rsidR="00A92FDB" w:rsidRDefault="00DC7F51" w:rsidP="00DC7F51">
      <w:pPr>
        <w:spacing w:after="0" w:line="240" w:lineRule="auto"/>
        <w:ind w:right="-567"/>
        <w:jc w:val="center"/>
        <w:rPr>
          <w:rFonts w:ascii="Times New Roman" w:hAnsi="Times New Roman" w:cs="Times New Roman"/>
        </w:rPr>
      </w:pPr>
      <w:r>
        <w:rPr>
          <w:rFonts w:ascii="Times New Roman" w:hAnsi="Times New Roman" w:cs="Times New Roman"/>
        </w:rPr>
        <w:t>(Local e data)</w:t>
      </w:r>
    </w:p>
    <w:p w14:paraId="1699CDC2" w14:textId="51928DE8" w:rsidR="00DC7F51" w:rsidRPr="00A92FDB" w:rsidRDefault="00DC7F51" w:rsidP="00DC7F51">
      <w:pPr>
        <w:spacing w:after="0" w:line="240" w:lineRule="auto"/>
        <w:ind w:right="-567"/>
        <w:jc w:val="center"/>
        <w:rPr>
          <w:rFonts w:ascii="Times New Roman" w:hAnsi="Times New Roman" w:cs="Times New Roman"/>
        </w:rPr>
      </w:pPr>
      <w:r>
        <w:rPr>
          <w:rFonts w:ascii="Times New Roman" w:hAnsi="Times New Roman" w:cs="Times New Roman"/>
        </w:rPr>
        <w:t>(Assinatura e OAB do Advogado)</w:t>
      </w:r>
    </w:p>
    <w:sectPr w:rsidR="00DC7F51" w:rsidRPr="00A92FD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87FFB"/>
    <w:multiLevelType w:val="hybridMultilevel"/>
    <w:tmpl w:val="7D1AE212"/>
    <w:lvl w:ilvl="0" w:tplc="83CED628">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2354317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2FDB"/>
    <w:rsid w:val="009F0A78"/>
    <w:rsid w:val="00A92FDB"/>
    <w:rsid w:val="00DC7F5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FB5F7"/>
  <w15:chartTrackingRefBased/>
  <w15:docId w15:val="{FAEBDA8A-8320-4E07-B1F5-DB121C5DF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A92FD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A92FD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A92FD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A92FD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A92FD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A92FD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A92FD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A92FD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A92FDB"/>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A92FDB"/>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A92FDB"/>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A92FDB"/>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A92FDB"/>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A92FDB"/>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A92FDB"/>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A92FDB"/>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A92FDB"/>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A92FDB"/>
    <w:rPr>
      <w:rFonts w:eastAsiaTheme="majorEastAsia" w:cstheme="majorBidi"/>
      <w:color w:val="272727" w:themeColor="text1" w:themeTint="D8"/>
    </w:rPr>
  </w:style>
  <w:style w:type="paragraph" w:styleId="Ttulo">
    <w:name w:val="Title"/>
    <w:basedOn w:val="Normal"/>
    <w:next w:val="Normal"/>
    <w:link w:val="TtuloChar"/>
    <w:uiPriority w:val="10"/>
    <w:qFormat/>
    <w:rsid w:val="00A92F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A92FD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A92FDB"/>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A92FDB"/>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A92FDB"/>
    <w:pPr>
      <w:spacing w:before="160"/>
      <w:jc w:val="center"/>
    </w:pPr>
    <w:rPr>
      <w:i/>
      <w:iCs/>
      <w:color w:val="404040" w:themeColor="text1" w:themeTint="BF"/>
    </w:rPr>
  </w:style>
  <w:style w:type="character" w:customStyle="1" w:styleId="CitaoChar">
    <w:name w:val="Citação Char"/>
    <w:basedOn w:val="Fontepargpadro"/>
    <w:link w:val="Citao"/>
    <w:uiPriority w:val="29"/>
    <w:rsid w:val="00A92FDB"/>
    <w:rPr>
      <w:i/>
      <w:iCs/>
      <w:color w:val="404040" w:themeColor="text1" w:themeTint="BF"/>
    </w:rPr>
  </w:style>
  <w:style w:type="paragraph" w:styleId="PargrafodaLista">
    <w:name w:val="List Paragraph"/>
    <w:basedOn w:val="Normal"/>
    <w:uiPriority w:val="34"/>
    <w:qFormat/>
    <w:rsid w:val="00A92FDB"/>
    <w:pPr>
      <w:ind w:left="720"/>
      <w:contextualSpacing/>
    </w:pPr>
  </w:style>
  <w:style w:type="character" w:styleId="nfaseIntensa">
    <w:name w:val="Intense Emphasis"/>
    <w:basedOn w:val="Fontepargpadro"/>
    <w:uiPriority w:val="21"/>
    <w:qFormat/>
    <w:rsid w:val="00A92FDB"/>
    <w:rPr>
      <w:i/>
      <w:iCs/>
      <w:color w:val="2F5496" w:themeColor="accent1" w:themeShade="BF"/>
    </w:rPr>
  </w:style>
  <w:style w:type="paragraph" w:styleId="CitaoIntensa">
    <w:name w:val="Intense Quote"/>
    <w:basedOn w:val="Normal"/>
    <w:next w:val="Normal"/>
    <w:link w:val="CitaoIntensaChar"/>
    <w:uiPriority w:val="30"/>
    <w:qFormat/>
    <w:rsid w:val="00A92FD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A92FDB"/>
    <w:rPr>
      <w:i/>
      <w:iCs/>
      <w:color w:val="2F5496" w:themeColor="accent1" w:themeShade="BF"/>
    </w:rPr>
  </w:style>
  <w:style w:type="character" w:styleId="RefernciaIntensa">
    <w:name w:val="Intense Reference"/>
    <w:basedOn w:val="Fontepargpadro"/>
    <w:uiPriority w:val="32"/>
    <w:qFormat/>
    <w:rsid w:val="00A92FD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7</Pages>
  <Words>3158</Words>
  <Characters>17054</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Christiane Gieseke</dc:creator>
  <cp:keywords/>
  <dc:description/>
  <cp:lastModifiedBy>Christiane Gieseke</cp:lastModifiedBy>
  <cp:revision>1</cp:revision>
  <dcterms:created xsi:type="dcterms:W3CDTF">2026-01-22T14:17:00Z</dcterms:created>
  <dcterms:modified xsi:type="dcterms:W3CDTF">2026-01-22T14:35:00Z</dcterms:modified>
</cp:coreProperties>
</file>