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51922" w14:textId="77777777" w:rsidR="00B65F64" w:rsidRPr="00B65F64" w:rsidRDefault="00B65F64" w:rsidP="00B65F64">
      <w:pPr>
        <w:spacing w:after="0" w:line="240" w:lineRule="auto"/>
        <w:ind w:right="-567"/>
        <w:jc w:val="center"/>
        <w:rPr>
          <w:rFonts w:ascii="Arial Black" w:hAnsi="Arial Black" w:cs="Times New Roman"/>
        </w:rPr>
      </w:pPr>
      <w:r w:rsidRPr="00B65F64">
        <w:rPr>
          <w:rFonts w:ascii="Arial Black" w:hAnsi="Arial Black" w:cs="Times New Roman"/>
        </w:rPr>
        <w:t>MODELO DE PETIÇÃO</w:t>
      </w:r>
    </w:p>
    <w:p w14:paraId="1E61FE47" w14:textId="52F9CD19" w:rsidR="00B65F64" w:rsidRPr="00B65F64" w:rsidRDefault="00B65F64" w:rsidP="00B65F64">
      <w:pPr>
        <w:spacing w:after="0" w:line="240" w:lineRule="auto"/>
        <w:ind w:right="-567"/>
        <w:jc w:val="center"/>
        <w:rPr>
          <w:rFonts w:ascii="Arial Black" w:hAnsi="Arial Black" w:cs="Times New Roman"/>
        </w:rPr>
      </w:pPr>
      <w:r w:rsidRPr="00B65F64">
        <w:rPr>
          <w:rFonts w:ascii="Arial Black" w:hAnsi="Arial Black" w:cs="Times New Roman"/>
        </w:rPr>
        <w:t>CUMPRIMENTO DE SENTENÇA.</w:t>
      </w:r>
    </w:p>
    <w:p w14:paraId="3064A3DD" w14:textId="77777777" w:rsidR="00B65F64" w:rsidRPr="00B65F64" w:rsidRDefault="00B65F64" w:rsidP="00B65F64">
      <w:pPr>
        <w:spacing w:after="0" w:line="240" w:lineRule="auto"/>
        <w:ind w:right="-567"/>
        <w:jc w:val="center"/>
        <w:rPr>
          <w:rFonts w:ascii="Arial Black" w:hAnsi="Arial Black" w:cs="Times New Roman"/>
        </w:rPr>
      </w:pPr>
      <w:r w:rsidRPr="00B65F64">
        <w:rPr>
          <w:rFonts w:ascii="Arial Black" w:hAnsi="Arial Black" w:cs="Times New Roman"/>
        </w:rPr>
        <w:t>CONSUMAÇÃO DA PRESCRIÇÃO INTERCORRENTE: INÉRCIA QUALIFICADA, TERMO INICIAL E AUSÊNCIA DE CAUSA INTERRUPTIVA OU SUSPENSIVA DA PRESCRIÇÃO. MEMORIAL</w:t>
      </w:r>
    </w:p>
    <w:p w14:paraId="1FEF265C" w14:textId="77777777" w:rsidR="00B65F64" w:rsidRPr="00B65F64" w:rsidRDefault="00B65F64" w:rsidP="00B65F64">
      <w:pPr>
        <w:spacing w:after="0" w:line="240" w:lineRule="auto"/>
        <w:ind w:right="-567"/>
        <w:jc w:val="right"/>
        <w:rPr>
          <w:rFonts w:ascii="Arial Black" w:hAnsi="Arial Black" w:cs="Times New Roman"/>
        </w:rPr>
      </w:pPr>
      <w:proofErr w:type="spellStart"/>
      <w:r w:rsidRPr="00B65F64">
        <w:rPr>
          <w:rFonts w:ascii="Arial Black" w:hAnsi="Arial Black" w:cs="Times New Roman"/>
        </w:rPr>
        <w:t>Rénan</w:t>
      </w:r>
      <w:proofErr w:type="spellEnd"/>
      <w:r w:rsidRPr="00B65F64">
        <w:rPr>
          <w:rFonts w:ascii="Arial Black" w:hAnsi="Arial Black" w:cs="Times New Roman"/>
        </w:rPr>
        <w:t xml:space="preserve"> </w:t>
      </w:r>
      <w:proofErr w:type="spellStart"/>
      <w:r w:rsidRPr="00B65F64">
        <w:rPr>
          <w:rFonts w:ascii="Arial Black" w:hAnsi="Arial Black" w:cs="Times New Roman"/>
        </w:rPr>
        <w:t>Kfuri</w:t>
      </w:r>
      <w:proofErr w:type="spellEnd"/>
      <w:r w:rsidRPr="00B65F64">
        <w:rPr>
          <w:rFonts w:ascii="Arial Black" w:hAnsi="Arial Black" w:cs="Times New Roman"/>
        </w:rPr>
        <w:t xml:space="preserve"> Lopes</w:t>
      </w:r>
    </w:p>
    <w:p w14:paraId="349F5F6E" w14:textId="77777777" w:rsidR="00B65F64" w:rsidRPr="00B65F64" w:rsidRDefault="00B65F64" w:rsidP="00B65F64">
      <w:pPr>
        <w:ind w:right="-568"/>
        <w:jc w:val="both"/>
        <w:rPr>
          <w:rFonts w:ascii="Times New Roman" w:hAnsi="Times New Roman" w:cs="Times New Roman"/>
        </w:rPr>
      </w:pPr>
    </w:p>
    <w:p w14:paraId="69690B53" w14:textId="77777777" w:rsidR="00B65F64" w:rsidRDefault="00B65F64" w:rsidP="00B65F64">
      <w:pPr>
        <w:ind w:right="-568"/>
        <w:jc w:val="both"/>
        <w:rPr>
          <w:rFonts w:ascii="Times New Roman" w:hAnsi="Times New Roman" w:cs="Times New Roman"/>
        </w:rPr>
      </w:pPr>
      <w:r w:rsidRPr="00B65F64">
        <w:rPr>
          <w:rFonts w:ascii="Times New Roman" w:hAnsi="Times New Roman" w:cs="Times New Roman"/>
        </w:rPr>
        <w:t>E</w:t>
      </w:r>
      <w:r>
        <w:rPr>
          <w:rFonts w:ascii="Times New Roman" w:hAnsi="Times New Roman" w:cs="Times New Roman"/>
        </w:rPr>
        <w:t xml:space="preserve">xmo. Sr. Des. ... – DD Relator da Apelação Cível n. ... - ...ª Câmara Cível </w:t>
      </w:r>
      <w:proofErr w:type="spellStart"/>
      <w:r>
        <w:rPr>
          <w:rFonts w:ascii="Times New Roman" w:hAnsi="Times New Roman" w:cs="Times New Roman"/>
        </w:rPr>
        <w:t>dp</w:t>
      </w:r>
      <w:proofErr w:type="spellEnd"/>
      <w:r>
        <w:rPr>
          <w:rFonts w:ascii="Times New Roman" w:hAnsi="Times New Roman" w:cs="Times New Roman"/>
        </w:rPr>
        <w:t xml:space="preserve"> TJ...</w:t>
      </w:r>
    </w:p>
    <w:p w14:paraId="650FC6D8" w14:textId="77777777"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MEMORIAL -</w:t>
      </w:r>
    </w:p>
    <w:p w14:paraId="294C31D9" w14:textId="77777777"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PELOS APELADOS -</w:t>
      </w:r>
    </w:p>
    <w:p w14:paraId="29B14CB8" w14:textId="4DE60ED1" w:rsidR="00B65F64" w:rsidRPr="00B65F64" w:rsidRDefault="00B65F64" w:rsidP="00B65F64">
      <w:pPr>
        <w:ind w:right="-568"/>
        <w:jc w:val="both"/>
        <w:rPr>
          <w:rFonts w:ascii="Times New Roman" w:hAnsi="Times New Roman" w:cs="Times New Roman"/>
        </w:rPr>
      </w:pPr>
      <w:r>
        <w:rPr>
          <w:rFonts w:ascii="Times New Roman" w:hAnsi="Times New Roman" w:cs="Times New Roman"/>
        </w:rPr>
        <w:t>(nome)</w:t>
      </w:r>
      <w:r w:rsidRPr="00B65F64">
        <w:rPr>
          <w:rFonts w:ascii="Times New Roman" w:hAnsi="Times New Roman" w:cs="Times New Roman"/>
        </w:rPr>
        <w:t xml:space="preserve"> e </w:t>
      </w:r>
      <w:r>
        <w:rPr>
          <w:rFonts w:ascii="Times New Roman" w:hAnsi="Times New Roman" w:cs="Times New Roman"/>
        </w:rPr>
        <w:t>(nome)</w:t>
      </w:r>
      <w:r w:rsidRPr="00B65F64">
        <w:rPr>
          <w:rFonts w:ascii="Times New Roman" w:hAnsi="Times New Roman" w:cs="Times New Roman"/>
        </w:rPr>
        <w:t xml:space="preserve">, apelados, pelos comuns advogados </w:t>
      </w:r>
      <w:r w:rsidRPr="00B65F64">
        <w:rPr>
          <w:rFonts w:ascii="Times New Roman" w:hAnsi="Times New Roman" w:cs="Times New Roman"/>
          <w:i/>
          <w:iCs/>
        </w:rPr>
        <w:t>in fine</w:t>
      </w:r>
      <w:r w:rsidRPr="00B65F64">
        <w:rPr>
          <w:rFonts w:ascii="Times New Roman" w:hAnsi="Times New Roman" w:cs="Times New Roman"/>
        </w:rPr>
        <w:t xml:space="preserve"> assinados, nos autos epigrafados que contendem contra </w:t>
      </w:r>
      <w:r>
        <w:rPr>
          <w:rFonts w:ascii="Times New Roman" w:hAnsi="Times New Roman" w:cs="Times New Roman"/>
        </w:rPr>
        <w:t>...</w:t>
      </w:r>
      <w:r w:rsidRPr="00B65F64">
        <w:rPr>
          <w:rFonts w:ascii="Times New Roman" w:hAnsi="Times New Roman" w:cs="Times New Roman"/>
        </w:rPr>
        <w:t xml:space="preserve"> e </w:t>
      </w:r>
      <w:r>
        <w:rPr>
          <w:rFonts w:ascii="Times New Roman" w:hAnsi="Times New Roman" w:cs="Times New Roman"/>
        </w:rPr>
        <w:t>...</w:t>
      </w:r>
      <w:r w:rsidRPr="00B65F64">
        <w:rPr>
          <w:rFonts w:ascii="Times New Roman" w:hAnsi="Times New Roman" w:cs="Times New Roman"/>
        </w:rPr>
        <w:t xml:space="preserve">, apelantes, vêm, respeitosamente, apresentar o presente MEMORIAL, a fim de sintetizar a </w:t>
      </w:r>
      <w:r w:rsidRPr="00B65F64">
        <w:rPr>
          <w:rFonts w:ascii="Times New Roman" w:hAnsi="Times New Roman" w:cs="Times New Roman"/>
          <w:i/>
          <w:iCs/>
        </w:rPr>
        <w:t>quaestio juris</w:t>
      </w:r>
      <w:r w:rsidRPr="00B65F64">
        <w:rPr>
          <w:rFonts w:ascii="Times New Roman" w:hAnsi="Times New Roman" w:cs="Times New Roman"/>
        </w:rPr>
        <w:t xml:space="preserve"> submetida a julgamento e destacar os fundamentos que impõem a integral manutenção da v. sentença apelada, pelo que passam a aduzir:</w:t>
      </w:r>
    </w:p>
    <w:p w14:paraId="4D689C2B" w14:textId="086F2CAD" w:rsidR="00B65F64" w:rsidRPr="00B65F64" w:rsidRDefault="00B65F64" w:rsidP="00B65F64">
      <w:pPr>
        <w:ind w:right="-568"/>
        <w:jc w:val="both"/>
        <w:rPr>
          <w:rFonts w:ascii="Times New Roman" w:hAnsi="Times New Roman" w:cs="Times New Roman"/>
          <w:b/>
          <w:bCs/>
          <w:i/>
          <w:iCs/>
        </w:rPr>
      </w:pPr>
      <w:r w:rsidRPr="00B65F64">
        <w:rPr>
          <w:rFonts w:ascii="Times New Roman" w:hAnsi="Times New Roman" w:cs="Times New Roman"/>
          <w:b/>
          <w:bCs/>
        </w:rPr>
        <w:t xml:space="preserve">I- </w:t>
      </w:r>
      <w:r w:rsidRPr="00B65F64">
        <w:rPr>
          <w:rFonts w:ascii="Times New Roman" w:hAnsi="Times New Roman" w:cs="Times New Roman"/>
          <w:b/>
          <w:bCs/>
        </w:rPr>
        <w:t xml:space="preserve">BREVE SÍNTESE DA </w:t>
      </w:r>
      <w:r w:rsidRPr="00B65F64">
        <w:rPr>
          <w:rFonts w:ascii="Times New Roman" w:hAnsi="Times New Roman" w:cs="Times New Roman"/>
          <w:b/>
          <w:bCs/>
          <w:i/>
          <w:iCs/>
        </w:rPr>
        <w:t>QUAESTIO JURIS</w:t>
      </w:r>
    </w:p>
    <w:p w14:paraId="413C06D2" w14:textId="4F307F0C"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Trata-se de recurso de apelação interposto contra a v. sentença que extinguiu o processo com resolução do mérito em virtude do reconhecimento da prescrição intercorrente, proferida no âmbito do cumprimento definitivo de sentença.</w:t>
      </w:r>
    </w:p>
    <w:p w14:paraId="1108C21D" w14:textId="49B2424D"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Os ora apelantes deram início à fase executiva do processo mediante requerimento formulado em </w:t>
      </w:r>
      <w:r>
        <w:rPr>
          <w:rFonts w:ascii="Times New Roman" w:hAnsi="Times New Roman" w:cs="Times New Roman"/>
        </w:rPr>
        <w:t>...</w:t>
      </w:r>
      <w:r w:rsidRPr="00B65F64">
        <w:rPr>
          <w:rFonts w:ascii="Times New Roman" w:hAnsi="Times New Roman" w:cs="Times New Roman"/>
        </w:rPr>
        <w:t xml:space="preserve"> [Evento </w:t>
      </w:r>
      <w:r>
        <w:rPr>
          <w:rFonts w:ascii="Times New Roman" w:hAnsi="Times New Roman" w:cs="Times New Roman"/>
        </w:rPr>
        <w:t>...</w:t>
      </w:r>
      <w:r w:rsidRPr="00B65F64">
        <w:rPr>
          <w:rFonts w:ascii="Times New Roman" w:hAnsi="Times New Roman" w:cs="Times New Roman"/>
        </w:rPr>
        <w:t xml:space="preserve">], tão logo certificado o trânsito em julgado da decisão terminativa de mérito proferida por esta colenda </w:t>
      </w:r>
      <w:r>
        <w:rPr>
          <w:rFonts w:ascii="Times New Roman" w:hAnsi="Times New Roman" w:cs="Times New Roman"/>
        </w:rPr>
        <w:t>...</w:t>
      </w:r>
      <w:r w:rsidRPr="00B65F64">
        <w:rPr>
          <w:rFonts w:ascii="Times New Roman" w:hAnsi="Times New Roman" w:cs="Times New Roman"/>
        </w:rPr>
        <w:t>ª Câmara de Direito Civil do TJ</w:t>
      </w:r>
      <w:r>
        <w:rPr>
          <w:rFonts w:ascii="Times New Roman" w:hAnsi="Times New Roman" w:cs="Times New Roman"/>
        </w:rPr>
        <w:t>...</w:t>
      </w:r>
      <w:r w:rsidRPr="00B65F64">
        <w:rPr>
          <w:rFonts w:ascii="Times New Roman" w:hAnsi="Times New Roman" w:cs="Times New Roman"/>
        </w:rPr>
        <w:t xml:space="preserve">, sob relatoria do Desembargador </w:t>
      </w:r>
      <w:r>
        <w:rPr>
          <w:rFonts w:ascii="Times New Roman" w:hAnsi="Times New Roman" w:cs="Times New Roman"/>
        </w:rPr>
        <w:t>...</w:t>
      </w:r>
      <w:r w:rsidRPr="00B65F64">
        <w:rPr>
          <w:rFonts w:ascii="Times New Roman" w:hAnsi="Times New Roman" w:cs="Times New Roman"/>
        </w:rPr>
        <w:t xml:space="preserve"> [Evento </w:t>
      </w:r>
      <w:r>
        <w:rPr>
          <w:rFonts w:ascii="Times New Roman" w:hAnsi="Times New Roman" w:cs="Times New Roman"/>
        </w:rPr>
        <w:t>...</w:t>
      </w:r>
      <w:r w:rsidRPr="00B65F64">
        <w:rPr>
          <w:rFonts w:ascii="Times New Roman" w:hAnsi="Times New Roman" w:cs="Times New Roman"/>
        </w:rPr>
        <w:t>].</w:t>
      </w:r>
    </w:p>
    <w:p w14:paraId="0B6646AE" w14:textId="76941DAB"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A litisconsorte passiva </w:t>
      </w:r>
      <w:r>
        <w:rPr>
          <w:rFonts w:ascii="Times New Roman" w:hAnsi="Times New Roman" w:cs="Times New Roman"/>
        </w:rPr>
        <w:t>...</w:t>
      </w:r>
      <w:r w:rsidRPr="00B65F64">
        <w:rPr>
          <w:rFonts w:ascii="Times New Roman" w:hAnsi="Times New Roman" w:cs="Times New Roman"/>
        </w:rPr>
        <w:t xml:space="preserve">/Re Companhia de Seguros ainda procedeu ao depósito parcial do </w:t>
      </w:r>
      <w:r w:rsidRPr="00B65F64">
        <w:rPr>
          <w:rFonts w:ascii="Times New Roman" w:hAnsi="Times New Roman" w:cs="Times New Roman"/>
          <w:i/>
          <w:iCs/>
        </w:rPr>
        <w:t xml:space="preserve">quantum </w:t>
      </w:r>
      <w:proofErr w:type="spellStart"/>
      <w:r w:rsidRPr="00B65F64">
        <w:rPr>
          <w:rFonts w:ascii="Times New Roman" w:hAnsi="Times New Roman" w:cs="Times New Roman"/>
          <w:i/>
          <w:iCs/>
        </w:rPr>
        <w:t>debitoris</w:t>
      </w:r>
      <w:proofErr w:type="spellEnd"/>
      <w:r w:rsidRPr="00B65F64">
        <w:rPr>
          <w:rFonts w:ascii="Times New Roman" w:hAnsi="Times New Roman" w:cs="Times New Roman"/>
        </w:rPr>
        <w:t xml:space="preserve"> limitado à sua responsabilidade [Evento </w:t>
      </w:r>
      <w:r>
        <w:rPr>
          <w:rFonts w:ascii="Times New Roman" w:hAnsi="Times New Roman" w:cs="Times New Roman"/>
        </w:rPr>
        <w:t>...</w:t>
      </w:r>
      <w:r w:rsidRPr="00B65F64">
        <w:rPr>
          <w:rFonts w:ascii="Times New Roman" w:hAnsi="Times New Roman" w:cs="Times New Roman"/>
        </w:rPr>
        <w:t xml:space="preserve">]. Na sequência, os credores foram efetivamente intimados para se manifestarem acerca do pagamento parcial e para promoverem a execução quanto ao saldo remanescente [Evento </w:t>
      </w:r>
      <w:r>
        <w:rPr>
          <w:rFonts w:ascii="Times New Roman" w:hAnsi="Times New Roman" w:cs="Times New Roman"/>
        </w:rPr>
        <w:t>...</w:t>
      </w:r>
      <w:r w:rsidRPr="00B65F64">
        <w:rPr>
          <w:rFonts w:ascii="Times New Roman" w:hAnsi="Times New Roman" w:cs="Times New Roman"/>
        </w:rPr>
        <w:t>].</w:t>
      </w:r>
    </w:p>
    <w:p w14:paraId="6BA9F26E" w14:textId="3D6E55CD"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Após apresentação da memória de cálculo pelos credores em </w:t>
      </w:r>
      <w:r>
        <w:rPr>
          <w:rFonts w:ascii="Times New Roman" w:hAnsi="Times New Roman" w:cs="Times New Roman"/>
        </w:rPr>
        <w:t>...</w:t>
      </w:r>
      <w:r w:rsidRPr="00B65F64">
        <w:rPr>
          <w:rFonts w:ascii="Times New Roman" w:hAnsi="Times New Roman" w:cs="Times New Roman"/>
        </w:rPr>
        <w:t xml:space="preserve"> [Evento </w:t>
      </w:r>
      <w:r>
        <w:rPr>
          <w:rFonts w:ascii="Times New Roman" w:hAnsi="Times New Roman" w:cs="Times New Roman"/>
        </w:rPr>
        <w:t>...</w:t>
      </w:r>
      <w:r w:rsidRPr="00B65F64">
        <w:rPr>
          <w:rFonts w:ascii="Times New Roman" w:hAnsi="Times New Roman" w:cs="Times New Roman"/>
        </w:rPr>
        <w:t xml:space="preserve">] e frustrado o pagamento voluntário, os exequentes/ora apelantes foram intimados para atualizarem o débito e promoverem o andamento do feito em </w:t>
      </w:r>
      <w:r>
        <w:rPr>
          <w:rFonts w:ascii="Times New Roman" w:hAnsi="Times New Roman" w:cs="Times New Roman"/>
        </w:rPr>
        <w:t>...</w:t>
      </w:r>
      <w:r w:rsidRPr="00B65F64">
        <w:rPr>
          <w:rFonts w:ascii="Times New Roman" w:hAnsi="Times New Roman" w:cs="Times New Roman"/>
        </w:rPr>
        <w:t xml:space="preserve"> [Evento </w:t>
      </w:r>
      <w:r>
        <w:rPr>
          <w:rFonts w:ascii="Times New Roman" w:hAnsi="Times New Roman" w:cs="Times New Roman"/>
        </w:rPr>
        <w:t>...</w:t>
      </w:r>
      <w:r w:rsidRPr="00B65F64">
        <w:rPr>
          <w:rFonts w:ascii="Times New Roman" w:hAnsi="Times New Roman" w:cs="Times New Roman"/>
        </w:rPr>
        <w:t>].</w:t>
      </w:r>
    </w:p>
    <w:p w14:paraId="61FCBA01" w14:textId="2F2930EA"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Tendo em vista a ausência de manifestação dos exequentes/ora apelantes, sobreveio a decisão de arquivamento do processo em </w:t>
      </w:r>
      <w:r>
        <w:rPr>
          <w:rFonts w:ascii="Times New Roman" w:hAnsi="Times New Roman" w:cs="Times New Roman"/>
        </w:rPr>
        <w:t>...</w:t>
      </w:r>
      <w:r w:rsidRPr="00B65F64">
        <w:rPr>
          <w:rFonts w:ascii="Times New Roman" w:hAnsi="Times New Roman" w:cs="Times New Roman"/>
        </w:rPr>
        <w:t xml:space="preserve"> [Evento </w:t>
      </w:r>
      <w:r>
        <w:rPr>
          <w:rFonts w:ascii="Times New Roman" w:hAnsi="Times New Roman" w:cs="Times New Roman"/>
        </w:rPr>
        <w:t>...</w:t>
      </w:r>
      <w:r w:rsidRPr="00B65F64">
        <w:rPr>
          <w:rFonts w:ascii="Times New Roman" w:hAnsi="Times New Roman" w:cs="Times New Roman"/>
        </w:rPr>
        <w:t xml:space="preserve">], com efetiva certificação do ato administrativo em </w:t>
      </w:r>
      <w:r>
        <w:rPr>
          <w:rFonts w:ascii="Times New Roman" w:hAnsi="Times New Roman" w:cs="Times New Roman"/>
        </w:rPr>
        <w:t>...</w:t>
      </w:r>
      <w:r w:rsidRPr="00B65F64">
        <w:rPr>
          <w:rFonts w:ascii="Times New Roman" w:hAnsi="Times New Roman" w:cs="Times New Roman"/>
        </w:rPr>
        <w:t xml:space="preserve"> [Evento </w:t>
      </w:r>
      <w:r>
        <w:rPr>
          <w:rFonts w:ascii="Times New Roman" w:hAnsi="Times New Roman" w:cs="Times New Roman"/>
        </w:rPr>
        <w:t>...</w:t>
      </w:r>
      <w:r w:rsidRPr="00B65F64">
        <w:rPr>
          <w:rFonts w:ascii="Times New Roman" w:hAnsi="Times New Roman" w:cs="Times New Roman"/>
        </w:rPr>
        <w:t>].</w:t>
      </w:r>
    </w:p>
    <w:p w14:paraId="10A72AB5" w14:textId="02C9DD67"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A partir daí, os autos permaneceram sem absolutamente qualquer iniciativa, provocação, impulsionamento ou manifestação dos credores por mais de 8 anos e 6 meses, até que a própria serventia judicial da </w:t>
      </w:r>
      <w:r>
        <w:rPr>
          <w:rFonts w:ascii="Times New Roman" w:hAnsi="Times New Roman" w:cs="Times New Roman"/>
        </w:rPr>
        <w:t>...</w:t>
      </w:r>
      <w:r w:rsidRPr="00B65F64">
        <w:rPr>
          <w:rFonts w:ascii="Times New Roman" w:hAnsi="Times New Roman" w:cs="Times New Roman"/>
        </w:rPr>
        <w:t xml:space="preserve">ª Vara Cível de </w:t>
      </w:r>
      <w:r>
        <w:rPr>
          <w:rFonts w:ascii="Times New Roman" w:hAnsi="Times New Roman" w:cs="Times New Roman"/>
        </w:rPr>
        <w:t>...</w:t>
      </w:r>
      <w:r w:rsidRPr="00B65F64">
        <w:rPr>
          <w:rFonts w:ascii="Times New Roman" w:hAnsi="Times New Roman" w:cs="Times New Roman"/>
        </w:rPr>
        <w:t xml:space="preserve">promoveu, de ofício, o desarquivamento do feito no contexto de sua digitalização, em </w:t>
      </w:r>
      <w:r>
        <w:rPr>
          <w:rFonts w:ascii="Times New Roman" w:hAnsi="Times New Roman" w:cs="Times New Roman"/>
        </w:rPr>
        <w:t>...</w:t>
      </w:r>
      <w:r w:rsidRPr="00B65F64">
        <w:rPr>
          <w:rFonts w:ascii="Times New Roman" w:hAnsi="Times New Roman" w:cs="Times New Roman"/>
        </w:rPr>
        <w:t xml:space="preserve"> [Evento </w:t>
      </w:r>
      <w:r>
        <w:rPr>
          <w:rFonts w:ascii="Times New Roman" w:hAnsi="Times New Roman" w:cs="Times New Roman"/>
        </w:rPr>
        <w:t>...</w:t>
      </w:r>
      <w:r w:rsidRPr="00B65F64">
        <w:rPr>
          <w:rFonts w:ascii="Times New Roman" w:hAnsi="Times New Roman" w:cs="Times New Roman"/>
        </w:rPr>
        <w:t>].</w:t>
      </w:r>
    </w:p>
    <w:p w14:paraId="38AAC15E" w14:textId="4EECB877"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lastRenderedPageBreak/>
        <w:t xml:space="preserve">Diante da paralisação prolongada, injustificada e de exclusiva responsabilidade dos credores, por lapso temporal muito superior ao prazo prescricional incidente sobre a pretensão executória, e após examinar o conjunto de manifestações e documentos colacionados pelas partes [Eventos </w:t>
      </w:r>
      <w:r>
        <w:rPr>
          <w:rFonts w:ascii="Times New Roman" w:hAnsi="Times New Roman" w:cs="Times New Roman"/>
        </w:rPr>
        <w:t>...</w:t>
      </w:r>
      <w:r w:rsidRPr="00B65F64">
        <w:rPr>
          <w:rFonts w:ascii="Times New Roman" w:hAnsi="Times New Roman" w:cs="Times New Roman"/>
        </w:rPr>
        <w:t xml:space="preserve">], o d. juízo da </w:t>
      </w:r>
      <w:r>
        <w:rPr>
          <w:rFonts w:ascii="Times New Roman" w:hAnsi="Times New Roman" w:cs="Times New Roman"/>
        </w:rPr>
        <w:t>...</w:t>
      </w:r>
      <w:r w:rsidRPr="00B65F64">
        <w:rPr>
          <w:rFonts w:ascii="Times New Roman" w:hAnsi="Times New Roman" w:cs="Times New Roman"/>
        </w:rPr>
        <w:t xml:space="preserve">ª Vara Cível de </w:t>
      </w:r>
      <w:r>
        <w:rPr>
          <w:rFonts w:ascii="Times New Roman" w:hAnsi="Times New Roman" w:cs="Times New Roman"/>
        </w:rPr>
        <w:t>...</w:t>
      </w:r>
      <w:r w:rsidRPr="00B65F64">
        <w:rPr>
          <w:rFonts w:ascii="Times New Roman" w:hAnsi="Times New Roman" w:cs="Times New Roman"/>
        </w:rPr>
        <w:t xml:space="preserve"> reconheceu a desídia dos credores e proferiu a v. sentença apelada, declarando a prescrição intercorrente e extinguindo o processo com resolução do mérito, </w:t>
      </w:r>
      <w:r w:rsidRPr="00B65F64">
        <w:rPr>
          <w:rFonts w:ascii="Times New Roman" w:hAnsi="Times New Roman" w:cs="Times New Roman"/>
          <w:i/>
          <w:iCs/>
        </w:rPr>
        <w:t>ad litteris</w:t>
      </w:r>
      <w:r w:rsidRPr="00B65F64">
        <w:rPr>
          <w:rFonts w:ascii="Times New Roman" w:hAnsi="Times New Roman" w:cs="Times New Roman"/>
        </w:rPr>
        <w:t xml:space="preserve">: </w:t>
      </w:r>
    </w:p>
    <w:p w14:paraId="01E44D80" w14:textId="23ED560A" w:rsidR="00B65F64" w:rsidRPr="00B65F64" w:rsidRDefault="00B65F64" w:rsidP="00B65F64">
      <w:pPr>
        <w:ind w:right="-568"/>
        <w:jc w:val="both"/>
        <w:rPr>
          <w:rFonts w:ascii="Times New Roman" w:hAnsi="Times New Roman" w:cs="Times New Roman"/>
          <w:i/>
          <w:iCs/>
        </w:rPr>
      </w:pPr>
      <w:r>
        <w:rPr>
          <w:rFonts w:ascii="Times New Roman" w:hAnsi="Times New Roman" w:cs="Times New Roman"/>
        </w:rPr>
        <w:t>“</w:t>
      </w:r>
      <w:r w:rsidRPr="00B65F64">
        <w:rPr>
          <w:rFonts w:ascii="Times New Roman" w:hAnsi="Times New Roman" w:cs="Times New Roman"/>
          <w:i/>
          <w:iCs/>
        </w:rPr>
        <w:t>SENTENÇA</w:t>
      </w:r>
    </w:p>
    <w:p w14:paraId="2E7DCBFE"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RELATÓRIO</w:t>
      </w:r>
    </w:p>
    <w:p w14:paraId="5CD36A08" w14:textId="47FCC6AA"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 xml:space="preserve">Trata-se de Cumprimento de Sentença em que o processo foi arquivado administrativamente em </w:t>
      </w:r>
      <w:r w:rsidRPr="00B65F64">
        <w:rPr>
          <w:rFonts w:ascii="Times New Roman" w:hAnsi="Times New Roman" w:cs="Times New Roman"/>
          <w:i/>
          <w:iCs/>
        </w:rPr>
        <w:t>...</w:t>
      </w:r>
      <w:r w:rsidRPr="00B65F64">
        <w:rPr>
          <w:rFonts w:ascii="Times New Roman" w:hAnsi="Times New Roman" w:cs="Times New Roman"/>
          <w:i/>
          <w:iCs/>
        </w:rPr>
        <w:t xml:space="preserve"> (evento </w:t>
      </w:r>
      <w:r w:rsidRPr="00B65F64">
        <w:rPr>
          <w:rFonts w:ascii="Times New Roman" w:hAnsi="Times New Roman" w:cs="Times New Roman"/>
          <w:i/>
          <w:iCs/>
        </w:rPr>
        <w:t>...</w:t>
      </w:r>
      <w:r w:rsidRPr="00B65F64">
        <w:rPr>
          <w:rFonts w:ascii="Times New Roman" w:hAnsi="Times New Roman" w:cs="Times New Roman"/>
          <w:i/>
          <w:iCs/>
        </w:rPr>
        <w:t>), sem que houvesse localização de bens penhoráveis até a presente data.</w:t>
      </w:r>
    </w:p>
    <w:p w14:paraId="3597A23A" w14:textId="6E9E513A"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 xml:space="preserve">Procedida a intimação das partes para manifestação quanto a prescrição intercorrente, as partes peticionaram nos eventos </w:t>
      </w:r>
      <w:r w:rsidRPr="00B65F64">
        <w:rPr>
          <w:rFonts w:ascii="Times New Roman" w:hAnsi="Times New Roman" w:cs="Times New Roman"/>
          <w:i/>
          <w:iCs/>
        </w:rPr>
        <w:t>...</w:t>
      </w:r>
    </w:p>
    <w:p w14:paraId="093B2F6A" w14:textId="0E95817E"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Após o regular trâmite, vieram conclusos.</w:t>
      </w:r>
    </w:p>
    <w:p w14:paraId="3E96B20D"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FUNDAMENTAÇÃO</w:t>
      </w:r>
    </w:p>
    <w:p w14:paraId="542D5381" w14:textId="18956CC8"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A hipótese é peculiar.</w:t>
      </w:r>
    </w:p>
    <w:p w14:paraId="36D77415" w14:textId="09FFCF60"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 xml:space="preserve">Em que pese a anterior decisão deste juízo afastando a prescrição intercorrente (evento </w:t>
      </w:r>
      <w:r>
        <w:rPr>
          <w:rFonts w:ascii="Times New Roman" w:hAnsi="Times New Roman" w:cs="Times New Roman"/>
          <w:i/>
          <w:iCs/>
        </w:rPr>
        <w:t>...</w:t>
      </w:r>
      <w:r w:rsidRPr="00B65F64">
        <w:rPr>
          <w:rFonts w:ascii="Times New Roman" w:hAnsi="Times New Roman" w:cs="Times New Roman"/>
          <w:i/>
          <w:iCs/>
        </w:rPr>
        <w:t>), curvo-me ao entendimento do egrégio TJ</w:t>
      </w:r>
      <w:r>
        <w:rPr>
          <w:rFonts w:ascii="Times New Roman" w:hAnsi="Times New Roman" w:cs="Times New Roman"/>
          <w:i/>
          <w:iCs/>
        </w:rPr>
        <w:t>...</w:t>
      </w:r>
      <w:r w:rsidRPr="00B65F64">
        <w:rPr>
          <w:rFonts w:ascii="Times New Roman" w:hAnsi="Times New Roman" w:cs="Times New Roman"/>
          <w:i/>
          <w:iCs/>
        </w:rPr>
        <w:t xml:space="preserve"> do reconhecimento da prescrição intercorrente aos processos de execução e cumprimento de sentença iniciados na vigência do CPC/1973.</w:t>
      </w:r>
    </w:p>
    <w:p w14:paraId="79911B8B" w14:textId="35C34562"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É o entendimento:</w:t>
      </w:r>
    </w:p>
    <w:p w14:paraId="0FB2116A" w14:textId="7AFA0D21"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EMENTA: APELAÇÃO CÍVEL. CUMPRIMENTO DE SENTENÇA PROPOSTO NA VIGÊNCIA DO CPC/1973. SENTENÇA, NA REGÊNCIA DO CPC/2015, DE EXTINÇÃO, DIANTE DO RECONHECIMENTO DA PRESCRIÇÃO INTERCORRENTE DA PRETENSÃO EXECUTÓRIA. RECURSO DO EXEQUENTE. PRESCRIÇÃO INTERCORRENTE. PARALISAÇÃO DO PROCESSO. [...]</w:t>
      </w:r>
      <w:r>
        <w:rPr>
          <w:rFonts w:ascii="Times New Roman" w:hAnsi="Times New Roman" w:cs="Times New Roman"/>
          <w:i/>
          <w:iCs/>
        </w:rPr>
        <w:t xml:space="preserve"> </w:t>
      </w:r>
      <w:r w:rsidRPr="00B65F64">
        <w:rPr>
          <w:rFonts w:ascii="Times New Roman" w:hAnsi="Times New Roman" w:cs="Times New Roman"/>
          <w:i/>
          <w:iCs/>
        </w:rPr>
        <w:t>ARQUIVAMENTO ADMINISTRATIVO DO PROCESSO POR AUSÊNCIA DE BENS PENHORÁVEIS, DETERMINADO A REQUERIMENTO DO CREDOR. PARALISAÇÃO DO FEITO POR MAIS DE ONZE ANOS, POR INÉRCIA INJUSTIFICADA DA PARTE CREDORA EM PROMOVER ANDAMENTO EFICAZ AO PROCESSO. PRETENSÃO DE DIREITO MATERIAL PRESCRITÍVEL, NA ESPÉCIE, NO PRAZO DE CINCO ANOS. INCIDÊNCIA DO ARTIGO 206, § 5º, DO CÓDIGO CIVIL. REPARO, DE OFÍCIO, NA SENTENÇA NESTE PONTO. PRESCRIÇÃO, A CONSTITUIR CAUSA DE EXTINÇÃO DA EXECUÇÃO, QUE, NO CASO DOS</w:t>
      </w:r>
      <w:r>
        <w:rPr>
          <w:rFonts w:ascii="Times New Roman" w:hAnsi="Times New Roman" w:cs="Times New Roman"/>
          <w:i/>
          <w:iCs/>
        </w:rPr>
        <w:t xml:space="preserve"> </w:t>
      </w:r>
      <w:r w:rsidRPr="00B65F64">
        <w:rPr>
          <w:rFonts w:ascii="Times New Roman" w:hAnsi="Times New Roman" w:cs="Times New Roman"/>
          <w:i/>
          <w:iCs/>
        </w:rPr>
        <w:t xml:space="preserve">AUTOS, TEVE INÍCIO APÓS O PRAZO DE ARQUIVAMENTO ADMINISTRATIVO DO PROCESSO, O QUE SE DEU AINDA QUANDO EM VIGOR O CPC/1973. DEVER DE OBSERVÂNCIA AOS PRINCÍPIOS DA IRRETROATIVIDADE DA LEI PROCESSUAL (TEMPUS REGIT ACTUM) E DO ATO PROCESSUAL CONSUMADO. Conforme teses firmadas pelo Superior Tribunal de Justiça no incidente de assunção de competência - IAC N. 1 : 1.1 Incide a prescrição intercorrente, nas causas regidas pelo CPC/73, quando o exequente permanece inerte por prazo superior ao de prescrição do direito material vindicado, conforme interpretação extraída do art. 202, </w:t>
      </w:r>
      <w:r w:rsidRPr="00B65F64">
        <w:rPr>
          <w:rFonts w:ascii="Times New Roman" w:hAnsi="Times New Roman" w:cs="Times New Roman"/>
          <w:i/>
          <w:iCs/>
        </w:rPr>
        <w:lastRenderedPageBreak/>
        <w:t xml:space="preserve">parágrafo único, do Código Civil de 2002.1.2 O termo inicial do prazo prescricional, na vigência do CPC/1973, conta-se do fim do prazo judicial de suspensão do processo ou, inexistindo prazo fixado, do transcurso de um ano (aplicação analógica do art. 40, § 2º, da Lei 6.830/1980). (...) (STJ. REsp 1604412/SC, Rel. Ministro MARCO AURÉLIO BELLIZZE, SEGUNDA SEÇÃO, julgado em 27/06/2018, </w:t>
      </w:r>
      <w:proofErr w:type="spellStart"/>
      <w:r w:rsidRPr="00B65F64">
        <w:rPr>
          <w:rFonts w:ascii="Times New Roman" w:hAnsi="Times New Roman" w:cs="Times New Roman"/>
          <w:i/>
          <w:iCs/>
        </w:rPr>
        <w:t>DJe</w:t>
      </w:r>
      <w:proofErr w:type="spellEnd"/>
      <w:r w:rsidRPr="00B65F64">
        <w:rPr>
          <w:rFonts w:ascii="Times New Roman" w:hAnsi="Times New Roman" w:cs="Times New Roman"/>
          <w:i/>
          <w:iCs/>
        </w:rPr>
        <w:t xml:space="preserve"> 22/08/2018) DESNECESSIDADE DE INTIMAÇÃO DO EXEQUENTE PARA DAR ANDAMENTO AO FEITO. ENTENDIMENTO FIRMADO POR ESTA CÂMARA DE DIREITO COMERCIAL EM JULGAMENTO PELA TÉCNICA DO ARTIGO 942 DO CPC/15. NADA OBSTANTE, EXEQUENTE QUE FOI INTIMADO A SE MANIFESTAR PREVIAMENTE ACERCA DA PRESCRIÇÃO INTERCORRENTE. CONTRADITÓRIO ASSEGURADO. AUSÊNCIA DE DECISÃO-SURPRESA. PREQUESTIONAMENTO. DESNECESSIDADE DE MANIFESTAÇÃO ESPECÍFICA SOBRE TODOS OS DISPOSITIVOS INVOCADOS Processo 5000401-94.2013.8.24.0039/SC, Evento 196, SENT1, Página 1 5000401-94.2013.8.24.0039 </w:t>
      </w:r>
      <w:proofErr w:type="gramStart"/>
      <w:r w:rsidRPr="00B65F64">
        <w:rPr>
          <w:rFonts w:ascii="Times New Roman" w:hAnsi="Times New Roman" w:cs="Times New Roman"/>
          <w:i/>
          <w:iCs/>
        </w:rPr>
        <w:t>310091034008 .V</w:t>
      </w:r>
      <w:proofErr w:type="gramEnd"/>
      <w:r w:rsidRPr="00B65F64">
        <w:rPr>
          <w:rFonts w:ascii="Times New Roman" w:hAnsi="Times New Roman" w:cs="Times New Roman"/>
          <w:i/>
          <w:iCs/>
        </w:rPr>
        <w:t xml:space="preserve">3 PELO APELANTE QUANDO O JULGADOR RESOLVE A LIDE DE FORMA SATISFATÓRIA. SUCUMBÊNCIA RECURSAL PREJUDICADA. AUSÊNCIA DE CONDENAÇÃO EM HONORÁRIOS ADVOCATÍCIOS NA ORIGEM. RECURSO CONHECIDO E DESPROVIDO. (TJSC, </w:t>
      </w:r>
      <w:proofErr w:type="spellStart"/>
      <w:r w:rsidRPr="00B65F64">
        <w:rPr>
          <w:rFonts w:ascii="Times New Roman" w:hAnsi="Times New Roman" w:cs="Times New Roman"/>
          <w:i/>
          <w:iCs/>
        </w:rPr>
        <w:t>ApCiv</w:t>
      </w:r>
      <w:proofErr w:type="spellEnd"/>
      <w:r w:rsidRPr="00B65F64">
        <w:rPr>
          <w:rFonts w:ascii="Times New Roman" w:hAnsi="Times New Roman" w:cs="Times New Roman"/>
          <w:i/>
          <w:iCs/>
        </w:rPr>
        <w:t xml:space="preserve"> 5000002- 93.2005.8.24.0088, 1ª Câmara de Direito Comercial, Relator para Acórdão LUIZ ZANELATO, julgado em 18/12/2025)</w:t>
      </w:r>
    </w:p>
    <w:p w14:paraId="3D52CE60"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Portanto, a prescrição intercorrente ocorre nos casos em que o processo judicial ou comando judicial fica paralisado após o arquivamento administrativo, sem justificativa e por desídia do credor, por tempo superior ao prazo</w:t>
      </w:r>
    </w:p>
    <w:p w14:paraId="7596901C" w14:textId="6789AA14"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de prescrição do título executivo.</w:t>
      </w:r>
    </w:p>
    <w:p w14:paraId="6A58C284" w14:textId="659D887A"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Nesse sentido, é adequado falar que o incidente de cumprimento de sentença se trata de uma nova "fase processual", de forma que, transitado em julgado o comando sentencial, ou ainda, preclusa a decisão judicial, existe um prazo para que o postulante exija seu direito por meio dessa nova fase, sob pena de, não o fazendo, configurar-se a prescrição intercorrente.</w:t>
      </w:r>
    </w:p>
    <w:p w14:paraId="57349C63" w14:textId="16235C6D"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Assim, no caso dos autos, consuma que o título executivo judicial se encontra prescrito, haja vista o decurso de mais de 20 anos sem localização de bens penhoráveis.</w:t>
      </w:r>
    </w:p>
    <w:p w14:paraId="1860762E"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DISPOSITIVO</w:t>
      </w:r>
    </w:p>
    <w:p w14:paraId="42C75121" w14:textId="5B84F121"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Pelo exposto, declaro a prescrição intercorrente e extingo o processo com base no art. 924, V, do CPC sem ônus para as partes (art. 921, §5º, do CPC).</w:t>
      </w:r>
    </w:p>
    <w:p w14:paraId="19D745C4" w14:textId="65CBEE61"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Publique-se. Registre-se. Intimem-se.</w:t>
      </w:r>
    </w:p>
    <w:p w14:paraId="729C39DB"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Após o trânsito em julgado, arquivem-se.</w:t>
      </w:r>
    </w:p>
    <w:p w14:paraId="1F007648" w14:textId="59567B7A" w:rsidR="00B65F64" w:rsidRPr="00B65F64" w:rsidRDefault="00B65F64" w:rsidP="00B65F64">
      <w:pPr>
        <w:ind w:right="-568"/>
        <w:jc w:val="both"/>
        <w:rPr>
          <w:rFonts w:ascii="Times New Roman" w:hAnsi="Times New Roman" w:cs="Times New Roman"/>
        </w:rPr>
      </w:pPr>
      <w:r>
        <w:rPr>
          <w:rFonts w:ascii="Times New Roman" w:hAnsi="Times New Roman" w:cs="Times New Roman"/>
          <w:i/>
          <w:iCs/>
        </w:rPr>
        <w:t>...</w:t>
      </w:r>
      <w:r w:rsidRPr="00B65F64">
        <w:rPr>
          <w:rFonts w:ascii="Times New Roman" w:hAnsi="Times New Roman" w:cs="Times New Roman"/>
          <w:i/>
          <w:iCs/>
        </w:rPr>
        <w:t>, Juiz de Direito</w:t>
      </w:r>
      <w:r>
        <w:rPr>
          <w:rFonts w:ascii="Times New Roman" w:hAnsi="Times New Roman" w:cs="Times New Roman"/>
        </w:rPr>
        <w:t xml:space="preserve">.” </w:t>
      </w:r>
      <w:r w:rsidRPr="00B65F64">
        <w:rPr>
          <w:rFonts w:ascii="Times New Roman" w:hAnsi="Times New Roman" w:cs="Times New Roman"/>
        </w:rPr>
        <w:t xml:space="preserve">[Evento </w:t>
      </w:r>
      <w:r>
        <w:rPr>
          <w:rFonts w:ascii="Times New Roman" w:hAnsi="Times New Roman" w:cs="Times New Roman"/>
        </w:rPr>
        <w:t>...</w:t>
      </w:r>
      <w:r w:rsidRPr="00B65F64">
        <w:rPr>
          <w:rFonts w:ascii="Times New Roman" w:hAnsi="Times New Roman" w:cs="Times New Roman"/>
        </w:rPr>
        <w:t>]</w:t>
      </w:r>
    </w:p>
    <w:p w14:paraId="3B7D2BD8" w14:textId="770DACFF" w:rsidR="00B65F64" w:rsidRPr="00B65F64" w:rsidRDefault="00B65F64" w:rsidP="00B65F64">
      <w:pPr>
        <w:ind w:right="-568"/>
        <w:jc w:val="both"/>
        <w:rPr>
          <w:rFonts w:ascii="Times New Roman" w:hAnsi="Times New Roman" w:cs="Times New Roman"/>
          <w:b/>
          <w:bCs/>
        </w:rPr>
      </w:pPr>
      <w:r w:rsidRPr="00B65F64">
        <w:rPr>
          <w:rFonts w:ascii="Times New Roman" w:hAnsi="Times New Roman" w:cs="Times New Roman"/>
          <w:b/>
          <w:bCs/>
        </w:rPr>
        <w:t>II-</w:t>
      </w:r>
      <w:r w:rsidRPr="00B65F64">
        <w:rPr>
          <w:rFonts w:ascii="Times New Roman" w:hAnsi="Times New Roman" w:cs="Times New Roman"/>
          <w:b/>
          <w:bCs/>
        </w:rPr>
        <w:t xml:space="preserve"> </w:t>
      </w:r>
      <w:r w:rsidRPr="00B65F64">
        <w:rPr>
          <w:rFonts w:ascii="Times New Roman" w:hAnsi="Times New Roman" w:cs="Times New Roman"/>
          <w:b/>
          <w:bCs/>
        </w:rPr>
        <w:t>DA APELAÇÃO E DA DELIMITAÇÃO DA CONTROVÉRSIA</w:t>
      </w:r>
    </w:p>
    <w:p w14:paraId="4C07D0A4" w14:textId="62B2A92C"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Os apelantes, em suas razões recursais, reiteram as teses anteriormente desenvolvidas quanto à (i) nulidade da sentença por fundamentação insuficiente; (</w:t>
      </w:r>
      <w:proofErr w:type="spellStart"/>
      <w:r w:rsidRPr="00B65F64">
        <w:rPr>
          <w:rFonts w:ascii="Times New Roman" w:hAnsi="Times New Roman" w:cs="Times New Roman"/>
        </w:rPr>
        <w:t>ii</w:t>
      </w:r>
      <w:proofErr w:type="spellEnd"/>
      <w:r w:rsidRPr="00B65F64">
        <w:rPr>
          <w:rFonts w:ascii="Times New Roman" w:hAnsi="Times New Roman" w:cs="Times New Roman"/>
        </w:rPr>
        <w:t xml:space="preserve">) inexistência de marco inicial válido para o cômputo do prazo prescricional, por falta de intimação pessoal e de suspensão </w:t>
      </w:r>
      <w:r w:rsidRPr="00B65F64">
        <w:rPr>
          <w:rFonts w:ascii="Times New Roman" w:hAnsi="Times New Roman" w:cs="Times New Roman"/>
        </w:rPr>
        <w:lastRenderedPageBreak/>
        <w:t>anual do processo; (</w:t>
      </w:r>
      <w:proofErr w:type="spellStart"/>
      <w:r w:rsidRPr="00B65F64">
        <w:rPr>
          <w:rFonts w:ascii="Times New Roman" w:hAnsi="Times New Roman" w:cs="Times New Roman"/>
        </w:rPr>
        <w:t>iii</w:t>
      </w:r>
      <w:proofErr w:type="spellEnd"/>
      <w:r w:rsidRPr="00B65F64">
        <w:rPr>
          <w:rFonts w:ascii="Times New Roman" w:hAnsi="Times New Roman" w:cs="Times New Roman"/>
        </w:rPr>
        <w:t>) interrupção da prescrição pelo pagamento parcial; e (</w:t>
      </w:r>
      <w:proofErr w:type="spellStart"/>
      <w:r w:rsidRPr="00B65F64">
        <w:rPr>
          <w:rFonts w:ascii="Times New Roman" w:hAnsi="Times New Roman" w:cs="Times New Roman"/>
        </w:rPr>
        <w:t>iv</w:t>
      </w:r>
      <w:proofErr w:type="spellEnd"/>
      <w:r w:rsidRPr="00B65F64">
        <w:rPr>
          <w:rFonts w:ascii="Times New Roman" w:hAnsi="Times New Roman" w:cs="Times New Roman"/>
        </w:rPr>
        <w:t>) impossibilidade de extinção da execução em razão do pensionamento mensal.</w:t>
      </w:r>
    </w:p>
    <w:p w14:paraId="2A681CA2" w14:textId="233EC41E"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Como pontuado nas contrarrazões recursais do Evento </w:t>
      </w:r>
      <w:r>
        <w:rPr>
          <w:rFonts w:ascii="Times New Roman" w:hAnsi="Times New Roman" w:cs="Times New Roman"/>
        </w:rPr>
        <w:t>...</w:t>
      </w:r>
      <w:r w:rsidRPr="00B65F64">
        <w:rPr>
          <w:rFonts w:ascii="Times New Roman" w:hAnsi="Times New Roman" w:cs="Times New Roman"/>
        </w:rPr>
        <w:t xml:space="preserve">, nenhuma das alegações dos apelantes desconstitui o fundamento decisivo da v. sentença apelada: entre </w:t>
      </w:r>
      <w:r>
        <w:rPr>
          <w:rFonts w:ascii="Times New Roman" w:hAnsi="Times New Roman" w:cs="Times New Roman"/>
        </w:rPr>
        <w:t>...</w:t>
      </w:r>
      <w:r w:rsidRPr="00B65F64">
        <w:rPr>
          <w:rFonts w:ascii="Times New Roman" w:hAnsi="Times New Roman" w:cs="Times New Roman"/>
        </w:rPr>
        <w:t xml:space="preserve"> e </w:t>
      </w:r>
      <w:r>
        <w:rPr>
          <w:rFonts w:ascii="Times New Roman" w:hAnsi="Times New Roman" w:cs="Times New Roman"/>
        </w:rPr>
        <w:t>...</w:t>
      </w:r>
      <w:r w:rsidRPr="00B65F64">
        <w:rPr>
          <w:rFonts w:ascii="Times New Roman" w:hAnsi="Times New Roman" w:cs="Times New Roman"/>
        </w:rPr>
        <w:t xml:space="preserve"> - 8 anos e 6 meses - não houve petição, indicação de patrimônio, pedido de constrição, renovação de pesquisa, ato expropriatório ou qualquer providência atribuível aos exequentes.</w:t>
      </w:r>
    </w:p>
    <w:p w14:paraId="05D0FF5B" w14:textId="39F676DC"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A verdade é que não fosse a iniciativa do próprio juízo com a digitalização do processo e inserção das peças no </w:t>
      </w:r>
      <w:proofErr w:type="spellStart"/>
      <w:r w:rsidRPr="00B65F64">
        <w:rPr>
          <w:rFonts w:ascii="Times New Roman" w:hAnsi="Times New Roman" w:cs="Times New Roman"/>
        </w:rPr>
        <w:t>ePROC</w:t>
      </w:r>
      <w:proofErr w:type="spellEnd"/>
      <w:r w:rsidRPr="00B65F64">
        <w:rPr>
          <w:rFonts w:ascii="Times New Roman" w:hAnsi="Times New Roman" w:cs="Times New Roman"/>
        </w:rPr>
        <w:t>, permaneceria o cumprimento de sentença arquivado até hoje por exclusiva responsabilidade e desídia dos exequentes/apelantes.</w:t>
      </w:r>
    </w:p>
    <w:p w14:paraId="7D6130F4" w14:textId="3F3AA618"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É nesse específico ponto da desídia dos credores que repousa o desfecho do litígio.</w:t>
      </w:r>
    </w:p>
    <w:p w14:paraId="737F2A0A" w14:textId="2EAD2816" w:rsidR="00B65F64" w:rsidRPr="00B65F64" w:rsidRDefault="00B65F64" w:rsidP="00B65F64">
      <w:pPr>
        <w:ind w:right="-568"/>
        <w:jc w:val="both"/>
        <w:rPr>
          <w:rFonts w:ascii="Times New Roman" w:hAnsi="Times New Roman" w:cs="Times New Roman"/>
          <w:b/>
          <w:bCs/>
        </w:rPr>
      </w:pPr>
      <w:r w:rsidRPr="00B65F64">
        <w:rPr>
          <w:rFonts w:ascii="Times New Roman" w:hAnsi="Times New Roman" w:cs="Times New Roman"/>
          <w:b/>
          <w:bCs/>
        </w:rPr>
        <w:t>III-</w:t>
      </w:r>
      <w:r w:rsidRPr="00B65F64">
        <w:rPr>
          <w:rFonts w:ascii="Times New Roman" w:hAnsi="Times New Roman" w:cs="Times New Roman"/>
          <w:b/>
          <w:bCs/>
        </w:rPr>
        <w:t xml:space="preserve"> </w:t>
      </w:r>
      <w:r w:rsidRPr="00B65F64">
        <w:rPr>
          <w:rFonts w:ascii="Times New Roman" w:hAnsi="Times New Roman" w:cs="Times New Roman"/>
          <w:b/>
          <w:bCs/>
        </w:rPr>
        <w:t>DESPROVIMENTO DA APELAÇÃO:</w:t>
      </w:r>
    </w:p>
    <w:p w14:paraId="7DD73878" w14:textId="43E79840" w:rsidR="00B65F64" w:rsidRPr="00B65F64" w:rsidRDefault="00B65F64" w:rsidP="00B65F64">
      <w:pPr>
        <w:ind w:right="-568"/>
        <w:jc w:val="both"/>
        <w:rPr>
          <w:rFonts w:ascii="Times New Roman" w:hAnsi="Times New Roman" w:cs="Times New Roman"/>
          <w:b/>
          <w:bCs/>
        </w:rPr>
      </w:pPr>
      <w:r w:rsidRPr="00B65F64">
        <w:rPr>
          <w:rFonts w:ascii="Times New Roman" w:hAnsi="Times New Roman" w:cs="Times New Roman"/>
          <w:b/>
          <w:bCs/>
        </w:rPr>
        <w:t>RAZÕES QUE IMPÕEM A MANUTENÇÃO INTEGRAL DA SENTENÇA</w:t>
      </w:r>
    </w:p>
    <w:p w14:paraId="449E4110" w14:textId="77777777" w:rsidR="00B65F64" w:rsidRPr="00B65F64" w:rsidRDefault="00B65F64" w:rsidP="00B65F64">
      <w:pPr>
        <w:ind w:right="-568"/>
        <w:jc w:val="both"/>
        <w:rPr>
          <w:rFonts w:ascii="Times New Roman" w:hAnsi="Times New Roman" w:cs="Times New Roman"/>
          <w:b/>
          <w:bCs/>
        </w:rPr>
      </w:pPr>
      <w:r w:rsidRPr="00B65F64">
        <w:rPr>
          <w:rFonts w:ascii="Times New Roman" w:hAnsi="Times New Roman" w:cs="Times New Roman"/>
          <w:b/>
          <w:bCs/>
        </w:rPr>
        <w:t xml:space="preserve">III.1- REJEIÇÃO DA PRELIMINAR DE NULIDADE: A SENTENÇA É VÁLIDA E ENFRENTOU EXAUSTIVAMENTE A QUESTÃO DECISIVA DA CONTROVÉRSIA JURÍDICA </w:t>
      </w:r>
    </w:p>
    <w:p w14:paraId="6A756B40" w14:textId="26C8BB4C"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A preliminar de nulidade soerguida pelos apelantes parte de premissa demasiadamente artificial, </w:t>
      </w:r>
      <w:proofErr w:type="spellStart"/>
      <w:r w:rsidRPr="00B65F64">
        <w:rPr>
          <w:rFonts w:ascii="Times New Roman" w:hAnsi="Times New Roman" w:cs="Times New Roman"/>
          <w:i/>
          <w:iCs/>
        </w:rPr>
        <w:t>concessa</w:t>
      </w:r>
      <w:proofErr w:type="spellEnd"/>
      <w:r w:rsidRPr="00B65F64">
        <w:rPr>
          <w:rFonts w:ascii="Times New Roman" w:hAnsi="Times New Roman" w:cs="Times New Roman"/>
          <w:i/>
          <w:iCs/>
        </w:rPr>
        <w:t xml:space="preserve"> </w:t>
      </w:r>
      <w:proofErr w:type="spellStart"/>
      <w:r w:rsidRPr="00B65F64">
        <w:rPr>
          <w:rFonts w:ascii="Times New Roman" w:hAnsi="Times New Roman" w:cs="Times New Roman"/>
          <w:i/>
          <w:iCs/>
        </w:rPr>
        <w:t>venia</w:t>
      </w:r>
      <w:proofErr w:type="spellEnd"/>
      <w:r w:rsidRPr="00B65F64">
        <w:rPr>
          <w:rFonts w:ascii="Times New Roman" w:hAnsi="Times New Roman" w:cs="Times New Roman"/>
        </w:rPr>
        <w:t>.</w:t>
      </w:r>
    </w:p>
    <w:p w14:paraId="6307CA32" w14:textId="1F00E5B7"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Deflui-se da v. sentença apelada que foi bem identificado o arquivamento administrativo efetivado em </w:t>
      </w:r>
      <w:r>
        <w:rPr>
          <w:rFonts w:ascii="Times New Roman" w:hAnsi="Times New Roman" w:cs="Times New Roman"/>
        </w:rPr>
        <w:t>...</w:t>
      </w:r>
      <w:r w:rsidRPr="00B65F64">
        <w:rPr>
          <w:rFonts w:ascii="Times New Roman" w:hAnsi="Times New Roman" w:cs="Times New Roman"/>
        </w:rPr>
        <w:t>, tendo sido registrada a inexistência de bens penhoráveis e de impulso útil por parte dos exequentes/apelantes, assim como consignada a prévia oitiva das partes para formação do livre convencimento motivado que resultou no reconhecimento da prescrição intercorrente.</w:t>
      </w:r>
    </w:p>
    <w:p w14:paraId="327D9376" w14:textId="007960C5"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Houve, portanto, exposição suficiente da </w:t>
      </w:r>
      <w:proofErr w:type="spellStart"/>
      <w:r w:rsidRPr="00B65F64">
        <w:rPr>
          <w:rFonts w:ascii="Times New Roman" w:hAnsi="Times New Roman" w:cs="Times New Roman"/>
          <w:i/>
          <w:iCs/>
        </w:rPr>
        <w:t>ratio</w:t>
      </w:r>
      <w:proofErr w:type="spellEnd"/>
      <w:r w:rsidRPr="00B65F64">
        <w:rPr>
          <w:rFonts w:ascii="Times New Roman" w:hAnsi="Times New Roman" w:cs="Times New Roman"/>
          <w:i/>
          <w:iCs/>
        </w:rPr>
        <w:t xml:space="preserve"> </w:t>
      </w:r>
      <w:proofErr w:type="spellStart"/>
      <w:r w:rsidRPr="00B65F64">
        <w:rPr>
          <w:rFonts w:ascii="Times New Roman" w:hAnsi="Times New Roman" w:cs="Times New Roman"/>
          <w:i/>
          <w:iCs/>
        </w:rPr>
        <w:t>decidendi</w:t>
      </w:r>
      <w:proofErr w:type="spellEnd"/>
      <w:r w:rsidRPr="00B65F64">
        <w:rPr>
          <w:rFonts w:ascii="Times New Roman" w:hAnsi="Times New Roman" w:cs="Times New Roman"/>
        </w:rPr>
        <w:t>, permitindo a exata compreensão das razões pelas quais o cumprimento de sentença foi por sentença extinto.</w:t>
      </w:r>
    </w:p>
    <w:p w14:paraId="23A9963C" w14:textId="0DA05EA3"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O dever previsto no art. 489 do CPC não impõe ao julgador resposta atomizada a todas as afirmações das partes, mas o enfrentamento das questões capazes de modificar a conclusão. </w:t>
      </w:r>
    </w:p>
    <w:p w14:paraId="2C21871F" w14:textId="5C5B48CA"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A orientação do colendo SUPERIOR TRIBUNAL DE JUSTIÇA é firme no sentido de que o juiz não é obrigado a se manifestar sobre todas as alegações das partes, nem a ater-se aos fundamentos indicados por elas ou a responder, um a um, a todos os seus argumentos, quando já encontrou motivo suficiente para fundamentar a decisão [STJ, </w:t>
      </w:r>
      <w:proofErr w:type="spellStart"/>
      <w:r w:rsidRPr="00B65F64">
        <w:rPr>
          <w:rFonts w:ascii="Times New Roman" w:hAnsi="Times New Roman" w:cs="Times New Roman"/>
        </w:rPr>
        <w:t>AgInt</w:t>
      </w:r>
      <w:proofErr w:type="spellEnd"/>
      <w:r w:rsidRPr="00B65F64">
        <w:rPr>
          <w:rFonts w:ascii="Times New Roman" w:hAnsi="Times New Roman" w:cs="Times New Roman"/>
        </w:rPr>
        <w:t xml:space="preserve"> no </w:t>
      </w:r>
      <w:proofErr w:type="spellStart"/>
      <w:r w:rsidRPr="00B65F64">
        <w:rPr>
          <w:rFonts w:ascii="Times New Roman" w:hAnsi="Times New Roman" w:cs="Times New Roman"/>
        </w:rPr>
        <w:t>AREsp</w:t>
      </w:r>
      <w:proofErr w:type="spellEnd"/>
      <w:r w:rsidRPr="00B65F64">
        <w:rPr>
          <w:rFonts w:ascii="Times New Roman" w:hAnsi="Times New Roman" w:cs="Times New Roman"/>
        </w:rPr>
        <w:t xml:space="preserve"> n. 1.024.055/SP, Rel. Min. Napoleão Nunes Maia Filho, Primeira Turma, </w:t>
      </w:r>
      <w:proofErr w:type="spellStart"/>
      <w:r w:rsidRPr="00B65F64">
        <w:rPr>
          <w:rFonts w:ascii="Times New Roman" w:hAnsi="Times New Roman" w:cs="Times New Roman"/>
        </w:rPr>
        <w:t>DJe</w:t>
      </w:r>
      <w:proofErr w:type="spellEnd"/>
      <w:r w:rsidRPr="00B65F64">
        <w:rPr>
          <w:rFonts w:ascii="Times New Roman" w:hAnsi="Times New Roman" w:cs="Times New Roman"/>
        </w:rPr>
        <w:t xml:space="preserve"> 26.11.2019].</w:t>
      </w:r>
    </w:p>
    <w:p w14:paraId="27D9B4EA" w14:textId="3504425A"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A r. decisão terminativa de mérito recorrida delimitou o fato determinante, indicou a disciplina jurídica aplicável ao caso concreto e concluiu pela extinção do processo prevista na legislação processual civil.</w:t>
      </w:r>
    </w:p>
    <w:p w14:paraId="679842C6" w14:textId="7F724FC8"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No mesmo sentido: STJ, REsp n. 1.417.801/PR, Relator Ministro Francisco Falcão, Segunda Turma, </w:t>
      </w:r>
      <w:proofErr w:type="spellStart"/>
      <w:r w:rsidRPr="00B65F64">
        <w:rPr>
          <w:rFonts w:ascii="Times New Roman" w:hAnsi="Times New Roman" w:cs="Times New Roman"/>
        </w:rPr>
        <w:t>DJe</w:t>
      </w:r>
      <w:proofErr w:type="spellEnd"/>
      <w:r w:rsidRPr="00B65F64">
        <w:rPr>
          <w:rFonts w:ascii="Times New Roman" w:hAnsi="Times New Roman" w:cs="Times New Roman"/>
        </w:rPr>
        <w:t xml:space="preserve"> 20.10.2016; STJ, </w:t>
      </w:r>
      <w:proofErr w:type="spellStart"/>
      <w:r w:rsidRPr="00B65F64">
        <w:rPr>
          <w:rFonts w:ascii="Times New Roman" w:hAnsi="Times New Roman" w:cs="Times New Roman"/>
        </w:rPr>
        <w:t>EDcl</w:t>
      </w:r>
      <w:proofErr w:type="spellEnd"/>
      <w:r w:rsidRPr="00B65F64">
        <w:rPr>
          <w:rFonts w:ascii="Times New Roman" w:hAnsi="Times New Roman" w:cs="Times New Roman"/>
        </w:rPr>
        <w:t xml:space="preserve"> no </w:t>
      </w:r>
      <w:proofErr w:type="spellStart"/>
      <w:r w:rsidRPr="00B65F64">
        <w:rPr>
          <w:rFonts w:ascii="Times New Roman" w:hAnsi="Times New Roman" w:cs="Times New Roman"/>
        </w:rPr>
        <w:t>AgRg</w:t>
      </w:r>
      <w:proofErr w:type="spellEnd"/>
      <w:r w:rsidRPr="00B65F64">
        <w:rPr>
          <w:rFonts w:ascii="Times New Roman" w:hAnsi="Times New Roman" w:cs="Times New Roman"/>
        </w:rPr>
        <w:t xml:space="preserve"> no REsp n. 919.628/PR, Relator Ministro Humberto Martins, Segunda Turma, </w:t>
      </w:r>
      <w:proofErr w:type="spellStart"/>
      <w:r w:rsidRPr="00B65F64">
        <w:rPr>
          <w:rFonts w:ascii="Times New Roman" w:hAnsi="Times New Roman" w:cs="Times New Roman"/>
        </w:rPr>
        <w:t>DJe</w:t>
      </w:r>
      <w:proofErr w:type="spellEnd"/>
      <w:r w:rsidRPr="00B65F64">
        <w:rPr>
          <w:rFonts w:ascii="Times New Roman" w:hAnsi="Times New Roman" w:cs="Times New Roman"/>
        </w:rPr>
        <w:t xml:space="preserve"> 17.11.2010; TJMG, Embargos de Declaração n. 1.0000.25.037997-1/002, Relatora Desembargadora Lílian Maciel, 20ª Câmara Cível, </w:t>
      </w:r>
      <w:proofErr w:type="spellStart"/>
      <w:r w:rsidRPr="00B65F64">
        <w:rPr>
          <w:rFonts w:ascii="Times New Roman" w:hAnsi="Times New Roman" w:cs="Times New Roman"/>
        </w:rPr>
        <w:t>DJe</w:t>
      </w:r>
      <w:proofErr w:type="spellEnd"/>
      <w:r w:rsidRPr="00B65F64">
        <w:rPr>
          <w:rFonts w:ascii="Times New Roman" w:hAnsi="Times New Roman" w:cs="Times New Roman"/>
        </w:rPr>
        <w:t xml:space="preserve"> </w:t>
      </w:r>
      <w:r w:rsidRPr="00B65F64">
        <w:rPr>
          <w:rFonts w:ascii="Times New Roman" w:hAnsi="Times New Roman" w:cs="Times New Roman"/>
        </w:rPr>
        <w:lastRenderedPageBreak/>
        <w:t xml:space="preserve">06.02.2026, TJMG, Embargos de Declaração n. 1.0000.25.446904-2/002, Relator Desembargador Nicolau </w:t>
      </w:r>
      <w:proofErr w:type="spellStart"/>
      <w:r w:rsidRPr="00B65F64">
        <w:rPr>
          <w:rFonts w:ascii="Times New Roman" w:hAnsi="Times New Roman" w:cs="Times New Roman"/>
        </w:rPr>
        <w:t>Lupianhes</w:t>
      </w:r>
      <w:proofErr w:type="spellEnd"/>
      <w:r w:rsidRPr="00B65F64">
        <w:rPr>
          <w:rFonts w:ascii="Times New Roman" w:hAnsi="Times New Roman" w:cs="Times New Roman"/>
        </w:rPr>
        <w:t xml:space="preserve"> Neto, 14ª Câmara Cível, </w:t>
      </w:r>
      <w:proofErr w:type="spellStart"/>
      <w:r w:rsidRPr="00B65F64">
        <w:rPr>
          <w:rFonts w:ascii="Times New Roman" w:hAnsi="Times New Roman" w:cs="Times New Roman"/>
        </w:rPr>
        <w:t>DJe</w:t>
      </w:r>
      <w:proofErr w:type="spellEnd"/>
      <w:r w:rsidRPr="00B65F64">
        <w:rPr>
          <w:rFonts w:ascii="Times New Roman" w:hAnsi="Times New Roman" w:cs="Times New Roman"/>
        </w:rPr>
        <w:t xml:space="preserve"> 17.04.2026; TJMG, Embargos de Declaração n. 1.0000.24.359300-1/001, Relatora Desembargadora Maria Lúcia Cabral Caruso, 12ª Câmara Cível, </w:t>
      </w:r>
      <w:proofErr w:type="spellStart"/>
      <w:r w:rsidRPr="00B65F64">
        <w:rPr>
          <w:rFonts w:ascii="Times New Roman" w:hAnsi="Times New Roman" w:cs="Times New Roman"/>
        </w:rPr>
        <w:t>DJe</w:t>
      </w:r>
      <w:proofErr w:type="spellEnd"/>
      <w:r w:rsidRPr="00B65F64">
        <w:rPr>
          <w:rFonts w:ascii="Times New Roman" w:hAnsi="Times New Roman" w:cs="Times New Roman"/>
        </w:rPr>
        <w:t xml:space="preserve"> 08.07.2025.</w:t>
      </w:r>
    </w:p>
    <w:p w14:paraId="4AA2AC12" w14:textId="4081CA89"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Ainda que se cogitasse, apenas para argumentar, algum déficit de motivação, a consequência não seria o retorno automático dos autos à instância originária, visto que a quaestio juris é exclusivamente jurídica, de direito, está integralmente documentada e encontra-se madura para julgamento, incidindo, por essas razões, o disposto no art. 1.013, §§3º e 4º do CPC.</w:t>
      </w:r>
    </w:p>
    <w:p w14:paraId="42F637FC" w14:textId="1666C3DC"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A preliminar, por conseguinte, deve ser rejeitada.</w:t>
      </w:r>
    </w:p>
    <w:p w14:paraId="7ACE899F" w14:textId="77777777" w:rsidR="00B65F64" w:rsidRPr="00B65F64" w:rsidRDefault="00B65F64" w:rsidP="00B65F64">
      <w:pPr>
        <w:ind w:right="-568"/>
        <w:jc w:val="both"/>
        <w:rPr>
          <w:rFonts w:ascii="Times New Roman" w:hAnsi="Times New Roman" w:cs="Times New Roman"/>
          <w:b/>
          <w:bCs/>
        </w:rPr>
      </w:pPr>
      <w:r w:rsidRPr="00B65F64">
        <w:rPr>
          <w:rFonts w:ascii="Times New Roman" w:hAnsi="Times New Roman" w:cs="Times New Roman"/>
          <w:b/>
          <w:bCs/>
        </w:rPr>
        <w:t>III.2- A CONSUMAÇÃO DA PRESCRIÇÃO INTERCORRENTE: INÉRCIA QUALIFICADA, TERMO INICIAL E AUSÊNCIA DE CAUSA INTERRUPTIVA OU SUSPENSIVA DA PRESCRIÇÃO</w:t>
      </w:r>
    </w:p>
    <w:p w14:paraId="0D38CD39" w14:textId="7F7482C5"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Inegável que o cumprimento de sentença sub judice foi iniciado sob a vigência do revogado CPC/1973.</w:t>
      </w:r>
    </w:p>
    <w:p w14:paraId="496C904A" w14:textId="5C0E4E7D"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Para situações similares à hipótese vertente, a Segunda Seção do SUPERIOR TRIBUNAL DE JUSTIÇA, no Tema IAC-Incidente de Assunção de Competência n. 1, estabeleceu que a prescrição intercorrente incide quando o exequente permanece inerte por prazo superior ao da prescrição do direito material e que o termo inicial se conta do fim da suspensão judicial ou, inexistindo prazo fixado, após o transcurso de um ano, </w:t>
      </w:r>
      <w:r w:rsidRPr="00B65F64">
        <w:rPr>
          <w:rFonts w:ascii="Times New Roman" w:hAnsi="Times New Roman" w:cs="Times New Roman"/>
          <w:i/>
          <w:iCs/>
        </w:rPr>
        <w:t xml:space="preserve">in </w:t>
      </w:r>
      <w:proofErr w:type="spellStart"/>
      <w:r w:rsidRPr="00B65F64">
        <w:rPr>
          <w:rFonts w:ascii="Times New Roman" w:hAnsi="Times New Roman" w:cs="Times New Roman"/>
          <w:i/>
          <w:iCs/>
        </w:rPr>
        <w:t>verbis</w:t>
      </w:r>
      <w:proofErr w:type="spellEnd"/>
      <w:r w:rsidRPr="00B65F64">
        <w:rPr>
          <w:rFonts w:ascii="Times New Roman" w:hAnsi="Times New Roman" w:cs="Times New Roman"/>
        </w:rPr>
        <w:t>:</w:t>
      </w:r>
    </w:p>
    <w:p w14:paraId="64E852DA" w14:textId="609B342B" w:rsidR="00B65F64" w:rsidRPr="00B65F64" w:rsidRDefault="00B65F64" w:rsidP="00B65F64">
      <w:pPr>
        <w:ind w:right="-568"/>
        <w:jc w:val="both"/>
        <w:rPr>
          <w:rFonts w:ascii="Times New Roman" w:hAnsi="Times New Roman" w:cs="Times New Roman"/>
          <w:i/>
          <w:iCs/>
        </w:rPr>
      </w:pPr>
      <w:r>
        <w:rPr>
          <w:rFonts w:ascii="Times New Roman" w:hAnsi="Times New Roman" w:cs="Times New Roman"/>
        </w:rPr>
        <w:t>“</w:t>
      </w:r>
      <w:r w:rsidRPr="00B65F64">
        <w:rPr>
          <w:rFonts w:ascii="Times New Roman" w:hAnsi="Times New Roman" w:cs="Times New Roman"/>
          <w:i/>
          <w:iCs/>
        </w:rPr>
        <w:t xml:space="preserve">1.1. Incide a prescrição intercorrente, nas causas regidas pelo CPC/73, quando o exequente permanece inerte por prazo superior ao de prescrição do direito material vindicado, conforme interpretação extraída do art. 202, parágrafo único, do Código Civil de 2002. </w:t>
      </w:r>
    </w:p>
    <w:p w14:paraId="2D8F0CAB" w14:textId="6E213B80"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i/>
          <w:iCs/>
        </w:rPr>
        <w:t>1.2. O termo inicial do prazo prescricional, na vigência do CPC/1973, conta-se do fim do prazo judicial de suspensão do processo ou, inexistindo prazo fixado, do transcurso de 1 (um) ano (aplicação analógica do art. 40, § 2º, da Lei 6.830/</w:t>
      </w:r>
      <w:proofErr w:type="gramStart"/>
      <w:r w:rsidRPr="00B65F64">
        <w:rPr>
          <w:rFonts w:ascii="Times New Roman" w:hAnsi="Times New Roman" w:cs="Times New Roman"/>
          <w:i/>
          <w:iCs/>
        </w:rPr>
        <w:t>1980)...</w:t>
      </w:r>
      <w:proofErr w:type="spellStart"/>
      <w:proofErr w:type="gramEnd"/>
      <w:r w:rsidRPr="00B65F64">
        <w:rPr>
          <w:rFonts w:ascii="Times New Roman" w:hAnsi="Times New Roman" w:cs="Times New Roman"/>
          <w:i/>
          <w:iCs/>
        </w:rPr>
        <w:t>omissis</w:t>
      </w:r>
      <w:proofErr w:type="spellEnd"/>
      <w:r w:rsidRPr="00B65F64">
        <w:rPr>
          <w:rFonts w:ascii="Times New Roman" w:hAnsi="Times New Roman" w:cs="Times New Roman"/>
        </w:rPr>
        <w:t>...</w:t>
      </w:r>
      <w:r>
        <w:rPr>
          <w:rFonts w:ascii="Times New Roman" w:hAnsi="Times New Roman" w:cs="Times New Roman"/>
        </w:rPr>
        <w:t xml:space="preserve">” </w:t>
      </w:r>
      <w:r w:rsidRPr="00B65F64">
        <w:rPr>
          <w:rFonts w:ascii="Times New Roman" w:hAnsi="Times New Roman" w:cs="Times New Roman"/>
        </w:rPr>
        <w:t xml:space="preserve">[STJ, Tema IAC 1, REsp n. 1.604.412/SC, Relator Ministro Marco Aurélio </w:t>
      </w:r>
      <w:proofErr w:type="spellStart"/>
      <w:r w:rsidRPr="00B65F64">
        <w:rPr>
          <w:rFonts w:ascii="Times New Roman" w:hAnsi="Times New Roman" w:cs="Times New Roman"/>
        </w:rPr>
        <w:t>Bellizze</w:t>
      </w:r>
      <w:proofErr w:type="spellEnd"/>
      <w:r w:rsidRPr="00B65F64">
        <w:rPr>
          <w:rFonts w:ascii="Times New Roman" w:hAnsi="Times New Roman" w:cs="Times New Roman"/>
        </w:rPr>
        <w:t xml:space="preserve">, Segunda Seção, </w:t>
      </w:r>
      <w:proofErr w:type="spellStart"/>
      <w:r w:rsidRPr="00B65F64">
        <w:rPr>
          <w:rFonts w:ascii="Times New Roman" w:hAnsi="Times New Roman" w:cs="Times New Roman"/>
        </w:rPr>
        <w:t>DJe</w:t>
      </w:r>
      <w:proofErr w:type="spellEnd"/>
      <w:r w:rsidRPr="00B65F64">
        <w:rPr>
          <w:rFonts w:ascii="Times New Roman" w:hAnsi="Times New Roman" w:cs="Times New Roman"/>
        </w:rPr>
        <w:t xml:space="preserve"> 22.08.2018]</w:t>
      </w:r>
    </w:p>
    <w:p w14:paraId="03A72C09" w14:textId="0BF48128"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A cronologia do caderno processual evidencia a absoluta ausência de causa suspensiva ou interruptiva no período juridicamente relevante da prescrição intercorrente, </w:t>
      </w:r>
      <w:r w:rsidRPr="00B65F64">
        <w:rPr>
          <w:rFonts w:ascii="Times New Roman" w:hAnsi="Times New Roman" w:cs="Times New Roman"/>
          <w:i/>
          <w:iCs/>
        </w:rPr>
        <w:t xml:space="preserve">ad </w:t>
      </w:r>
      <w:proofErr w:type="spellStart"/>
      <w:r w:rsidRPr="00B65F64">
        <w:rPr>
          <w:rFonts w:ascii="Times New Roman" w:hAnsi="Times New Roman" w:cs="Times New Roman"/>
          <w:i/>
          <w:iCs/>
        </w:rPr>
        <w:t>illustrandum</w:t>
      </w:r>
      <w:proofErr w:type="spellEnd"/>
      <w:r w:rsidRPr="00B65F64">
        <w:rPr>
          <w:rFonts w:ascii="Times New Roman" w:hAnsi="Times New Roman" w:cs="Times New Roman"/>
        </w:rPr>
        <w:t>:</w:t>
      </w:r>
    </w:p>
    <w:p w14:paraId="4B632B80" w14:textId="77777777" w:rsidR="00B65F64" w:rsidRDefault="00B65F64" w:rsidP="00B65F64">
      <w:pPr>
        <w:ind w:right="-568"/>
        <w:jc w:val="both"/>
        <w:rPr>
          <w:rFonts w:ascii="Times New Roman" w:hAnsi="Times New Roman" w:cs="Times New Roman"/>
        </w:rPr>
      </w:pPr>
      <w:r>
        <w:rPr>
          <w:rFonts w:ascii="Times New Roman" w:hAnsi="Times New Roman" w:cs="Times New Roman"/>
        </w:rPr>
        <w:t>(...)</w:t>
      </w:r>
    </w:p>
    <w:p w14:paraId="05A20E87" w14:textId="3F80CDC7"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Para melhor elucidar, não houve requerimento dos credores pendente de apreciação pelo Poder Judiciário, não houve sucessão de pesquisas infrutíferas durante o período prescricional, não houve indicação de bens suscetíveis à penhora, pedidos de bloqueio, renovação de consultas ou sequer simples petições de acompanhamento processual.</w:t>
      </w:r>
    </w:p>
    <w:p w14:paraId="34ADF0BF" w14:textId="34D5F747"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Houve, na realidade, verdadeiro silêncio processual, prolongado por mais de 8 [oito] anos, sem a prática de qualquer ato minimamente útil à satisfação do crédito ou à demonstração de interesse no prosseguimento da execução.</w:t>
      </w:r>
    </w:p>
    <w:p w14:paraId="0FF9A449" w14:textId="0F7C2681"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lastRenderedPageBreak/>
        <w:t>Foi precisamente diante desse quadro objetivo, insista-se, de inércia qualificada, prolongada e exclusivamente imputável aos credores que sobreveio a v. sentença apelada, extinguindo o cumprimento de sentença com resolução do mérito pelo reconhecimento da prescrição intercorrente.</w:t>
      </w:r>
    </w:p>
    <w:p w14:paraId="1D092692" w14:textId="28DDCFD2"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O pronunciamento jurisdicional recorrido, longe de constituir solução excepcional ou isolada, encontra-se em plena sintonia com a orientação consolidada do colendo SUPERIOR TRIBUNAL DE JUSTIÇA, segundo o qual a execução não pode subsistir indefinidamente quando o titular da pretensão permanece inerte por período superior ao prazo prescricional aplicável, </w:t>
      </w:r>
      <w:proofErr w:type="spellStart"/>
      <w:r w:rsidRPr="00B65F64">
        <w:rPr>
          <w:rFonts w:ascii="Times New Roman" w:hAnsi="Times New Roman" w:cs="Times New Roman"/>
          <w:i/>
          <w:iCs/>
        </w:rPr>
        <w:t>expressis</w:t>
      </w:r>
      <w:proofErr w:type="spellEnd"/>
      <w:r w:rsidRPr="00B65F64">
        <w:rPr>
          <w:rFonts w:ascii="Times New Roman" w:hAnsi="Times New Roman" w:cs="Times New Roman"/>
          <w:i/>
          <w:iCs/>
        </w:rPr>
        <w:t xml:space="preserve"> </w:t>
      </w:r>
      <w:proofErr w:type="spellStart"/>
      <w:r w:rsidRPr="00B65F64">
        <w:rPr>
          <w:rFonts w:ascii="Times New Roman" w:hAnsi="Times New Roman" w:cs="Times New Roman"/>
          <w:i/>
          <w:iCs/>
        </w:rPr>
        <w:t>verbis</w:t>
      </w:r>
      <w:proofErr w:type="spellEnd"/>
      <w:r w:rsidRPr="00B65F64">
        <w:rPr>
          <w:rFonts w:ascii="Times New Roman" w:hAnsi="Times New Roman" w:cs="Times New Roman"/>
        </w:rPr>
        <w:t>:</w:t>
      </w:r>
    </w:p>
    <w:p w14:paraId="7FC874EA" w14:textId="10BC21A9" w:rsidR="00B65F64" w:rsidRPr="00B65F64" w:rsidRDefault="00B65F64" w:rsidP="00B65F64">
      <w:pPr>
        <w:ind w:right="-568"/>
        <w:jc w:val="both"/>
        <w:rPr>
          <w:rFonts w:ascii="Times New Roman" w:hAnsi="Times New Roman" w:cs="Times New Roman"/>
          <w:i/>
          <w:iCs/>
        </w:rPr>
      </w:pPr>
      <w:r>
        <w:rPr>
          <w:rFonts w:ascii="Times New Roman" w:hAnsi="Times New Roman" w:cs="Times New Roman"/>
        </w:rPr>
        <w:t>“</w:t>
      </w:r>
      <w:r w:rsidRPr="00B65F64">
        <w:rPr>
          <w:rFonts w:ascii="Times New Roman" w:hAnsi="Times New Roman" w:cs="Times New Roman"/>
          <w:i/>
          <w:iCs/>
        </w:rPr>
        <w:t>RECURSO ESPECIAL. CIVIL. PROCESSUAL CIVIL. EXECUÇÃO. AUSÊNCIA DE BENS PASSÍVEIS DE PENHORA. SUSPENSÃO DO PROCESSO. INÉRCIA DO EXEQUENTE POR MAIS DE TREZE ANOS. PRESCRIÇÃO INTERCORRENTE. OCORRÊNCIA. SÚMULA 150/STF. NEGATIVA DE PRESTAÇÃO JURISDICIONAL. NÃO OCORRÊNCIA. HONORÁRIOS ADVOCATÍCIOS. REVISÃO ÓBICE DA SÚMULA 7/STJ.</w:t>
      </w:r>
    </w:p>
    <w:p w14:paraId="483A379C"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1. Inocorrência de maltrato ao art. 535 do CPC quando o acórdão recorrido, ainda que de forma sucinta, aprecia com clareza as questões essenciais ao julgamento da lide.</w:t>
      </w:r>
    </w:p>
    <w:p w14:paraId="7C743D26"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2. "Prescreve a execução no mesmo prazo da prescrição da ação" (Súmula 150/STF).</w:t>
      </w:r>
    </w:p>
    <w:p w14:paraId="125AE713"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3. "Suspende-se a execução: [...] quando o devedor não possuir bens penhoráveis" (art. 791, inciso III, do CPC).</w:t>
      </w:r>
    </w:p>
    <w:p w14:paraId="445F7894"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4. Ocorrência de prescrição intercorrente, se o exequente permanecer inerte por prazo superior ao de prescrição do direito material vindicado.</w:t>
      </w:r>
    </w:p>
    <w:p w14:paraId="1DA193D8"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5. Hipótese em que a execução permaneceu suspensa por treze anos sem que o exequente tenha adotado qualquer providência para a localização de bens penhoráveis.</w:t>
      </w:r>
    </w:p>
    <w:p w14:paraId="5AB18349"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6. Desnecessidade de prévia intimação do exequente para dar andamento ao feito.</w:t>
      </w:r>
    </w:p>
    <w:p w14:paraId="67065BBD"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7. Distinção entre abandono da causa, fenômeno processual, e prescrição, instituto de direito material.</w:t>
      </w:r>
    </w:p>
    <w:p w14:paraId="79FA41CA"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8. Ocorrência de prescrição intercorrente no caso concreto.</w:t>
      </w:r>
    </w:p>
    <w:p w14:paraId="10BAE450"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9. Entendimento em sintonia com o novo Código de Processo Civil.</w:t>
      </w:r>
    </w:p>
    <w:p w14:paraId="6CD58356"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10. Revisão da jurisprudência desta Turma.</w:t>
      </w:r>
    </w:p>
    <w:p w14:paraId="561C75DF"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11. Incidência do óbice da Súmula 7/STJ no que tange à alegação de excesso no arbitramento dos honorários advocatícios.</w:t>
      </w:r>
    </w:p>
    <w:p w14:paraId="46E35ECB" w14:textId="1414E0BB"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i/>
          <w:iCs/>
        </w:rPr>
        <w:t>12. RECURSO ESPECIAL DESPROVIDO</w:t>
      </w:r>
      <w:r w:rsidRPr="00B65F64">
        <w:rPr>
          <w:rFonts w:ascii="Times New Roman" w:hAnsi="Times New Roman" w:cs="Times New Roman"/>
        </w:rPr>
        <w:t>.</w:t>
      </w:r>
      <w:r>
        <w:rPr>
          <w:rFonts w:ascii="Times New Roman" w:hAnsi="Times New Roman" w:cs="Times New Roman"/>
        </w:rPr>
        <w:t xml:space="preserve">” </w:t>
      </w:r>
      <w:proofErr w:type="gramStart"/>
      <w:r w:rsidRPr="00B65F64">
        <w:rPr>
          <w:rFonts w:ascii="Times New Roman" w:hAnsi="Times New Roman" w:cs="Times New Roman"/>
        </w:rPr>
        <w:t>[</w:t>
      </w:r>
      <w:proofErr w:type="gramEnd"/>
      <w:r w:rsidRPr="00B65F64">
        <w:rPr>
          <w:rFonts w:ascii="Times New Roman" w:hAnsi="Times New Roman" w:cs="Times New Roman"/>
        </w:rPr>
        <w:t xml:space="preserve">STJ, REsp n. 1.522.092/MS, Relator Ministro Paulo de Tarso </w:t>
      </w:r>
      <w:proofErr w:type="spellStart"/>
      <w:r w:rsidRPr="00B65F64">
        <w:rPr>
          <w:rFonts w:ascii="Times New Roman" w:hAnsi="Times New Roman" w:cs="Times New Roman"/>
        </w:rPr>
        <w:t>Sanseverino</w:t>
      </w:r>
      <w:proofErr w:type="spellEnd"/>
      <w:r w:rsidRPr="00B65F64">
        <w:rPr>
          <w:rFonts w:ascii="Times New Roman" w:hAnsi="Times New Roman" w:cs="Times New Roman"/>
        </w:rPr>
        <w:t xml:space="preserve">, Terceira Turma, </w:t>
      </w:r>
      <w:proofErr w:type="spellStart"/>
      <w:r w:rsidRPr="00B65F64">
        <w:rPr>
          <w:rFonts w:ascii="Times New Roman" w:hAnsi="Times New Roman" w:cs="Times New Roman"/>
        </w:rPr>
        <w:t>DJe</w:t>
      </w:r>
      <w:proofErr w:type="spellEnd"/>
      <w:r w:rsidRPr="00B65F64">
        <w:rPr>
          <w:rFonts w:ascii="Times New Roman" w:hAnsi="Times New Roman" w:cs="Times New Roman"/>
        </w:rPr>
        <w:t xml:space="preserve"> 13.10.2015]</w:t>
      </w:r>
    </w:p>
    <w:p w14:paraId="5F4FBD93" w14:textId="243F7079" w:rsidR="00B65F64" w:rsidRPr="00B65F64" w:rsidRDefault="00B65F64" w:rsidP="00B65F64">
      <w:pPr>
        <w:ind w:right="-568"/>
        <w:jc w:val="both"/>
        <w:rPr>
          <w:rFonts w:ascii="Times New Roman" w:hAnsi="Times New Roman" w:cs="Times New Roman"/>
          <w:i/>
          <w:iCs/>
        </w:rPr>
      </w:pPr>
      <w:r>
        <w:rPr>
          <w:rFonts w:ascii="Times New Roman" w:hAnsi="Times New Roman" w:cs="Times New Roman"/>
        </w:rPr>
        <w:t>“</w:t>
      </w:r>
      <w:r w:rsidRPr="00B65F64">
        <w:rPr>
          <w:rFonts w:ascii="Times New Roman" w:hAnsi="Times New Roman" w:cs="Times New Roman"/>
          <w:i/>
          <w:iCs/>
        </w:rPr>
        <w:t xml:space="preserve">DIREITO PROCESSUAL CIVIL. RECURSO ESPECIAL. EXECUÇÃO DE TÍTULO EXTRAJUDICIAL. PRESCRIÇÃO INTERCORRENTE. INÉRCIA DO CREDOR. REQUISITO ESSENCIAL. DILIGÊNCIAS INFRUTÍFERAS REITERADAS. AUSÊNCIA DE </w:t>
      </w:r>
      <w:r w:rsidRPr="00B65F64">
        <w:rPr>
          <w:rFonts w:ascii="Times New Roman" w:hAnsi="Times New Roman" w:cs="Times New Roman"/>
          <w:i/>
          <w:iCs/>
        </w:rPr>
        <w:lastRenderedPageBreak/>
        <w:t>EFETIVIDADE. CARACTERIZAÇÃO DA PRESCRIÇÃO. TEMA 1/IAC DO STJ. APLICAÇÃO. REGIME DE TRANSIÇÃO CPC/1973 E CPC/2015. LEI N. 14.195/2021. NÃO OCORRÊNCIA. ARTS. 505 E 507 DO CPC. RECURSO ESPECIAL CONHECIDO E NÃO PROVIDO.</w:t>
      </w:r>
    </w:p>
    <w:p w14:paraId="11289C3A"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1. A tese firmada no REsp 1.604.412/SC estabelece que a prescrição intercorrente incide quando o exequente permanece inerte por prazo superior ao de prescrição do direito material. Inércia pressupõe abandono processual qualificado, não se confundindo com mera dificuldade pontual na localização de bens.</w:t>
      </w:r>
    </w:p>
    <w:p w14:paraId="5DFE1F28"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 xml:space="preserve">2. Embora a execução tenha sido ajuizada sob a égide do CPC/1973, os fatos geradores da prescrição intercorrente ocorreram na vigência do CPC/2015, aplicando-se a este a disciplina da prescrição intercorrente. </w:t>
      </w:r>
      <w:proofErr w:type="spellStart"/>
      <w:r w:rsidRPr="00B65F64">
        <w:rPr>
          <w:rFonts w:ascii="Times New Roman" w:hAnsi="Times New Roman" w:cs="Times New Roman"/>
          <w:i/>
          <w:iCs/>
        </w:rPr>
        <w:t>Ratio</w:t>
      </w:r>
      <w:proofErr w:type="spellEnd"/>
      <w:r w:rsidRPr="00B65F64">
        <w:rPr>
          <w:rFonts w:ascii="Times New Roman" w:hAnsi="Times New Roman" w:cs="Times New Roman"/>
          <w:i/>
          <w:iCs/>
        </w:rPr>
        <w:t xml:space="preserve"> </w:t>
      </w:r>
      <w:proofErr w:type="spellStart"/>
      <w:r w:rsidRPr="00B65F64">
        <w:rPr>
          <w:rFonts w:ascii="Times New Roman" w:hAnsi="Times New Roman" w:cs="Times New Roman"/>
          <w:i/>
          <w:iCs/>
        </w:rPr>
        <w:t>decidendi</w:t>
      </w:r>
      <w:proofErr w:type="spellEnd"/>
      <w:r w:rsidRPr="00B65F64">
        <w:rPr>
          <w:rFonts w:ascii="Times New Roman" w:hAnsi="Times New Roman" w:cs="Times New Roman"/>
          <w:i/>
          <w:iCs/>
        </w:rPr>
        <w:t xml:space="preserve"> do Tema 1/IAC permanece válida: prescrição intercorrente pressupõe inércia qualificada do credor, não bastando o mero insucesso em diligências isoladas.</w:t>
      </w:r>
    </w:p>
    <w:p w14:paraId="78FE234F"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 xml:space="preserve">3. Prescrição constitui matéria de ordem pública, passível de reconhecimento de ofício a qualquer tempo e grau de jurisdição, não se sujeitando à preclusão pro </w:t>
      </w:r>
      <w:proofErr w:type="spellStart"/>
      <w:r w:rsidRPr="00B65F64">
        <w:rPr>
          <w:rFonts w:ascii="Times New Roman" w:hAnsi="Times New Roman" w:cs="Times New Roman"/>
          <w:i/>
          <w:iCs/>
        </w:rPr>
        <w:t>judicato</w:t>
      </w:r>
      <w:proofErr w:type="spellEnd"/>
      <w:r w:rsidRPr="00B65F64">
        <w:rPr>
          <w:rFonts w:ascii="Times New Roman" w:hAnsi="Times New Roman" w:cs="Times New Roman"/>
          <w:i/>
          <w:iCs/>
        </w:rPr>
        <w:t xml:space="preserve">. Prática de atos processuais pelo juízo não impede verificação e declaração de prescrição consumada em momento anterior, conforme </w:t>
      </w:r>
      <w:proofErr w:type="spellStart"/>
      <w:r w:rsidRPr="00B65F64">
        <w:rPr>
          <w:rFonts w:ascii="Times New Roman" w:hAnsi="Times New Roman" w:cs="Times New Roman"/>
          <w:i/>
          <w:iCs/>
        </w:rPr>
        <w:t>arts</w:t>
      </w:r>
      <w:proofErr w:type="spellEnd"/>
      <w:r w:rsidRPr="00B65F64">
        <w:rPr>
          <w:rFonts w:ascii="Times New Roman" w:hAnsi="Times New Roman" w:cs="Times New Roman"/>
          <w:i/>
          <w:iCs/>
        </w:rPr>
        <w:t>. 505 e 507 do CPC.</w:t>
      </w:r>
    </w:p>
    <w:p w14:paraId="5F9605DF" w14:textId="25ADE112"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i/>
          <w:iCs/>
        </w:rPr>
        <w:t>4. Recurso especial conhecido, e não provido</w:t>
      </w:r>
      <w:r w:rsidRPr="00B65F64">
        <w:rPr>
          <w:rFonts w:ascii="Times New Roman" w:hAnsi="Times New Roman" w:cs="Times New Roman"/>
        </w:rPr>
        <w:t>.</w:t>
      </w:r>
      <w:r>
        <w:rPr>
          <w:rFonts w:ascii="Times New Roman" w:hAnsi="Times New Roman" w:cs="Times New Roman"/>
        </w:rPr>
        <w:t xml:space="preserve">” </w:t>
      </w:r>
      <w:proofErr w:type="gramStart"/>
      <w:r w:rsidRPr="00B65F64">
        <w:rPr>
          <w:rFonts w:ascii="Times New Roman" w:hAnsi="Times New Roman" w:cs="Times New Roman"/>
        </w:rPr>
        <w:t>[</w:t>
      </w:r>
      <w:proofErr w:type="gramEnd"/>
      <w:r w:rsidRPr="00B65F64">
        <w:rPr>
          <w:rFonts w:ascii="Times New Roman" w:hAnsi="Times New Roman" w:cs="Times New Roman"/>
        </w:rPr>
        <w:t>STJ, REsp n. 2.246.503/MG, Relator Ministro Moura Ribeiro, Terceira Turma, DJEN de 15.05.2026]</w:t>
      </w:r>
    </w:p>
    <w:p w14:paraId="309EC40A" w14:textId="4A8EEEAD" w:rsidR="00B65F64" w:rsidRPr="00B65F64" w:rsidRDefault="00B65F64" w:rsidP="00B65F64">
      <w:pPr>
        <w:ind w:right="-568"/>
        <w:jc w:val="both"/>
        <w:rPr>
          <w:rFonts w:ascii="Times New Roman" w:hAnsi="Times New Roman" w:cs="Times New Roman"/>
          <w:i/>
          <w:iCs/>
        </w:rPr>
      </w:pPr>
      <w:r>
        <w:rPr>
          <w:rFonts w:ascii="Times New Roman" w:hAnsi="Times New Roman" w:cs="Times New Roman"/>
        </w:rPr>
        <w:t>“</w:t>
      </w:r>
      <w:r w:rsidRPr="00B65F64">
        <w:rPr>
          <w:rFonts w:ascii="Times New Roman" w:hAnsi="Times New Roman" w:cs="Times New Roman"/>
          <w:i/>
          <w:iCs/>
        </w:rPr>
        <w:t>RECURSO ESPECIAL. CIVIL. PROCESSUAL CIVIL. EXECUÇÃO. CÉDULA DE CRÉDITO RURAL. AUSÊNCIA DE BENS PASSÍVEIS DE PENHORA. SUSPENSÃO DO PROCESSO. INÉRCIA DO EXEQUENTE POR SETE DE ANOS. PRESCRIÇÃO INTERCORRENTE. OCORRÊNCIA. SÚMULA 150/STF.</w:t>
      </w:r>
    </w:p>
    <w:p w14:paraId="55D374E5"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1. Controvérsia acerca da prescrição intercorrente no curso de execução de título extrajudicial.</w:t>
      </w:r>
    </w:p>
    <w:p w14:paraId="2C38570D"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2. "Prescreve a execução no mesmo prazo da prescrição da ação" (Súmula 150/STF).</w:t>
      </w:r>
    </w:p>
    <w:p w14:paraId="087049BE"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3. "Suspende-se a execução: [...] quando o devedor não possuir bens penhoráveis" (art. 791, inciso III, do CPC/73).</w:t>
      </w:r>
    </w:p>
    <w:p w14:paraId="56C9C474"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4. Ocorrência de prescrição intercorrente, se o exequente permanecer inerte por prazo superior ao de prescrição do direito material vindicado.</w:t>
      </w:r>
    </w:p>
    <w:p w14:paraId="15828C75"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5. Hipótese em que a execução permaneceu suspensa por sete anos sem que o exequente tenha adotado qualquer providência para a localização de bens penhoráveis.</w:t>
      </w:r>
    </w:p>
    <w:p w14:paraId="4C5310B6"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6. Distinção entre abandono da causa, fenômeno processual, e prescrição, instituto de direito material.</w:t>
      </w:r>
    </w:p>
    <w:p w14:paraId="067F67D7"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7. Possibilidade, em tese, de se declarar de ofício a prescrição intercorrente no caso concreto, pois a pretensão de direito material prescreve em três anos.</w:t>
      </w:r>
    </w:p>
    <w:p w14:paraId="60BF44D2"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8. Desnecessidade de prévia intimação do exequente para dar andamento ao feito.</w:t>
      </w:r>
    </w:p>
    <w:p w14:paraId="24C02274"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lastRenderedPageBreak/>
        <w:t>9. Necessidade apenas de intimação do exequente, concedendo-lhe oportunidade de demonstrar causas interruptivas ou suspensivas da prescrição.</w:t>
      </w:r>
    </w:p>
    <w:p w14:paraId="79F680C6" w14:textId="77777777"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 xml:space="preserve">10. "O contraditório é princípio que deve ser respeitado em todas as manifestações do Poder Judiciário, que deve zelar pela sua observância, inclusive nas hipóteses de declaração de ofício da prescrição intercorrente, devendo o credor ser previamente intimado para opor algum fato impeditivo à incidência da prescrição" (REsp 1.589.753/PR, Rel. Ministro MARCO AURÉLIO BELLIZZE, TERCEIRA TURMA, </w:t>
      </w:r>
      <w:proofErr w:type="spellStart"/>
      <w:r w:rsidRPr="00B65F64">
        <w:rPr>
          <w:rFonts w:ascii="Times New Roman" w:hAnsi="Times New Roman" w:cs="Times New Roman"/>
          <w:i/>
          <w:iCs/>
        </w:rPr>
        <w:t>DJe</w:t>
      </w:r>
      <w:proofErr w:type="spellEnd"/>
      <w:r w:rsidRPr="00B65F64">
        <w:rPr>
          <w:rFonts w:ascii="Times New Roman" w:hAnsi="Times New Roman" w:cs="Times New Roman"/>
          <w:i/>
          <w:iCs/>
        </w:rPr>
        <w:t xml:space="preserve"> 31/05/2016).</w:t>
      </w:r>
    </w:p>
    <w:p w14:paraId="0A988EF8" w14:textId="78F85E0D" w:rsidR="00B65F64" w:rsidRPr="00B65F64" w:rsidRDefault="00B65F64" w:rsidP="00B65F64">
      <w:pPr>
        <w:ind w:right="-568"/>
        <w:jc w:val="both"/>
        <w:rPr>
          <w:rFonts w:ascii="Times New Roman" w:hAnsi="Times New Roman" w:cs="Times New Roman"/>
          <w:i/>
          <w:iCs/>
        </w:rPr>
      </w:pPr>
      <w:r w:rsidRPr="00B65F64">
        <w:rPr>
          <w:rFonts w:ascii="Times New Roman" w:hAnsi="Times New Roman" w:cs="Times New Roman"/>
          <w:i/>
          <w:iCs/>
        </w:rPr>
        <w:t>11. Entendimento em sintonia com o disposto no novo Código de Processo Civil (art. 921, §§ 4º e 5º, CPC/2015)</w:t>
      </w:r>
      <w:r>
        <w:rPr>
          <w:rFonts w:ascii="Times New Roman" w:hAnsi="Times New Roman" w:cs="Times New Roman"/>
          <w:i/>
          <w:iCs/>
        </w:rPr>
        <w:t>.</w:t>
      </w:r>
      <w:r w:rsidRPr="00B65F64">
        <w:rPr>
          <w:rFonts w:ascii="Times New Roman" w:hAnsi="Times New Roman" w:cs="Times New Roman"/>
        </w:rPr>
        <w:t>”</w:t>
      </w:r>
      <w:r>
        <w:rPr>
          <w:rFonts w:ascii="Times New Roman" w:hAnsi="Times New Roman" w:cs="Times New Roman"/>
          <w:i/>
          <w:iCs/>
        </w:rPr>
        <w:t xml:space="preserve"> </w:t>
      </w:r>
      <w:r w:rsidRPr="00B65F64">
        <w:rPr>
          <w:rFonts w:ascii="Times New Roman" w:hAnsi="Times New Roman" w:cs="Times New Roman"/>
        </w:rPr>
        <w:t xml:space="preserve">[STJ, REsp n. 1.593.786/SC, Relator Ministro Paulo de Tarso </w:t>
      </w:r>
      <w:proofErr w:type="spellStart"/>
      <w:r w:rsidRPr="00B65F64">
        <w:rPr>
          <w:rFonts w:ascii="Times New Roman" w:hAnsi="Times New Roman" w:cs="Times New Roman"/>
        </w:rPr>
        <w:t>Sanseverino</w:t>
      </w:r>
      <w:proofErr w:type="spellEnd"/>
      <w:r w:rsidRPr="00B65F64">
        <w:rPr>
          <w:rFonts w:ascii="Times New Roman" w:hAnsi="Times New Roman" w:cs="Times New Roman"/>
        </w:rPr>
        <w:t xml:space="preserve">, Terceira Turma, </w:t>
      </w:r>
      <w:proofErr w:type="spellStart"/>
      <w:r w:rsidRPr="00B65F64">
        <w:rPr>
          <w:rFonts w:ascii="Times New Roman" w:hAnsi="Times New Roman" w:cs="Times New Roman"/>
        </w:rPr>
        <w:t>DJe</w:t>
      </w:r>
      <w:proofErr w:type="spellEnd"/>
      <w:r w:rsidRPr="00B65F64">
        <w:rPr>
          <w:rFonts w:ascii="Times New Roman" w:hAnsi="Times New Roman" w:cs="Times New Roman"/>
        </w:rPr>
        <w:t xml:space="preserve"> 30.09.2016]</w:t>
      </w:r>
    </w:p>
    <w:p w14:paraId="48551D95" w14:textId="03AC702B"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A mesma compreensão encontra-se sólida no âmbito d</w:t>
      </w:r>
      <w:r w:rsidR="002726B5">
        <w:rPr>
          <w:rFonts w:ascii="Times New Roman" w:hAnsi="Times New Roman" w:cs="Times New Roman"/>
        </w:rPr>
        <w:t>o</w:t>
      </w:r>
      <w:r w:rsidRPr="00B65F64">
        <w:rPr>
          <w:rFonts w:ascii="Times New Roman" w:hAnsi="Times New Roman" w:cs="Times New Roman"/>
        </w:rPr>
        <w:t xml:space="preserve"> egrégio TRIBUNAL DE JUSTIÇA DE SANTA CATARINA, a ponto de a Corte editar a Súmula n. 64, segundo a qual a mera renovação de diligências inexitosas ou rejeitadas, desacompanhada da efetiva constrição patrimonial, não interrompe a fluência da prescrição intercorrente, </w:t>
      </w:r>
      <w:r w:rsidRPr="002726B5">
        <w:rPr>
          <w:rFonts w:ascii="Times New Roman" w:hAnsi="Times New Roman" w:cs="Times New Roman"/>
          <w:i/>
          <w:iCs/>
        </w:rPr>
        <w:t xml:space="preserve">in </w:t>
      </w:r>
      <w:proofErr w:type="spellStart"/>
      <w:r w:rsidRPr="002726B5">
        <w:rPr>
          <w:rFonts w:ascii="Times New Roman" w:hAnsi="Times New Roman" w:cs="Times New Roman"/>
          <w:i/>
          <w:iCs/>
        </w:rPr>
        <w:t>verbis</w:t>
      </w:r>
      <w:proofErr w:type="spellEnd"/>
      <w:r w:rsidRPr="00B65F64">
        <w:rPr>
          <w:rFonts w:ascii="Times New Roman" w:hAnsi="Times New Roman" w:cs="Times New Roman"/>
        </w:rPr>
        <w:t>:</w:t>
      </w:r>
    </w:p>
    <w:p w14:paraId="74138797" w14:textId="243E7FE5" w:rsidR="00B65F64" w:rsidRPr="002726B5" w:rsidRDefault="002726B5" w:rsidP="00B65F64">
      <w:pPr>
        <w:ind w:right="-568"/>
        <w:jc w:val="both"/>
        <w:rPr>
          <w:rFonts w:ascii="Times New Roman" w:hAnsi="Times New Roman" w:cs="Times New Roman"/>
          <w:i/>
          <w:iCs/>
        </w:rPr>
      </w:pPr>
      <w:r>
        <w:rPr>
          <w:rFonts w:ascii="Times New Roman" w:hAnsi="Times New Roman" w:cs="Times New Roman"/>
        </w:rPr>
        <w:t>“</w:t>
      </w:r>
      <w:r w:rsidR="00B65F64" w:rsidRPr="002726B5">
        <w:rPr>
          <w:rFonts w:ascii="Times New Roman" w:hAnsi="Times New Roman" w:cs="Times New Roman"/>
          <w:i/>
          <w:iCs/>
        </w:rPr>
        <w:t>TJSC/Súmula 64 – Grupo de Câmaras de Direito Comercial</w:t>
      </w:r>
    </w:p>
    <w:p w14:paraId="2C45B0DB" w14:textId="2F816EFE" w:rsidR="00B65F64" w:rsidRPr="002726B5" w:rsidRDefault="00B65F64" w:rsidP="00B65F64">
      <w:pPr>
        <w:ind w:right="-568"/>
        <w:jc w:val="both"/>
        <w:rPr>
          <w:rFonts w:ascii="Times New Roman" w:hAnsi="Times New Roman" w:cs="Times New Roman"/>
          <w:i/>
          <w:iCs/>
        </w:rPr>
      </w:pPr>
      <w:r w:rsidRPr="002726B5">
        <w:rPr>
          <w:rFonts w:ascii="Times New Roman" w:hAnsi="Times New Roman" w:cs="Times New Roman"/>
          <w:i/>
          <w:iCs/>
        </w:rPr>
        <w:t>A mera renovação de diligências inexitosas ou rejeitadas sem a efetiva constrição patrimonial, ainda que antes das alterações promovidas pela Lei n. 14.195/2021, não interrompe o curso do prazo da prescrição intercorrente</w:t>
      </w:r>
      <w:r w:rsidR="002726B5">
        <w:rPr>
          <w:rFonts w:ascii="Times New Roman" w:hAnsi="Times New Roman" w:cs="Times New Roman"/>
          <w:i/>
          <w:iCs/>
        </w:rPr>
        <w:t>.</w:t>
      </w:r>
      <w:r w:rsidR="002726B5" w:rsidRPr="002726B5">
        <w:rPr>
          <w:rFonts w:ascii="Times New Roman" w:hAnsi="Times New Roman" w:cs="Times New Roman"/>
        </w:rPr>
        <w:t>”</w:t>
      </w:r>
    </w:p>
    <w:p w14:paraId="445E1086" w14:textId="754A4AEC"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Vogando na esteira, confira-se o autorizado pronunciamento do Eminente Relator Desembargador SAUL STEIL, integrante d</w:t>
      </w:r>
      <w:r w:rsidR="002726B5">
        <w:rPr>
          <w:rFonts w:ascii="Times New Roman" w:hAnsi="Times New Roman" w:cs="Times New Roman"/>
        </w:rPr>
        <w:t>a</w:t>
      </w:r>
      <w:r w:rsidRPr="00B65F64">
        <w:rPr>
          <w:rFonts w:ascii="Times New Roman" w:hAnsi="Times New Roman" w:cs="Times New Roman"/>
        </w:rPr>
        <w:t xml:space="preserve"> colenda 3ª Câmara de Direito Civil do TJSC:</w:t>
      </w:r>
    </w:p>
    <w:p w14:paraId="293FE6DF" w14:textId="4E0B7081" w:rsidR="00B65F64" w:rsidRPr="00B65F64" w:rsidRDefault="002726B5" w:rsidP="00B65F64">
      <w:pPr>
        <w:ind w:right="-568"/>
        <w:jc w:val="both"/>
        <w:rPr>
          <w:rFonts w:ascii="Times New Roman" w:hAnsi="Times New Roman" w:cs="Times New Roman"/>
        </w:rPr>
      </w:pPr>
      <w:r>
        <w:rPr>
          <w:rFonts w:ascii="Times New Roman" w:hAnsi="Times New Roman" w:cs="Times New Roman"/>
        </w:rPr>
        <w:t>“</w:t>
      </w:r>
      <w:r w:rsidR="00B65F64" w:rsidRPr="002726B5">
        <w:rPr>
          <w:rFonts w:ascii="Times New Roman" w:hAnsi="Times New Roman" w:cs="Times New Roman"/>
          <w:i/>
          <w:iCs/>
        </w:rPr>
        <w:t>APELAÇÃO CÍVEL. CUMPRIMENTO DE SENTENÇA. COBRANÇA DE MENSALIDADES DE PLANO DE SAÚDE. SENTENÇA DE PRONÚNCIA DA PRESCRIÇÃO INTERCORRENTE. RECURSO DA CREDORA. INCIDÊNCIA DO PRAZO QUINQUENAL NA HIPÓTESE, NA FORMA DO ART. 206, § 5º, INC. I, DO CC E DA SÚMULA 150 DO STF. TRANSCURSO DE MAIS DE 5 (CINCO) ANOS DESDE O ARQUIVAMENTO DO FEITO, SEM A LOCALIZAÇÃO DE BENS PENHORÁVEIS DA DEVEDORA. SIMPLES PETICIONAMENTO PARA REALIZAÇÃO DE DILIGÊNCIAS QUE NÃO TEM O CONDÃO DE INTERROMPER O PRAZO PRESCRICIONAL. SÚMULA 64 DESTE TRIBUNAL DE JUSTIÇA. [...]</w:t>
      </w:r>
      <w:r w:rsidRPr="002726B5">
        <w:rPr>
          <w:rFonts w:ascii="Times New Roman" w:hAnsi="Times New Roman" w:cs="Times New Roman"/>
          <w:i/>
          <w:iCs/>
        </w:rPr>
        <w:t xml:space="preserve"> </w:t>
      </w:r>
      <w:r w:rsidR="00B65F64" w:rsidRPr="002726B5">
        <w:rPr>
          <w:rFonts w:ascii="Times New Roman" w:hAnsi="Times New Roman" w:cs="Times New Roman"/>
          <w:i/>
          <w:iCs/>
        </w:rPr>
        <w:t>PRECEDENTE DA CÂMARA. DEMORA ATRIBUÍVEL AO MECANISMO JUDICIÁRIO NÃO VERIFICADA. SENTENÇA CONFIRMADA. RECURSO CONHECIDO E DESPROVIDO. Nos termos da Súmula 64 deste Tribunal, "A mera renovação de diligências inexitosas ou rejeitadas sem a efetiva constrição patrimonial, ainda que antes das alterações promovidas pela Lei n. 14.195/2021, não interrompe o curso do prazo da prescrição intercorrente</w:t>
      </w:r>
      <w:r w:rsidR="00B65F64" w:rsidRPr="00B65F64">
        <w:rPr>
          <w:rFonts w:ascii="Times New Roman" w:hAnsi="Times New Roman" w:cs="Times New Roman"/>
        </w:rPr>
        <w:t>".</w:t>
      </w:r>
      <w:r>
        <w:rPr>
          <w:rFonts w:ascii="Times New Roman" w:hAnsi="Times New Roman" w:cs="Times New Roman"/>
        </w:rPr>
        <w:t xml:space="preserve">” </w:t>
      </w:r>
      <w:proofErr w:type="gramStart"/>
      <w:r w:rsidR="00B65F64" w:rsidRPr="00B65F64">
        <w:rPr>
          <w:rFonts w:ascii="Times New Roman" w:hAnsi="Times New Roman" w:cs="Times New Roman"/>
        </w:rPr>
        <w:t>[</w:t>
      </w:r>
      <w:proofErr w:type="gramEnd"/>
      <w:r w:rsidR="00B65F64" w:rsidRPr="00B65F64">
        <w:rPr>
          <w:rFonts w:ascii="Times New Roman" w:hAnsi="Times New Roman" w:cs="Times New Roman"/>
        </w:rPr>
        <w:t xml:space="preserve">TJSC, </w:t>
      </w:r>
      <w:proofErr w:type="spellStart"/>
      <w:r w:rsidR="00B65F64" w:rsidRPr="00B65F64">
        <w:rPr>
          <w:rFonts w:ascii="Times New Roman" w:hAnsi="Times New Roman" w:cs="Times New Roman"/>
        </w:rPr>
        <w:t>ApCiv</w:t>
      </w:r>
      <w:proofErr w:type="spellEnd"/>
      <w:r w:rsidR="00B65F64" w:rsidRPr="00B65F64">
        <w:rPr>
          <w:rFonts w:ascii="Times New Roman" w:hAnsi="Times New Roman" w:cs="Times New Roman"/>
        </w:rPr>
        <w:t xml:space="preserve"> 5000037-96.2011.8.24.0038, 3ª Câmara de Direito Civil, Relator SAUL STEIL, </w:t>
      </w:r>
      <w:proofErr w:type="spellStart"/>
      <w:r w:rsidR="00B65F64" w:rsidRPr="00B65F64">
        <w:rPr>
          <w:rFonts w:ascii="Times New Roman" w:hAnsi="Times New Roman" w:cs="Times New Roman"/>
        </w:rPr>
        <w:t>DJe</w:t>
      </w:r>
      <w:proofErr w:type="spellEnd"/>
      <w:r w:rsidR="00B65F64" w:rsidRPr="00B65F64">
        <w:rPr>
          <w:rFonts w:ascii="Times New Roman" w:hAnsi="Times New Roman" w:cs="Times New Roman"/>
        </w:rPr>
        <w:t xml:space="preserve"> 06.02.2024]</w:t>
      </w:r>
    </w:p>
    <w:p w14:paraId="686990BF" w14:textId="4B72EEB9" w:rsidR="00B65F64" w:rsidRPr="00B65F64" w:rsidRDefault="002726B5" w:rsidP="00B65F64">
      <w:pPr>
        <w:ind w:right="-568"/>
        <w:jc w:val="both"/>
        <w:rPr>
          <w:rFonts w:ascii="Times New Roman" w:hAnsi="Times New Roman" w:cs="Times New Roman"/>
        </w:rPr>
      </w:pPr>
      <w:r>
        <w:rPr>
          <w:rFonts w:ascii="Times New Roman" w:hAnsi="Times New Roman" w:cs="Times New Roman"/>
        </w:rPr>
        <w:t>“</w:t>
      </w:r>
      <w:r w:rsidR="00B65F64" w:rsidRPr="002726B5">
        <w:rPr>
          <w:rFonts w:ascii="Times New Roman" w:hAnsi="Times New Roman" w:cs="Times New Roman"/>
          <w:i/>
          <w:iCs/>
        </w:rPr>
        <w:t xml:space="preserve">APELAÇÃO CÍVEL. AÇÃO DE EXECUÇÃO DE TÍTULO EXTRAJUDICIAL. NOTAS PROMISSÓRIAS. PRONÚNCIA DA PRESCRIÇÃO INTERCORRENTE. RECURSO DO EXEQUENTE. ALEGADA INOCORRÊNCIA DA PRESCRIÇÃO INTERCORRENTE. INSUBSISTÊNCIA. PRETENSÃO QUE SE SUBMETE AO PRAZO PRESCRICIONAL </w:t>
      </w:r>
      <w:r w:rsidR="00B65F64" w:rsidRPr="002726B5">
        <w:rPr>
          <w:rFonts w:ascii="Times New Roman" w:hAnsi="Times New Roman" w:cs="Times New Roman"/>
          <w:i/>
          <w:iCs/>
        </w:rPr>
        <w:lastRenderedPageBreak/>
        <w:t>TRIENAL. (ART. 206, § 3º, INC. VIII, DO CC). PROCESSO INICIADO NA VIGÊNCIA DO CPC/73. FEITO ARQUIVADO ATÉ O ANO DE 2014. RETOMADA DO PRAZO TRIENAL QUE, PORÉM, TRANSCORREU SEM QUE NENHUMA MEDIDA CONSTRITIVA TENHA SE REVELADO FRUTÍFERA. DILIGÊNCIAS INEXITOSAS E/OU INDEFERIDAS QUE NÃO POSSUEM O CONDÃO DE OBSTAR A OCORRÊNCIA DA PRESCRIÇÃO. SÚMULA 64 DESTE TRIBUNAL. PRESCRIÇÃO INTERCORRENTE, OUTROSSIM, PERFECTIBILIZADA SOB A ÉGIDE DO CPC/15. FEITO NOVAMENTE ARQUIVADO. PENHORA POSTERIORMENTE REALIZADA QUE INTERROMPEU A CONTAGEM DO PRAZO. PRAZO TRIENAL QUE NOVAMENTE TRANSCORREU SEM EFETIVAÇÃO DE QUALQUER CONSTRIÇÃO PATRIMONIAL. PRESCRIÇÃO INTERCORRENTE CONFIGURADA. SENTENÇA MANTIDA. RECURSO DESPROVIDO</w:t>
      </w:r>
      <w:r w:rsidR="00B65F64" w:rsidRPr="00B65F64">
        <w:rPr>
          <w:rFonts w:ascii="Times New Roman" w:hAnsi="Times New Roman" w:cs="Times New Roman"/>
        </w:rPr>
        <w:t>.</w:t>
      </w:r>
      <w:r>
        <w:rPr>
          <w:rFonts w:ascii="Times New Roman" w:hAnsi="Times New Roman" w:cs="Times New Roman"/>
        </w:rPr>
        <w:t xml:space="preserve">” </w:t>
      </w:r>
      <w:proofErr w:type="gramStart"/>
      <w:r w:rsidR="00B65F64" w:rsidRPr="00B65F64">
        <w:rPr>
          <w:rFonts w:ascii="Times New Roman" w:hAnsi="Times New Roman" w:cs="Times New Roman"/>
        </w:rPr>
        <w:t>[</w:t>
      </w:r>
      <w:proofErr w:type="gramEnd"/>
      <w:r w:rsidR="00B65F64" w:rsidRPr="00B65F64">
        <w:rPr>
          <w:rFonts w:ascii="Times New Roman" w:hAnsi="Times New Roman" w:cs="Times New Roman"/>
        </w:rPr>
        <w:t xml:space="preserve">TJSC, </w:t>
      </w:r>
      <w:proofErr w:type="spellStart"/>
      <w:r w:rsidR="00B65F64" w:rsidRPr="00B65F64">
        <w:rPr>
          <w:rFonts w:ascii="Times New Roman" w:hAnsi="Times New Roman" w:cs="Times New Roman"/>
        </w:rPr>
        <w:t>ApCiv</w:t>
      </w:r>
      <w:proofErr w:type="spellEnd"/>
      <w:r w:rsidR="00B65F64" w:rsidRPr="00B65F64">
        <w:rPr>
          <w:rFonts w:ascii="Times New Roman" w:hAnsi="Times New Roman" w:cs="Times New Roman"/>
        </w:rPr>
        <w:t xml:space="preserve"> 0003571-04.2006.8.24.0073, 3ª Câmara de Direito Civil, Relator SAUL STEIL, </w:t>
      </w:r>
      <w:proofErr w:type="spellStart"/>
      <w:r w:rsidR="00B65F64" w:rsidRPr="00B65F64">
        <w:rPr>
          <w:rFonts w:ascii="Times New Roman" w:hAnsi="Times New Roman" w:cs="Times New Roman"/>
        </w:rPr>
        <w:t>DJe</w:t>
      </w:r>
      <w:proofErr w:type="spellEnd"/>
      <w:r w:rsidR="00B65F64" w:rsidRPr="00B65F64">
        <w:rPr>
          <w:rFonts w:ascii="Times New Roman" w:hAnsi="Times New Roman" w:cs="Times New Roman"/>
        </w:rPr>
        <w:t xml:space="preserve"> 12.12.2025]</w:t>
      </w:r>
    </w:p>
    <w:p w14:paraId="7E2012BE" w14:textId="133D1CFB"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A hipótese em julgamento é ainda mais contundente. Enquanto nos casos concretos delimitados nos precedentes acima houve formulação de pedidos ou tentativas patrimoniais, embora ineficazes; na </w:t>
      </w:r>
      <w:proofErr w:type="spellStart"/>
      <w:r w:rsidRPr="002726B5">
        <w:rPr>
          <w:rFonts w:ascii="Times New Roman" w:hAnsi="Times New Roman" w:cs="Times New Roman"/>
          <w:i/>
          <w:iCs/>
        </w:rPr>
        <w:t>specie</w:t>
      </w:r>
      <w:proofErr w:type="spellEnd"/>
      <w:r w:rsidRPr="002726B5">
        <w:rPr>
          <w:rFonts w:ascii="Times New Roman" w:hAnsi="Times New Roman" w:cs="Times New Roman"/>
          <w:i/>
          <w:iCs/>
        </w:rPr>
        <w:t xml:space="preserve"> sub lide</w:t>
      </w:r>
      <w:r w:rsidRPr="00B65F64">
        <w:rPr>
          <w:rFonts w:ascii="Times New Roman" w:hAnsi="Times New Roman" w:cs="Times New Roman"/>
        </w:rPr>
        <w:t>, durante lapso temporal decisivo prolongado, superior a 8 anos, não houve sequer pedido de constrição patrimonial!</w:t>
      </w:r>
    </w:p>
    <w:p w14:paraId="428665F9" w14:textId="2A8D80A2"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Insta pontuar que a paralisação do processo jamais poderá ser atribuída ao mecanismo judiciário, tendo em vista que antes do arquivamento, os credores foram regularmente intimados para atualizar a memória e impulsionar a execução; permaneceram silentes, e o decurso do prazo foi certificado. </w:t>
      </w:r>
    </w:p>
    <w:p w14:paraId="0D782D4D" w14:textId="579F1EC5"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Nada havia a ser apreciado porque nada havia sido postulado pela parte em cujo interesse se desenvolvia a atividade executiva [CPC, art. 797, </w:t>
      </w:r>
      <w:r w:rsidRPr="002726B5">
        <w:rPr>
          <w:rFonts w:ascii="Times New Roman" w:hAnsi="Times New Roman" w:cs="Times New Roman"/>
          <w:i/>
          <w:iCs/>
        </w:rPr>
        <w:t>caput</w:t>
      </w:r>
      <w:r w:rsidRPr="00B65F64">
        <w:rPr>
          <w:rFonts w:ascii="Times New Roman" w:hAnsi="Times New Roman" w:cs="Times New Roman"/>
        </w:rPr>
        <w:t>].</w:t>
      </w:r>
    </w:p>
    <w:p w14:paraId="6BDF07D3" w14:textId="6BEBAA3A"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Bem por isso a Súmula 106 do STJ não guarda pertinência com o caso em tela, por real dissociação entre fatos jurídicos, visto que a prescrição nestes autos não decorreu de demora na prática de ato processual requerido oportunamente, mas da ausência completa de pedido dos próprios credores durante quase uma década.</w:t>
      </w:r>
    </w:p>
    <w:p w14:paraId="2D01C99A" w14:textId="620930AB"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O contraditório específico foi plenamente observado antes da sentença [Eventos </w:t>
      </w:r>
      <w:r w:rsidR="002726B5">
        <w:rPr>
          <w:rFonts w:ascii="Times New Roman" w:hAnsi="Times New Roman" w:cs="Times New Roman"/>
        </w:rPr>
        <w:t>...</w:t>
      </w:r>
      <w:r w:rsidRPr="00B65F64">
        <w:rPr>
          <w:rFonts w:ascii="Times New Roman" w:hAnsi="Times New Roman" w:cs="Times New Roman"/>
        </w:rPr>
        <w:t>]. A exigência firmada no Tema IAC n. 1 do STJ foi, em vista disso, satisfeita, inexistindo decisão-surpresa ou nulidade procedimental.</w:t>
      </w:r>
    </w:p>
    <w:p w14:paraId="66D96CBD" w14:textId="159CFBB9"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Por conseguinte, haverá de ser mantida a v. sentença apelada por seus próprios termos, diante da manifesta e inquestionável ocorrência do instituto da prescrição intercorrente.</w:t>
      </w:r>
    </w:p>
    <w:p w14:paraId="4612CFFE" w14:textId="1D512693" w:rsidR="00B65F64" w:rsidRPr="002726B5" w:rsidRDefault="00B65F64" w:rsidP="00B65F64">
      <w:pPr>
        <w:ind w:right="-568"/>
        <w:jc w:val="both"/>
        <w:rPr>
          <w:rFonts w:ascii="Times New Roman" w:hAnsi="Times New Roman" w:cs="Times New Roman"/>
          <w:b/>
          <w:bCs/>
        </w:rPr>
      </w:pPr>
      <w:r w:rsidRPr="002726B5">
        <w:rPr>
          <w:rFonts w:ascii="Times New Roman" w:hAnsi="Times New Roman" w:cs="Times New Roman"/>
          <w:b/>
          <w:bCs/>
        </w:rPr>
        <w:t xml:space="preserve">III.3- O PAGAMENTO PARCIAL REALIZADO EM </w:t>
      </w:r>
      <w:r w:rsidR="002726B5" w:rsidRPr="002726B5">
        <w:rPr>
          <w:rFonts w:ascii="Times New Roman" w:hAnsi="Times New Roman" w:cs="Times New Roman"/>
          <w:b/>
          <w:bCs/>
        </w:rPr>
        <w:t xml:space="preserve">... </w:t>
      </w:r>
      <w:r w:rsidRPr="002726B5">
        <w:rPr>
          <w:rFonts w:ascii="Times New Roman" w:hAnsi="Times New Roman" w:cs="Times New Roman"/>
          <w:b/>
          <w:bCs/>
        </w:rPr>
        <w:t>NÃO CONSTITUI MARCO INTERRUPTIVO DA PRESCRIÇÃO</w:t>
      </w:r>
    </w:p>
    <w:p w14:paraId="77C8B5A6" w14:textId="2917BE65"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Sem quebra de reverência, o </w:t>
      </w:r>
      <w:r w:rsidRPr="00B65F64">
        <w:rPr>
          <w:rFonts w:ascii="Times New Roman" w:hAnsi="Times New Roman" w:cs="Times New Roman"/>
        </w:rPr>
        <w:tab/>
        <w:t xml:space="preserve">depósito do capital segurado realizado pela </w:t>
      </w:r>
      <w:r w:rsidR="002726B5">
        <w:rPr>
          <w:rFonts w:ascii="Times New Roman" w:hAnsi="Times New Roman" w:cs="Times New Roman"/>
        </w:rPr>
        <w:t>...</w:t>
      </w:r>
      <w:r w:rsidRPr="00B65F64">
        <w:rPr>
          <w:rFonts w:ascii="Times New Roman" w:hAnsi="Times New Roman" w:cs="Times New Roman"/>
        </w:rPr>
        <w:t xml:space="preserve"> em </w:t>
      </w:r>
      <w:r w:rsidR="002726B5">
        <w:rPr>
          <w:rFonts w:ascii="Times New Roman" w:hAnsi="Times New Roman" w:cs="Times New Roman"/>
        </w:rPr>
        <w:t>...</w:t>
      </w:r>
      <w:r w:rsidRPr="00B65F64">
        <w:rPr>
          <w:rFonts w:ascii="Times New Roman" w:hAnsi="Times New Roman" w:cs="Times New Roman"/>
        </w:rPr>
        <w:t xml:space="preserve"> é cronologicamente incapaz de produzir o efeito pretendido pelos apelantes. O ato antecedeu tanto o trânsito em julgado do acórdão quanto a própria instauração do cumprimento definitivo de sentença.</w:t>
      </w:r>
    </w:p>
    <w:p w14:paraId="7D6B1CE6" w14:textId="1CE62374"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O mencionado depósito judicial antecedeu em quase 3 anos a r. decisão interlocutória e o efetivo arquivamento do processo decorrente da inércia qualificada dos credores, efetivado e </w:t>
      </w:r>
      <w:r w:rsidRPr="00B65F64">
        <w:rPr>
          <w:rFonts w:ascii="Times New Roman" w:hAnsi="Times New Roman" w:cs="Times New Roman"/>
        </w:rPr>
        <w:lastRenderedPageBreak/>
        <w:t xml:space="preserve">certificado no processo em </w:t>
      </w:r>
      <w:r w:rsidR="002726B5">
        <w:rPr>
          <w:rFonts w:ascii="Times New Roman" w:hAnsi="Times New Roman" w:cs="Times New Roman"/>
        </w:rPr>
        <w:t>...</w:t>
      </w:r>
      <w:r w:rsidRPr="00B65F64">
        <w:rPr>
          <w:rFonts w:ascii="Times New Roman" w:hAnsi="Times New Roman" w:cs="Times New Roman"/>
        </w:rPr>
        <w:t>, deflagrando o início da contagem do prazo prescricional intercorrente.</w:t>
      </w:r>
    </w:p>
    <w:p w14:paraId="7605702C" w14:textId="43EAD023"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Sendo assim, </w:t>
      </w:r>
      <w:r w:rsidRPr="002726B5">
        <w:rPr>
          <w:rFonts w:ascii="Times New Roman" w:hAnsi="Times New Roman" w:cs="Times New Roman"/>
          <w:i/>
          <w:iCs/>
        </w:rPr>
        <w:t xml:space="preserve">data </w:t>
      </w:r>
      <w:proofErr w:type="spellStart"/>
      <w:r w:rsidRPr="002726B5">
        <w:rPr>
          <w:rFonts w:ascii="Times New Roman" w:hAnsi="Times New Roman" w:cs="Times New Roman"/>
          <w:i/>
          <w:iCs/>
        </w:rPr>
        <w:t>venia</w:t>
      </w:r>
      <w:proofErr w:type="spellEnd"/>
      <w:r w:rsidRPr="00B65F64">
        <w:rPr>
          <w:rFonts w:ascii="Times New Roman" w:hAnsi="Times New Roman" w:cs="Times New Roman"/>
        </w:rPr>
        <w:t>, não se interrompe prazo prescricional ainda inexistente, nem se projeta indefinidamente sobre o futuro eventual efeito interruptivo ocorrido em momento anterior ao nascimento do lapso intercorrente.</w:t>
      </w:r>
    </w:p>
    <w:p w14:paraId="1541A76F" w14:textId="223FB4FE"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À guisa de ilustração, basta a simples leitura da conjugação de datas:</w:t>
      </w:r>
    </w:p>
    <w:p w14:paraId="143C8823" w14:textId="0DA1DE1A" w:rsidR="00B65F64" w:rsidRPr="00B65F64" w:rsidRDefault="002726B5" w:rsidP="00B65F64">
      <w:pPr>
        <w:ind w:right="-568"/>
        <w:jc w:val="both"/>
        <w:rPr>
          <w:rFonts w:ascii="Times New Roman" w:hAnsi="Times New Roman" w:cs="Times New Roman"/>
        </w:rPr>
      </w:pPr>
      <w:r>
        <w:rPr>
          <w:rFonts w:ascii="Times New Roman" w:hAnsi="Times New Roman" w:cs="Times New Roman"/>
        </w:rPr>
        <w:t xml:space="preserve">- </w:t>
      </w:r>
      <w:proofErr w:type="gramStart"/>
      <w:r w:rsidR="00B65F64" w:rsidRPr="00B65F64">
        <w:rPr>
          <w:rFonts w:ascii="Times New Roman" w:hAnsi="Times New Roman" w:cs="Times New Roman"/>
        </w:rPr>
        <w:t>depósito</w:t>
      </w:r>
      <w:proofErr w:type="gramEnd"/>
      <w:r w:rsidR="00B65F64" w:rsidRPr="00B65F64">
        <w:rPr>
          <w:rFonts w:ascii="Times New Roman" w:hAnsi="Times New Roman" w:cs="Times New Roman"/>
        </w:rPr>
        <w:t xml:space="preserve"> em juízo do capital segurado pela </w:t>
      </w:r>
      <w:r>
        <w:rPr>
          <w:rFonts w:ascii="Times New Roman" w:hAnsi="Times New Roman" w:cs="Times New Roman"/>
        </w:rPr>
        <w:t>...</w:t>
      </w:r>
      <w:r w:rsidR="00B65F64" w:rsidRPr="00B65F64">
        <w:rPr>
          <w:rFonts w:ascii="Times New Roman" w:hAnsi="Times New Roman" w:cs="Times New Roman"/>
        </w:rPr>
        <w:t xml:space="preserve"> Companhia de Seguros em </w:t>
      </w:r>
      <w:r>
        <w:rPr>
          <w:rFonts w:ascii="Times New Roman" w:hAnsi="Times New Roman" w:cs="Times New Roman"/>
        </w:rPr>
        <w:t>...</w:t>
      </w:r>
      <w:r w:rsidR="00B65F64" w:rsidRPr="00B65F64">
        <w:rPr>
          <w:rFonts w:ascii="Times New Roman" w:hAnsi="Times New Roman" w:cs="Times New Roman"/>
        </w:rPr>
        <w:t xml:space="preserve"> [Evento </w:t>
      </w:r>
      <w:r>
        <w:rPr>
          <w:rFonts w:ascii="Times New Roman" w:hAnsi="Times New Roman" w:cs="Times New Roman"/>
        </w:rPr>
        <w:t>...</w:t>
      </w:r>
      <w:r w:rsidR="00B65F64" w:rsidRPr="00B65F64">
        <w:rPr>
          <w:rFonts w:ascii="Times New Roman" w:hAnsi="Times New Roman" w:cs="Times New Roman"/>
        </w:rPr>
        <w:t>], e;</w:t>
      </w:r>
    </w:p>
    <w:p w14:paraId="713F5013" w14:textId="5741A525" w:rsidR="00B65F64" w:rsidRPr="00B65F64" w:rsidRDefault="002726B5" w:rsidP="00B65F64">
      <w:pPr>
        <w:ind w:right="-568"/>
        <w:jc w:val="both"/>
        <w:rPr>
          <w:rFonts w:ascii="Times New Roman" w:hAnsi="Times New Roman" w:cs="Times New Roman"/>
        </w:rPr>
      </w:pPr>
      <w:r>
        <w:rPr>
          <w:rFonts w:ascii="Times New Roman" w:hAnsi="Times New Roman" w:cs="Times New Roman"/>
        </w:rPr>
        <w:t xml:space="preserve">- </w:t>
      </w:r>
      <w:proofErr w:type="gramStart"/>
      <w:r w:rsidR="00B65F64" w:rsidRPr="00B65F64">
        <w:rPr>
          <w:rFonts w:ascii="Times New Roman" w:hAnsi="Times New Roman" w:cs="Times New Roman"/>
        </w:rPr>
        <w:t>constatada</w:t>
      </w:r>
      <w:proofErr w:type="gramEnd"/>
      <w:r w:rsidR="00B65F64" w:rsidRPr="00B65F64">
        <w:rPr>
          <w:rFonts w:ascii="Times New Roman" w:hAnsi="Times New Roman" w:cs="Times New Roman"/>
        </w:rPr>
        <w:t xml:space="preserve"> a desídia dos credores e proferida decisão interlocutória determinando arquivamento do processo em </w:t>
      </w:r>
      <w:r>
        <w:rPr>
          <w:rFonts w:ascii="Times New Roman" w:hAnsi="Times New Roman" w:cs="Times New Roman"/>
        </w:rPr>
        <w:t>...</w:t>
      </w:r>
      <w:r w:rsidR="00B65F64" w:rsidRPr="00B65F64">
        <w:rPr>
          <w:rFonts w:ascii="Times New Roman" w:hAnsi="Times New Roman" w:cs="Times New Roman"/>
        </w:rPr>
        <w:t xml:space="preserve"> [Evento </w:t>
      </w:r>
      <w:r>
        <w:rPr>
          <w:rFonts w:ascii="Times New Roman" w:hAnsi="Times New Roman" w:cs="Times New Roman"/>
        </w:rPr>
        <w:t>...</w:t>
      </w:r>
      <w:r w:rsidR="00B65F64" w:rsidRPr="00B65F64">
        <w:rPr>
          <w:rFonts w:ascii="Times New Roman" w:hAnsi="Times New Roman" w:cs="Times New Roman"/>
        </w:rPr>
        <w:t>].</w:t>
      </w:r>
    </w:p>
    <w:p w14:paraId="1E95B32F" w14:textId="3FE37C8B"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Além disso, a seguradora satisfez obrigação própria e limitada ao capital segurado, nos estritos limites da denunciação da lide. O depósito em juízo não traduz reconhecimento inequívoco, pelos demais coexecutados, do saldo posteriormente perseguido, nem constitui causa interruptiva projetada indefinidamente sobre período futuro de inércia [Código Civil, art. 202, VI].</w:t>
      </w:r>
    </w:p>
    <w:p w14:paraId="786B7EC6" w14:textId="12EB3209"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Pela mesma razão, as providências formuladas somente após o desarquivamento realizado de ofício pela serventia judicial em </w:t>
      </w:r>
      <w:r w:rsidR="002726B5">
        <w:rPr>
          <w:rFonts w:ascii="Times New Roman" w:hAnsi="Times New Roman" w:cs="Times New Roman"/>
        </w:rPr>
        <w:t>...</w:t>
      </w:r>
      <w:r w:rsidRPr="00B65F64">
        <w:rPr>
          <w:rFonts w:ascii="Times New Roman" w:hAnsi="Times New Roman" w:cs="Times New Roman"/>
        </w:rPr>
        <w:t xml:space="preserve"> não possuem eficácia retroativa. Uma vez consumada a prescrição intercorrente, requerimentos posteriores, pesquisas patrimoniais, tentativas de intimação ou quaisquer outros atos destinados à satisfação do crédito não possuem aptidão para restabelecer pretensão já extinta e definitivamente fulminada pela prescrição</w:t>
      </w:r>
    </w:p>
    <w:p w14:paraId="3A72097F" w14:textId="63EB49ED"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Ademais, o colendo SUPERIOR TRIBUNAL DE JUSTIÇA, inclusive, assentou que a prática posterior de atos processuais não impede a declaração da prescrição anteriormente perfectibilizada, </w:t>
      </w:r>
      <w:r w:rsidRPr="002726B5">
        <w:rPr>
          <w:rFonts w:ascii="Times New Roman" w:hAnsi="Times New Roman" w:cs="Times New Roman"/>
          <w:i/>
          <w:iCs/>
        </w:rPr>
        <w:t>in litteris</w:t>
      </w:r>
      <w:r w:rsidRPr="00B65F64">
        <w:rPr>
          <w:rFonts w:ascii="Times New Roman" w:hAnsi="Times New Roman" w:cs="Times New Roman"/>
        </w:rPr>
        <w:t>: “</w:t>
      </w:r>
      <w:r w:rsidRPr="002726B5">
        <w:rPr>
          <w:rFonts w:ascii="Times New Roman" w:hAnsi="Times New Roman" w:cs="Times New Roman"/>
          <w:i/>
          <w:iCs/>
        </w:rPr>
        <w:t>Prática de atos processuais pelo juízo não impede verificação e declaração de prescrição consumada em momento anterior</w:t>
      </w:r>
      <w:r w:rsidRPr="00B65F64">
        <w:rPr>
          <w:rFonts w:ascii="Times New Roman" w:hAnsi="Times New Roman" w:cs="Times New Roman"/>
        </w:rPr>
        <w:t>” [STJ, REsp n. 2.246.503/MG, Rel. Min. Moura Ribeiro, Terceira Turma, DJEN 15.05.2026].</w:t>
      </w:r>
    </w:p>
    <w:p w14:paraId="718976EA" w14:textId="77777777" w:rsidR="00B65F64" w:rsidRPr="002726B5" w:rsidRDefault="00B65F64" w:rsidP="00B65F64">
      <w:pPr>
        <w:ind w:right="-568"/>
        <w:jc w:val="both"/>
        <w:rPr>
          <w:rFonts w:ascii="Times New Roman" w:hAnsi="Times New Roman" w:cs="Times New Roman"/>
          <w:b/>
          <w:bCs/>
        </w:rPr>
      </w:pPr>
      <w:r w:rsidRPr="002726B5">
        <w:rPr>
          <w:rFonts w:ascii="Times New Roman" w:hAnsi="Times New Roman" w:cs="Times New Roman"/>
          <w:b/>
          <w:bCs/>
        </w:rPr>
        <w:t>III.4- A NATUREZA INDENIZATÓRIA E SUCESSIVA DO PENSIONAMENTO NÃO TORNA IMPRESCRITÍVEL A EXECUÇÃO</w:t>
      </w:r>
    </w:p>
    <w:p w14:paraId="46485CF4" w14:textId="547FEDF3"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É incontroverso que a função alimentar atribuída ao pensionamento indenizatório não converte a pretensão executória em direito imprescritível. O caráter sucessivo da obrigação apenas individualiza a exigibilidade das prestações à medida que se vencem, não autorizando a manutenção indefinida de um cumprimento de sentença abandonado por período superior ao prazo prescricional aplicável.</w:t>
      </w:r>
    </w:p>
    <w:p w14:paraId="11EC8E74" w14:textId="4AD86FD9"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Conquanto se reconheça o caráter sucessivo da obrigação, essa circunstância não tem o condão de afastar a prescrição intercorrente da execução como um todo quando caracterizada a inércia qualificada e prolongada do credor.</w:t>
      </w:r>
    </w:p>
    <w:p w14:paraId="1693F248" w14:textId="77777777" w:rsidR="002726B5" w:rsidRDefault="00B65F64" w:rsidP="00B65F64">
      <w:pPr>
        <w:ind w:right="-568"/>
        <w:jc w:val="both"/>
        <w:rPr>
          <w:rFonts w:ascii="Times New Roman" w:hAnsi="Times New Roman" w:cs="Times New Roman"/>
        </w:rPr>
      </w:pPr>
      <w:r w:rsidRPr="00B65F64">
        <w:rPr>
          <w:rFonts w:ascii="Times New Roman" w:hAnsi="Times New Roman" w:cs="Times New Roman"/>
        </w:rPr>
        <w:t>Isso porque o mencionado instituto jurídico incide sobre a própria pretensão executória quando abandonada por prazo superior ao limite legal.</w:t>
      </w:r>
    </w:p>
    <w:p w14:paraId="735BC902" w14:textId="77777777" w:rsidR="002726B5" w:rsidRDefault="002726B5" w:rsidP="00B65F64">
      <w:pPr>
        <w:ind w:right="-568"/>
        <w:jc w:val="both"/>
        <w:rPr>
          <w:rFonts w:ascii="Times New Roman" w:hAnsi="Times New Roman" w:cs="Times New Roman"/>
        </w:rPr>
      </w:pPr>
    </w:p>
    <w:p w14:paraId="0B5D3D42" w14:textId="233B50A8"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lastRenderedPageBreak/>
        <w:t>Inadmissível, portanto, a tese adotada pelos apelantes, sob pena de permitir neste processado a perpetuação indefinida da execução, eternizá-la em frontal violação aos princípios da segurança jurídica e da duração razoável do processo. Resumidamente, a natureza da obrigação não constitui óbice ao reconhecimento da prescrição intercorrente, tampouco autoriza revitalizar um processo fulminado pela prescrição intercorrente pelo abandono de quase uma década.</w:t>
      </w:r>
    </w:p>
    <w:p w14:paraId="1303D00A" w14:textId="3ECF4E57" w:rsidR="00B65F64" w:rsidRPr="002726B5" w:rsidRDefault="00B65F64" w:rsidP="00B65F64">
      <w:pPr>
        <w:ind w:right="-568"/>
        <w:jc w:val="both"/>
        <w:rPr>
          <w:rFonts w:ascii="Times New Roman" w:hAnsi="Times New Roman" w:cs="Times New Roman"/>
          <w:b/>
          <w:bCs/>
        </w:rPr>
      </w:pPr>
      <w:r w:rsidRPr="002726B5">
        <w:rPr>
          <w:rFonts w:ascii="Times New Roman" w:hAnsi="Times New Roman" w:cs="Times New Roman"/>
          <w:b/>
          <w:bCs/>
        </w:rPr>
        <w:t>IV-</w:t>
      </w:r>
      <w:r w:rsidR="002726B5" w:rsidRPr="002726B5">
        <w:rPr>
          <w:rFonts w:ascii="Times New Roman" w:hAnsi="Times New Roman" w:cs="Times New Roman"/>
          <w:b/>
          <w:bCs/>
        </w:rPr>
        <w:t xml:space="preserve"> </w:t>
      </w:r>
      <w:r w:rsidRPr="002726B5">
        <w:rPr>
          <w:rFonts w:ascii="Times New Roman" w:hAnsi="Times New Roman" w:cs="Times New Roman"/>
          <w:b/>
          <w:bCs/>
        </w:rPr>
        <w:t>CONCLUSÃO</w:t>
      </w:r>
    </w:p>
    <w:p w14:paraId="7C9E5535" w14:textId="6C412BAC"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Eminentes Desembargadores,</w:t>
      </w:r>
      <w:r w:rsidR="002726B5">
        <w:rPr>
          <w:rFonts w:ascii="Times New Roman" w:hAnsi="Times New Roman" w:cs="Times New Roman"/>
        </w:rPr>
        <w:t xml:space="preserve"> </w:t>
      </w:r>
      <w:r w:rsidRPr="00B65F64">
        <w:rPr>
          <w:rFonts w:ascii="Times New Roman" w:hAnsi="Times New Roman" w:cs="Times New Roman"/>
        </w:rPr>
        <w:t xml:space="preserve">A sequência cronológica dos atos processuais é documentalmente comprovada e substancialmente incontroversa, não tendo os apelantes impugnado, de modo específico, os marcos fáticos que sustentam a </w:t>
      </w:r>
      <w:proofErr w:type="spellStart"/>
      <w:r w:rsidRPr="002726B5">
        <w:rPr>
          <w:rFonts w:ascii="Times New Roman" w:hAnsi="Times New Roman" w:cs="Times New Roman"/>
          <w:i/>
          <w:iCs/>
        </w:rPr>
        <w:t>ratio</w:t>
      </w:r>
      <w:proofErr w:type="spellEnd"/>
      <w:r w:rsidRPr="002726B5">
        <w:rPr>
          <w:rFonts w:ascii="Times New Roman" w:hAnsi="Times New Roman" w:cs="Times New Roman"/>
          <w:i/>
          <w:iCs/>
        </w:rPr>
        <w:t xml:space="preserve"> </w:t>
      </w:r>
      <w:proofErr w:type="spellStart"/>
      <w:r w:rsidRPr="002726B5">
        <w:rPr>
          <w:rFonts w:ascii="Times New Roman" w:hAnsi="Times New Roman" w:cs="Times New Roman"/>
          <w:i/>
          <w:iCs/>
        </w:rPr>
        <w:t>decidendi</w:t>
      </w:r>
      <w:proofErr w:type="spellEnd"/>
      <w:r w:rsidRPr="00B65F64">
        <w:rPr>
          <w:rFonts w:ascii="Times New Roman" w:hAnsi="Times New Roman" w:cs="Times New Roman"/>
        </w:rPr>
        <w:t xml:space="preserve"> da v. sentença apelada.</w:t>
      </w:r>
    </w:p>
    <w:p w14:paraId="34021627" w14:textId="24690F84"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Como exaustivamente demonstrado alhures, os exequentes/apelantes foram regularmente intimados em </w:t>
      </w:r>
      <w:r w:rsidR="002726B5">
        <w:rPr>
          <w:rFonts w:ascii="Times New Roman" w:hAnsi="Times New Roman" w:cs="Times New Roman"/>
        </w:rPr>
        <w:t>...</w:t>
      </w:r>
      <w:r w:rsidRPr="00B65F64">
        <w:rPr>
          <w:rFonts w:ascii="Times New Roman" w:hAnsi="Times New Roman" w:cs="Times New Roman"/>
        </w:rPr>
        <w:t xml:space="preserve"> para atualizarem o débito e promoverem o regular prosseguimento da fase executiva [Evento </w:t>
      </w:r>
      <w:r w:rsidR="002726B5">
        <w:rPr>
          <w:rFonts w:ascii="Times New Roman" w:hAnsi="Times New Roman" w:cs="Times New Roman"/>
        </w:rPr>
        <w:t>...</w:t>
      </w:r>
      <w:r w:rsidRPr="00B65F64">
        <w:rPr>
          <w:rFonts w:ascii="Times New Roman" w:hAnsi="Times New Roman" w:cs="Times New Roman"/>
        </w:rPr>
        <w:t xml:space="preserve">]. Nada obstante, deixaram transcorrer </w:t>
      </w:r>
      <w:r w:rsidRPr="002726B5">
        <w:rPr>
          <w:rFonts w:ascii="Times New Roman" w:hAnsi="Times New Roman" w:cs="Times New Roman"/>
          <w:i/>
          <w:iCs/>
        </w:rPr>
        <w:t>in albis</w:t>
      </w:r>
      <w:r w:rsidRPr="00B65F64">
        <w:rPr>
          <w:rFonts w:ascii="Times New Roman" w:hAnsi="Times New Roman" w:cs="Times New Roman"/>
        </w:rPr>
        <w:t xml:space="preserve"> o prazo que lhes foi concedido, circunstância que ensejou a determinação de arquivamento do processo em </w:t>
      </w:r>
      <w:r w:rsidR="002726B5">
        <w:rPr>
          <w:rFonts w:ascii="Times New Roman" w:hAnsi="Times New Roman" w:cs="Times New Roman"/>
        </w:rPr>
        <w:t>...</w:t>
      </w:r>
      <w:r w:rsidRPr="00B65F64">
        <w:rPr>
          <w:rFonts w:ascii="Times New Roman" w:hAnsi="Times New Roman" w:cs="Times New Roman"/>
        </w:rPr>
        <w:t xml:space="preserve">, efetivamente certificada no dia seguinte [Evento </w:t>
      </w:r>
      <w:r w:rsidR="002726B5">
        <w:rPr>
          <w:rFonts w:ascii="Times New Roman" w:hAnsi="Times New Roman" w:cs="Times New Roman"/>
        </w:rPr>
        <w:t>...</w:t>
      </w:r>
      <w:r w:rsidRPr="00B65F64">
        <w:rPr>
          <w:rFonts w:ascii="Times New Roman" w:hAnsi="Times New Roman" w:cs="Times New Roman"/>
        </w:rPr>
        <w:t>].</w:t>
      </w:r>
    </w:p>
    <w:p w14:paraId="00AF33B4" w14:textId="11A65955"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Desde então, instaurou-se prolongado período de absoluta inatividade processual, sem apresentação de petição, indicação de bens, requerimento de constrição patrimonial ou adoção de qualquer providência concretamente útil à satisfação do crédito, cuja realidade somente foi alterada em </w:t>
      </w:r>
      <w:r w:rsidR="002726B5">
        <w:rPr>
          <w:rFonts w:ascii="Times New Roman" w:hAnsi="Times New Roman" w:cs="Times New Roman"/>
        </w:rPr>
        <w:t>...</w:t>
      </w:r>
      <w:r w:rsidRPr="00B65F64">
        <w:rPr>
          <w:rFonts w:ascii="Times New Roman" w:hAnsi="Times New Roman" w:cs="Times New Roman"/>
        </w:rPr>
        <w:t xml:space="preserve"> por iniciativa própria da serventia judicial, não dos credores [Evento </w:t>
      </w:r>
      <w:r w:rsidR="002726B5">
        <w:rPr>
          <w:rFonts w:ascii="Times New Roman" w:hAnsi="Times New Roman" w:cs="Times New Roman"/>
        </w:rPr>
        <w:t>...</w:t>
      </w:r>
      <w:r w:rsidRPr="00B65F64">
        <w:rPr>
          <w:rFonts w:ascii="Times New Roman" w:hAnsi="Times New Roman" w:cs="Times New Roman"/>
        </w:rPr>
        <w:t>].</w:t>
      </w:r>
    </w:p>
    <w:p w14:paraId="7432F82F" w14:textId="6C17DE91" w:rsidR="00B65F64" w:rsidRPr="00B65F64" w:rsidRDefault="00B65F64" w:rsidP="00B65F64">
      <w:pPr>
        <w:ind w:right="-568"/>
        <w:jc w:val="both"/>
        <w:rPr>
          <w:rFonts w:ascii="Times New Roman" w:hAnsi="Times New Roman" w:cs="Times New Roman"/>
        </w:rPr>
      </w:pPr>
      <w:r w:rsidRPr="00B65F64">
        <w:rPr>
          <w:rFonts w:ascii="Times New Roman" w:hAnsi="Times New Roman" w:cs="Times New Roman"/>
        </w:rPr>
        <w:t xml:space="preserve">Assim, diante da paralisação superior a 8 anos - injustificada e exclusivamente imputável aos apelantes-, por lapso muito superior ao prazo prescricional aplicável, evidencia-se a inequívoca inércia qualificada dos credores, impondo, por consequência, a manutenção da v. sentença apelada do Evento </w:t>
      </w:r>
      <w:r w:rsidR="002726B5">
        <w:rPr>
          <w:rFonts w:ascii="Times New Roman" w:hAnsi="Times New Roman" w:cs="Times New Roman"/>
        </w:rPr>
        <w:t>...</w:t>
      </w:r>
      <w:r w:rsidRPr="00B65F64">
        <w:rPr>
          <w:rFonts w:ascii="Times New Roman" w:hAnsi="Times New Roman" w:cs="Times New Roman"/>
        </w:rPr>
        <w:t>, que reconheceu a prescrição intercorrente e extinguiu o processo com resolução do mérito</w:t>
      </w:r>
      <w:r w:rsidR="002726B5">
        <w:rPr>
          <w:rFonts w:ascii="Times New Roman" w:hAnsi="Times New Roman" w:cs="Times New Roman"/>
        </w:rPr>
        <w:t>.</w:t>
      </w:r>
    </w:p>
    <w:p w14:paraId="62681C9C" w14:textId="3CB27901" w:rsidR="00B65F64" w:rsidRPr="002726B5" w:rsidRDefault="00B65F64" w:rsidP="00B65F64">
      <w:pPr>
        <w:ind w:right="-568"/>
        <w:jc w:val="both"/>
        <w:rPr>
          <w:rFonts w:ascii="Times New Roman" w:hAnsi="Times New Roman" w:cs="Times New Roman"/>
          <w:b/>
          <w:bCs/>
        </w:rPr>
      </w:pPr>
      <w:r w:rsidRPr="002726B5">
        <w:rPr>
          <w:rFonts w:ascii="Times New Roman" w:hAnsi="Times New Roman" w:cs="Times New Roman"/>
          <w:b/>
          <w:bCs/>
        </w:rPr>
        <w:t>V-</w:t>
      </w:r>
      <w:r w:rsidR="002726B5" w:rsidRPr="002726B5">
        <w:rPr>
          <w:rFonts w:ascii="Times New Roman" w:hAnsi="Times New Roman" w:cs="Times New Roman"/>
          <w:b/>
          <w:bCs/>
        </w:rPr>
        <w:t xml:space="preserve"> </w:t>
      </w:r>
      <w:r w:rsidRPr="002726B5">
        <w:rPr>
          <w:rFonts w:ascii="Times New Roman" w:hAnsi="Times New Roman" w:cs="Times New Roman"/>
          <w:b/>
          <w:bCs/>
        </w:rPr>
        <w:t>PEDIDOS</w:t>
      </w:r>
    </w:p>
    <w:p w14:paraId="5C49C185" w14:textId="5D03403F" w:rsidR="00B65F64" w:rsidRPr="00B65F64" w:rsidRDefault="00B65F64" w:rsidP="00B65F64">
      <w:pPr>
        <w:ind w:right="-568"/>
        <w:jc w:val="both"/>
        <w:rPr>
          <w:rFonts w:ascii="Times New Roman" w:hAnsi="Times New Roman" w:cs="Times New Roman"/>
        </w:rPr>
      </w:pPr>
      <w:proofErr w:type="spellStart"/>
      <w:r w:rsidRPr="002726B5">
        <w:rPr>
          <w:rFonts w:ascii="Times New Roman" w:hAnsi="Times New Roman" w:cs="Times New Roman"/>
          <w:b/>
          <w:bCs/>
          <w:i/>
          <w:iCs/>
        </w:rPr>
        <w:t>Ex</w:t>
      </w:r>
      <w:proofErr w:type="spellEnd"/>
      <w:r w:rsidRPr="002726B5">
        <w:rPr>
          <w:rFonts w:ascii="Times New Roman" w:hAnsi="Times New Roman" w:cs="Times New Roman"/>
          <w:b/>
          <w:bCs/>
          <w:i/>
          <w:iCs/>
        </w:rPr>
        <w:t xml:space="preserve"> positis</w:t>
      </w:r>
      <w:r w:rsidRPr="00B65F64">
        <w:rPr>
          <w:rFonts w:ascii="Times New Roman" w:hAnsi="Times New Roman" w:cs="Times New Roman"/>
        </w:rPr>
        <w:t xml:space="preserve">, os apelados requerem seja REJEITADA A PRELIMINAR DE NULIDADE e, no mérito, NEGADO PROVIMENTO À APELAÇÃO, mantendo-se integralmente a sentença do Evento </w:t>
      </w:r>
      <w:r w:rsidR="002726B5">
        <w:rPr>
          <w:rFonts w:ascii="Times New Roman" w:hAnsi="Times New Roman" w:cs="Times New Roman"/>
        </w:rPr>
        <w:t>...</w:t>
      </w:r>
      <w:r w:rsidRPr="00B65F64">
        <w:rPr>
          <w:rFonts w:ascii="Times New Roman" w:hAnsi="Times New Roman" w:cs="Times New Roman"/>
        </w:rPr>
        <w:t>, que acertadamente reconheceu a prescrição intercorrente e extinguiu o cumprimento de sentença com fundamento no art. 924, V, do CPC.</w:t>
      </w:r>
    </w:p>
    <w:p w14:paraId="1491ECF3" w14:textId="4B02E021" w:rsidR="00B65F64" w:rsidRPr="00B65F64" w:rsidRDefault="00B65F64" w:rsidP="002726B5">
      <w:pPr>
        <w:spacing w:after="0" w:line="240" w:lineRule="auto"/>
        <w:ind w:right="-567"/>
        <w:jc w:val="center"/>
        <w:rPr>
          <w:rFonts w:ascii="Times New Roman" w:hAnsi="Times New Roman" w:cs="Times New Roman"/>
        </w:rPr>
      </w:pPr>
      <w:r w:rsidRPr="00B65F64">
        <w:rPr>
          <w:rFonts w:ascii="Times New Roman" w:hAnsi="Times New Roman" w:cs="Times New Roman"/>
        </w:rPr>
        <w:t>P</w:t>
      </w:r>
      <w:r w:rsidR="002726B5">
        <w:rPr>
          <w:rFonts w:ascii="Times New Roman" w:hAnsi="Times New Roman" w:cs="Times New Roman"/>
        </w:rPr>
        <w:t>ede</w:t>
      </w:r>
      <w:r w:rsidRPr="00B65F64">
        <w:rPr>
          <w:rFonts w:ascii="Times New Roman" w:hAnsi="Times New Roman" w:cs="Times New Roman"/>
        </w:rPr>
        <w:t xml:space="preserve"> Deferimento.</w:t>
      </w:r>
    </w:p>
    <w:p w14:paraId="32849DBC" w14:textId="516305B6" w:rsidR="00B65F64" w:rsidRDefault="002726B5" w:rsidP="002726B5">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2D2A3202" w14:textId="79B1DDC1" w:rsidR="002726B5" w:rsidRPr="00B65F64" w:rsidRDefault="002726B5" w:rsidP="002726B5">
      <w:pPr>
        <w:spacing w:after="0" w:line="240" w:lineRule="auto"/>
        <w:ind w:right="-567"/>
        <w:jc w:val="center"/>
        <w:rPr>
          <w:rFonts w:ascii="Times New Roman" w:hAnsi="Times New Roman" w:cs="Times New Roman"/>
        </w:rPr>
      </w:pPr>
      <w:r>
        <w:rPr>
          <w:rFonts w:ascii="Times New Roman" w:hAnsi="Times New Roman" w:cs="Times New Roman"/>
        </w:rPr>
        <w:t>(Assinatura e OAB dos Advogados)</w:t>
      </w:r>
    </w:p>
    <w:sectPr w:rsidR="002726B5" w:rsidRPr="00B65F6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3319E" w14:textId="77777777" w:rsidR="001E5CBE" w:rsidRDefault="001E5CBE" w:rsidP="00B65F64">
      <w:pPr>
        <w:spacing w:after="0" w:line="240" w:lineRule="auto"/>
      </w:pPr>
      <w:r>
        <w:separator/>
      </w:r>
    </w:p>
  </w:endnote>
  <w:endnote w:type="continuationSeparator" w:id="0">
    <w:p w14:paraId="4749844A" w14:textId="77777777" w:rsidR="001E5CBE" w:rsidRDefault="001E5CBE" w:rsidP="00B65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62B78" w14:textId="77777777" w:rsidR="001E5CBE" w:rsidRDefault="001E5CBE" w:rsidP="00B65F64">
      <w:pPr>
        <w:spacing w:after="0" w:line="240" w:lineRule="auto"/>
      </w:pPr>
      <w:r>
        <w:separator/>
      </w:r>
    </w:p>
  </w:footnote>
  <w:footnote w:type="continuationSeparator" w:id="0">
    <w:p w14:paraId="100C719B" w14:textId="77777777" w:rsidR="001E5CBE" w:rsidRDefault="001E5CBE" w:rsidP="00B65F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A1A1E"/>
    <w:multiLevelType w:val="hybridMultilevel"/>
    <w:tmpl w:val="6804BEDA"/>
    <w:lvl w:ilvl="0" w:tplc="D2F6B97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20507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F64"/>
    <w:rsid w:val="001E5CBE"/>
    <w:rsid w:val="002726B5"/>
    <w:rsid w:val="00B65F64"/>
    <w:rsid w:val="00FD03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72C31"/>
  <w15:chartTrackingRefBased/>
  <w15:docId w15:val="{BFB6611C-9554-4857-8058-4506498E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B65F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B65F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B65F6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B65F6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B65F6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B65F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65F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65F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65F64"/>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65F64"/>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B65F64"/>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B65F64"/>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B65F64"/>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B65F64"/>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B65F64"/>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B65F64"/>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B65F64"/>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B65F64"/>
    <w:rPr>
      <w:rFonts w:eastAsiaTheme="majorEastAsia" w:cstheme="majorBidi"/>
      <w:color w:val="272727" w:themeColor="text1" w:themeTint="D8"/>
    </w:rPr>
  </w:style>
  <w:style w:type="paragraph" w:styleId="Ttulo">
    <w:name w:val="Title"/>
    <w:basedOn w:val="Normal"/>
    <w:next w:val="Normal"/>
    <w:link w:val="TtuloChar"/>
    <w:uiPriority w:val="10"/>
    <w:qFormat/>
    <w:rsid w:val="00B65F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65F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B65F64"/>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65F64"/>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B65F64"/>
    <w:pPr>
      <w:spacing w:before="160"/>
      <w:jc w:val="center"/>
    </w:pPr>
    <w:rPr>
      <w:i/>
      <w:iCs/>
      <w:color w:val="404040" w:themeColor="text1" w:themeTint="BF"/>
    </w:rPr>
  </w:style>
  <w:style w:type="character" w:customStyle="1" w:styleId="CitaoChar">
    <w:name w:val="Citação Char"/>
    <w:basedOn w:val="Fontepargpadro"/>
    <w:link w:val="Citao"/>
    <w:uiPriority w:val="29"/>
    <w:rsid w:val="00B65F64"/>
    <w:rPr>
      <w:i/>
      <w:iCs/>
      <w:color w:val="404040" w:themeColor="text1" w:themeTint="BF"/>
    </w:rPr>
  </w:style>
  <w:style w:type="paragraph" w:styleId="PargrafodaLista">
    <w:name w:val="List Paragraph"/>
    <w:basedOn w:val="Normal"/>
    <w:uiPriority w:val="34"/>
    <w:qFormat/>
    <w:rsid w:val="00B65F64"/>
    <w:pPr>
      <w:ind w:left="720"/>
      <w:contextualSpacing/>
    </w:pPr>
  </w:style>
  <w:style w:type="character" w:styleId="nfaseIntensa">
    <w:name w:val="Intense Emphasis"/>
    <w:basedOn w:val="Fontepargpadro"/>
    <w:uiPriority w:val="21"/>
    <w:qFormat/>
    <w:rsid w:val="00B65F64"/>
    <w:rPr>
      <w:i/>
      <w:iCs/>
      <w:color w:val="2F5496" w:themeColor="accent1" w:themeShade="BF"/>
    </w:rPr>
  </w:style>
  <w:style w:type="paragraph" w:styleId="CitaoIntensa">
    <w:name w:val="Intense Quote"/>
    <w:basedOn w:val="Normal"/>
    <w:next w:val="Normal"/>
    <w:link w:val="CitaoIntensaChar"/>
    <w:uiPriority w:val="30"/>
    <w:qFormat/>
    <w:rsid w:val="00B65F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B65F64"/>
    <w:rPr>
      <w:i/>
      <w:iCs/>
      <w:color w:val="2F5496" w:themeColor="accent1" w:themeShade="BF"/>
    </w:rPr>
  </w:style>
  <w:style w:type="character" w:styleId="RefernciaIntensa">
    <w:name w:val="Intense Reference"/>
    <w:basedOn w:val="Fontepargpadro"/>
    <w:uiPriority w:val="32"/>
    <w:qFormat/>
    <w:rsid w:val="00B65F6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11</Pages>
  <Words>4503</Words>
  <Characters>24318</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2026-10-07T21:01:00Z</dcterms:created>
  <dcterms:modified xsi:type="dcterms:W3CDTF">2026-10-07T21:20:00Z</dcterms:modified>
</cp:coreProperties>
</file>