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831A4" w14:textId="77777777" w:rsidR="005040ED" w:rsidRPr="005040ED" w:rsidRDefault="005040ED" w:rsidP="005040E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040ED">
        <w:rPr>
          <w:rFonts w:ascii="Arial Black" w:hAnsi="Arial Black" w:cs="Times New Roman"/>
        </w:rPr>
        <w:t>MODELO DE PETIÇÃO</w:t>
      </w:r>
    </w:p>
    <w:p w14:paraId="0C653061" w14:textId="77777777" w:rsidR="005040ED" w:rsidRPr="005040ED" w:rsidRDefault="005040ED" w:rsidP="005040E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040ED">
        <w:rPr>
          <w:rFonts w:ascii="Arial Black" w:hAnsi="Arial Black" w:cs="Times New Roman"/>
        </w:rPr>
        <w:t>CUMPRIMENTO DE SENTENÇA. PREJUDICIALIDADE EXTERNA.</w:t>
      </w:r>
    </w:p>
    <w:p w14:paraId="20FDBDE0" w14:textId="77777777" w:rsidR="005040ED" w:rsidRPr="005040ED" w:rsidRDefault="005040ED" w:rsidP="005040E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040ED">
        <w:rPr>
          <w:rFonts w:ascii="Arial Black" w:hAnsi="Arial Black" w:cs="Times New Roman"/>
        </w:rPr>
        <w:t>AÇÃO DECLARATÓRIA PENDENTE DE TRÂNSITO EM JULGADO.</w:t>
      </w:r>
    </w:p>
    <w:p w14:paraId="4169FC89" w14:textId="77777777" w:rsidR="005040ED" w:rsidRPr="005040ED" w:rsidRDefault="005040ED" w:rsidP="005040E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040ED">
        <w:rPr>
          <w:rFonts w:ascii="Arial Black" w:hAnsi="Arial Black" w:cs="Times New Roman"/>
        </w:rPr>
        <w:t>IMPOSSIBILIDADE DA MARCHA EXPROPRIATÓRIA. PETIÇÃO</w:t>
      </w:r>
    </w:p>
    <w:p w14:paraId="1A09FC86" w14:textId="77777777" w:rsidR="005040ED" w:rsidRPr="005040ED" w:rsidRDefault="005040ED" w:rsidP="005040ED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5040ED">
        <w:rPr>
          <w:rFonts w:ascii="Arial Black" w:hAnsi="Arial Black" w:cs="Times New Roman"/>
        </w:rPr>
        <w:t>Rénan</w:t>
      </w:r>
      <w:proofErr w:type="spellEnd"/>
      <w:r w:rsidRPr="005040ED">
        <w:rPr>
          <w:rFonts w:ascii="Arial Black" w:hAnsi="Arial Black" w:cs="Times New Roman"/>
        </w:rPr>
        <w:t xml:space="preserve"> </w:t>
      </w:r>
      <w:proofErr w:type="spellStart"/>
      <w:r w:rsidRPr="005040ED">
        <w:rPr>
          <w:rFonts w:ascii="Arial Black" w:hAnsi="Arial Black" w:cs="Times New Roman"/>
        </w:rPr>
        <w:t>Kfuri</w:t>
      </w:r>
      <w:proofErr w:type="spellEnd"/>
      <w:r w:rsidRPr="005040ED">
        <w:rPr>
          <w:rFonts w:ascii="Arial Black" w:hAnsi="Arial Black" w:cs="Times New Roman"/>
        </w:rPr>
        <w:t xml:space="preserve"> Lopes</w:t>
      </w:r>
    </w:p>
    <w:p w14:paraId="0C29519D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</w:p>
    <w:p w14:paraId="282C989A" w14:textId="4F06B84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Exmo. Sr. Juiz de Direito da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ª Vara Cível da Comarca de </w:t>
      </w:r>
      <w:r>
        <w:rPr>
          <w:rFonts w:ascii="Times New Roman" w:hAnsi="Times New Roman" w:cs="Times New Roman"/>
        </w:rPr>
        <w:t>...</w:t>
      </w:r>
    </w:p>
    <w:p w14:paraId="37075B38" w14:textId="0C8CDA9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Cumprimento de Sentença n. </w:t>
      </w:r>
      <w:r>
        <w:rPr>
          <w:rFonts w:ascii="Times New Roman" w:hAnsi="Times New Roman" w:cs="Times New Roman"/>
        </w:rPr>
        <w:t>...</w:t>
      </w:r>
    </w:p>
    <w:p w14:paraId="30433AE7" w14:textId="2C34BE8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Exequente [sub-rogado]: </w:t>
      </w:r>
      <w:r>
        <w:rPr>
          <w:rFonts w:ascii="Times New Roman" w:hAnsi="Times New Roman" w:cs="Times New Roman"/>
        </w:rPr>
        <w:t>...</w:t>
      </w:r>
    </w:p>
    <w:p w14:paraId="1E37754E" w14:textId="68E1E69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Executada: </w:t>
      </w:r>
      <w:r>
        <w:rPr>
          <w:rFonts w:ascii="Times New Roman" w:hAnsi="Times New Roman" w:cs="Times New Roman"/>
        </w:rPr>
        <w:t>...</w:t>
      </w:r>
    </w:p>
    <w:p w14:paraId="5BD32858" w14:textId="4D6075F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Ação Anulatória conexa: </w:t>
      </w:r>
      <w:r>
        <w:rPr>
          <w:rFonts w:ascii="Times New Roman" w:hAnsi="Times New Roman" w:cs="Times New Roman"/>
        </w:rPr>
        <w:t>...</w:t>
      </w:r>
    </w:p>
    <w:p w14:paraId="35688C8B" w14:textId="762BDA1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5040ED">
        <w:rPr>
          <w:rFonts w:ascii="Times New Roman" w:hAnsi="Times New Roman" w:cs="Times New Roman"/>
        </w:rPr>
        <w:t xml:space="preserve">, executada, por seus advogados </w:t>
      </w:r>
      <w:r w:rsidRPr="005040ED">
        <w:rPr>
          <w:rFonts w:ascii="Times New Roman" w:hAnsi="Times New Roman" w:cs="Times New Roman"/>
          <w:i/>
          <w:iCs/>
        </w:rPr>
        <w:t>in fine</w:t>
      </w:r>
      <w:r w:rsidRPr="005040ED">
        <w:rPr>
          <w:rFonts w:ascii="Times New Roman" w:hAnsi="Times New Roman" w:cs="Times New Roman"/>
        </w:rPr>
        <w:t xml:space="preserve"> assinados, nos autos do Cumprimento de Sentença em epígrafe que lhe move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credor sub-rogado, vem, respeitosamente, em atenção ao r. despacho do evento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que lhe abriu vista para que se manifestasse “</w:t>
      </w:r>
      <w:r w:rsidRPr="005040ED">
        <w:rPr>
          <w:rFonts w:ascii="Times New Roman" w:hAnsi="Times New Roman" w:cs="Times New Roman"/>
          <w:i/>
          <w:iCs/>
        </w:rPr>
        <w:t xml:space="preserve">especificamente sobre o pedido de penhora e o valor atualizado do débito (Evento </w:t>
      </w:r>
      <w:r w:rsidRPr="005040ED">
        <w:rPr>
          <w:rFonts w:ascii="Times New Roman" w:hAnsi="Times New Roman" w:cs="Times New Roman"/>
          <w:i/>
          <w:iCs/>
        </w:rPr>
        <w:t>...</w:t>
      </w:r>
      <w:r w:rsidRPr="005040ED">
        <w:rPr>
          <w:rFonts w:ascii="Times New Roman" w:hAnsi="Times New Roman" w:cs="Times New Roman"/>
          <w:i/>
          <w:iCs/>
        </w:rPr>
        <w:t>)</w:t>
      </w:r>
      <w:r w:rsidRPr="005040ED">
        <w:rPr>
          <w:rFonts w:ascii="Times New Roman" w:hAnsi="Times New Roman" w:cs="Times New Roman"/>
        </w:rPr>
        <w:t>”, apresentar tempestivamente a presente</w:t>
      </w:r>
      <w:r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>COM OPOSIÇÃO À PENHORA E À MARCHA EXPROPRIATÓRIA</w:t>
      </w:r>
      <w:r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 xml:space="preserve">E IMPUGNAÇÃO AO CÁLCULO DE R$ </w:t>
      </w:r>
      <w:r>
        <w:rPr>
          <w:rFonts w:ascii="Times New Roman" w:hAnsi="Times New Roman" w:cs="Times New Roman"/>
        </w:rPr>
        <w:t xml:space="preserve">... </w:t>
      </w:r>
      <w:r w:rsidRPr="005040ED">
        <w:rPr>
          <w:rFonts w:ascii="Times New Roman" w:hAnsi="Times New Roman" w:cs="Times New Roman"/>
        </w:rPr>
        <w:t>pelos fatos e fundamentos jurídicos a seguir articulados.</w:t>
      </w:r>
    </w:p>
    <w:p w14:paraId="2C50CB4E" w14:textId="2C070DC4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SUMÁRIO</w:t>
      </w:r>
    </w:p>
    <w:p w14:paraId="7C9A4298" w14:textId="25A7D186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I- Síntese do Pedido do Exequente e do Objeto Desta Manifestação</w:t>
      </w:r>
    </w:p>
    <w:p w14:paraId="3E07EC30" w14:textId="321DD9C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 xml:space="preserve">II- O Quadro Processual: a Ação Anulatória Não Transitou em Julgado – </w:t>
      </w:r>
      <w:proofErr w:type="spellStart"/>
      <w:r w:rsidRPr="005040ED">
        <w:rPr>
          <w:rFonts w:ascii="Times New Roman" w:hAnsi="Times New Roman" w:cs="Times New Roman"/>
          <w:b/>
          <w:bCs/>
        </w:rPr>
        <w:t>AREsp</w:t>
      </w:r>
      <w:proofErr w:type="spellEnd"/>
      <w:r w:rsidRPr="005040ED">
        <w:rPr>
          <w:rFonts w:ascii="Times New Roman" w:hAnsi="Times New Roman" w:cs="Times New Roman"/>
          <w:b/>
          <w:bCs/>
        </w:rPr>
        <w:t xml:space="preserve"> Pendente no STJ</w:t>
      </w:r>
    </w:p>
    <w:p w14:paraId="50FCD1B1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III- O Que Restou Decidido na Ação Anulatória [Sentença e Acórdão do TJSC]</w:t>
      </w:r>
    </w:p>
    <w:p w14:paraId="0E054E7E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III.1- A Nulidade do “</w:t>
      </w:r>
      <w:r w:rsidRPr="005040ED">
        <w:rPr>
          <w:rFonts w:ascii="Times New Roman" w:hAnsi="Times New Roman" w:cs="Times New Roman"/>
          <w:b/>
          <w:bCs/>
          <w:i/>
          <w:iCs/>
        </w:rPr>
        <w:t>Termo de Acordo Extrajudicial</w:t>
      </w:r>
      <w:r w:rsidRPr="005040ED">
        <w:rPr>
          <w:rFonts w:ascii="Times New Roman" w:hAnsi="Times New Roman" w:cs="Times New Roman"/>
          <w:b/>
          <w:bCs/>
        </w:rPr>
        <w:t>” e o Retorno Dominial Condicionado ao Trânsito em Julgado</w:t>
      </w:r>
    </w:p>
    <w:p w14:paraId="7CA0ED6B" w14:textId="1A7F009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 xml:space="preserve">III.2- A Condenação de </w:t>
      </w:r>
      <w:r w:rsidR="002A00D9">
        <w:rPr>
          <w:rFonts w:ascii="Times New Roman" w:hAnsi="Times New Roman" w:cs="Times New Roman"/>
          <w:b/>
          <w:bCs/>
        </w:rPr>
        <w:t>...</w:t>
      </w:r>
      <w:r w:rsidRPr="005040ED">
        <w:rPr>
          <w:rFonts w:ascii="Times New Roman" w:hAnsi="Times New Roman" w:cs="Times New Roman"/>
          <w:b/>
          <w:bCs/>
        </w:rPr>
        <w:t xml:space="preserve"> pela Fruição dos Imóveis e o Modo de Sua Liquidação</w:t>
      </w:r>
    </w:p>
    <w:p w14:paraId="40958107" w14:textId="3E3931F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III.3- Os Honorários Advocatícios Sucumbenciais e Recursais</w:t>
      </w:r>
    </w:p>
    <w:p w14:paraId="4283C99A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IV- A Impossibilidade, no Momento, da Penhora e da Marcha Expropriatória Sobre os Imóveis Litigiosos</w:t>
      </w:r>
    </w:p>
    <w:p w14:paraId="54D9ED8A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IV.1- O Prosseguimento Decorre de Decisão Não Transitada: Regime do Cumprimento Provisório</w:t>
      </w:r>
    </w:p>
    <w:p w14:paraId="477AA3BE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IV.2- O Retorno dos Imóveis ao Patrimônio da Executada Foi Expressamente Condicionado ao Trânsito em Julgado</w:t>
      </w:r>
    </w:p>
    <w:p w14:paraId="46E89D58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IV.3- O Risco de Dano Grave e Irreversível – Art. 520, I, II e IV, e Art. 521, Parágrafo Único, do CPC</w:t>
      </w:r>
    </w:p>
    <w:p w14:paraId="64E91355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lastRenderedPageBreak/>
        <w:t>IV.4- Prejudicialidade Externa, Menor Onerosidade e Garantia Já Existente</w:t>
      </w:r>
    </w:p>
    <w:p w14:paraId="3B1509A3" w14:textId="333E95D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IV.5- Os Óbices Registrais e Fáticos Próprios dos Imóveis Indicados</w:t>
      </w:r>
    </w:p>
    <w:p w14:paraId="311F8310" w14:textId="01AB296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V- Impugnação ao Cálculo de R$</w:t>
      </w:r>
      <w:r w:rsidRPr="005040ED">
        <w:rPr>
          <w:rFonts w:ascii="Times New Roman" w:hAnsi="Times New Roman" w:cs="Times New Roman"/>
          <w:b/>
          <w:bCs/>
        </w:rPr>
        <w:t xml:space="preserve"> ...</w:t>
      </w:r>
      <w:r w:rsidRPr="005040ED">
        <w:rPr>
          <w:rFonts w:ascii="Times New Roman" w:hAnsi="Times New Roman" w:cs="Times New Roman"/>
          <w:b/>
          <w:bCs/>
        </w:rPr>
        <w:t>– Excesso de Execução</w:t>
      </w:r>
    </w:p>
    <w:p w14:paraId="20F3D647" w14:textId="58F3706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 xml:space="preserve">V.1- O Crédito Sub-rogado Limita-se a R$ </w:t>
      </w:r>
      <w:r w:rsidRPr="005040ED">
        <w:rPr>
          <w:rFonts w:ascii="Times New Roman" w:hAnsi="Times New Roman" w:cs="Times New Roman"/>
          <w:b/>
          <w:bCs/>
        </w:rPr>
        <w:t>...</w:t>
      </w:r>
      <w:r w:rsidRPr="005040ED">
        <w:rPr>
          <w:rFonts w:ascii="Times New Roman" w:hAnsi="Times New Roman" w:cs="Times New Roman"/>
          <w:b/>
          <w:bCs/>
        </w:rPr>
        <w:t xml:space="preserve"> [Eventos </w:t>
      </w:r>
      <w:r w:rsidRPr="005040ED">
        <w:rPr>
          <w:rFonts w:ascii="Times New Roman" w:hAnsi="Times New Roman" w:cs="Times New Roman"/>
          <w:b/>
          <w:bCs/>
        </w:rPr>
        <w:t>...</w:t>
      </w:r>
      <w:r w:rsidRPr="005040ED">
        <w:rPr>
          <w:rFonts w:ascii="Times New Roman" w:hAnsi="Times New Roman" w:cs="Times New Roman"/>
          <w:b/>
          <w:bCs/>
        </w:rPr>
        <w:t>]</w:t>
      </w:r>
    </w:p>
    <w:p w14:paraId="457036FD" w14:textId="1D2E7D96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 xml:space="preserve">V.2- Os R$ </w:t>
      </w:r>
      <w:r w:rsidRPr="005040ED">
        <w:rPr>
          <w:rFonts w:ascii="Times New Roman" w:hAnsi="Times New Roman" w:cs="Times New Roman"/>
          <w:b/>
          <w:bCs/>
        </w:rPr>
        <w:t>...</w:t>
      </w:r>
      <w:r w:rsidRPr="005040ED">
        <w:rPr>
          <w:rFonts w:ascii="Times New Roman" w:hAnsi="Times New Roman" w:cs="Times New Roman"/>
          <w:b/>
          <w:bCs/>
        </w:rPr>
        <w:t xml:space="preserve"> Não Integram o Título Executivo Nem a Sub-rogação</w:t>
      </w:r>
    </w:p>
    <w:p w14:paraId="7CFA4F8A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V.3- O Valor Máximo Admissível e a Remessa à Contadoria Judicial</w:t>
      </w:r>
    </w:p>
    <w:p w14:paraId="51FF8944" w14:textId="1B94A13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V.4- O Crédito da Executada pela Fruição e a Futura Compensação</w:t>
      </w:r>
    </w:p>
    <w:p w14:paraId="21AC57AD" w14:textId="2FFA480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VI- Dos Documentos</w:t>
      </w:r>
    </w:p>
    <w:p w14:paraId="4A6105D5" w14:textId="2FAAD89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 xml:space="preserve">VII- Dos Pedidos </w:t>
      </w:r>
    </w:p>
    <w:p w14:paraId="60A5BD53" w14:textId="4844DA3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I- SÍNTESE DO PEDIDO DO EXEQUENTE E DO OBJETO DESTA MANIFESTAÇÃO</w:t>
      </w:r>
    </w:p>
    <w:p w14:paraId="7A0A5C17" w14:textId="57C8A85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No evento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o exequente sub-rogado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requereu o prosseguimento do cumprimento de sentença, apresentando planilha de crédito no valor de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[em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 e postulando a penhora dos imóveis objeto das matrículas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da área remanescente da matrícula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todas do Cartório de Registro de Imóveis de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].</w:t>
      </w:r>
    </w:p>
    <w:p w14:paraId="7E7A55A8" w14:textId="7DBC7D9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Trata-se, Excelência, exatamente dos mesmos três imóveis que foram objeto do “</w:t>
      </w:r>
      <w:r w:rsidRPr="005040ED">
        <w:rPr>
          <w:rFonts w:ascii="Times New Roman" w:hAnsi="Times New Roman" w:cs="Times New Roman"/>
          <w:i/>
          <w:iCs/>
        </w:rPr>
        <w:t>Termo de Acordo Extrajudicial</w:t>
      </w:r>
      <w:r w:rsidRPr="005040ED">
        <w:rPr>
          <w:rFonts w:ascii="Times New Roman" w:hAnsi="Times New Roman" w:cs="Times New Roman"/>
        </w:rPr>
        <w:t xml:space="preserve">” cuja nulidade foi decretada na Ação Anulatória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— decisão ainda pendente de julgamento definitivo no colendo SUPERIOR TRIBUNAL DE JUSTIÇA.</w:t>
      </w:r>
    </w:p>
    <w:p w14:paraId="3635088A" w14:textId="57C4B2D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Com acerto e prudência, o r. despacho do evento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(i) manteve a indisponibilidade dos imóveis, por constituir “</w:t>
      </w:r>
      <w:r w:rsidRPr="005040ED">
        <w:rPr>
          <w:rFonts w:ascii="Times New Roman" w:hAnsi="Times New Roman" w:cs="Times New Roman"/>
          <w:i/>
          <w:iCs/>
        </w:rPr>
        <w:t>medida de preservação patrimonial compatível com a controvérsia ainda existente acerca dos efeitos da transação e da situação jurídica dos imóveis</w:t>
      </w:r>
      <w:r w:rsidRPr="005040ED">
        <w:rPr>
          <w:rFonts w:ascii="Times New Roman" w:hAnsi="Times New Roman" w:cs="Times New Roman"/>
        </w:rPr>
        <w:t>”; (</w:t>
      </w:r>
      <w:proofErr w:type="spellStart"/>
      <w:r w:rsidRPr="005040ED">
        <w:rPr>
          <w:rFonts w:ascii="Times New Roman" w:hAnsi="Times New Roman" w:cs="Times New Roman"/>
        </w:rPr>
        <w:t>ii</w:t>
      </w:r>
      <w:proofErr w:type="spellEnd"/>
      <w:r w:rsidRPr="005040ED">
        <w:rPr>
          <w:rFonts w:ascii="Times New Roman" w:hAnsi="Times New Roman" w:cs="Times New Roman"/>
        </w:rPr>
        <w:t>) deixou de deferir de imediato a penhora, condicionando-a à comprovação da situação registral atualizada e ao contraditório; e (</w:t>
      </w:r>
      <w:proofErr w:type="spellStart"/>
      <w:r w:rsidRPr="005040ED">
        <w:rPr>
          <w:rFonts w:ascii="Times New Roman" w:hAnsi="Times New Roman" w:cs="Times New Roman"/>
        </w:rPr>
        <w:t>iii</w:t>
      </w:r>
      <w:proofErr w:type="spellEnd"/>
      <w:r w:rsidRPr="005040ED">
        <w:rPr>
          <w:rFonts w:ascii="Times New Roman" w:hAnsi="Times New Roman" w:cs="Times New Roman"/>
        </w:rPr>
        <w:t>) abriu vista à executada sobre o pedido de penhora e o valor do débito.</w:t>
      </w:r>
    </w:p>
    <w:p w14:paraId="1EDE762A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presente manifestação demonstrará, com o devido respeito, que:</w:t>
      </w:r>
    </w:p>
    <w:p w14:paraId="4B6B71D7" w14:textId="6158D91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enquanto</w:t>
      </w:r>
      <w:proofErr w:type="gramEnd"/>
      <w:r w:rsidRPr="005040ED">
        <w:rPr>
          <w:rFonts w:ascii="Times New Roman" w:hAnsi="Times New Roman" w:cs="Times New Roman"/>
        </w:rPr>
        <w:t xml:space="preserve"> não transitar em julgado a ação anulatória, não se mostra juridicamente admissível a penhora e, muito menos, a marcha expropriatória sobre os imóveis litigiosos, devendo prevalecer a indisponibilidade já decretada;</w:t>
      </w:r>
    </w:p>
    <w:p w14:paraId="0FC88C31" w14:textId="6EA27FC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o</w:t>
      </w:r>
      <w:proofErr w:type="gramEnd"/>
      <w:r w:rsidRPr="005040ED">
        <w:rPr>
          <w:rFonts w:ascii="Times New Roman" w:hAnsi="Times New Roman" w:cs="Times New Roman"/>
        </w:rPr>
        <w:t xml:space="preserve"> cálculo apresentado padece de manifesto excesso, pois inclui parcela de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[atualizada em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 estranha ao título executivo e à sub-rogação deferida no evento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que se limitou a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;</w:t>
      </w:r>
    </w:p>
    <w:p w14:paraId="64B679A7" w14:textId="214AB61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a</w:t>
      </w:r>
      <w:proofErr w:type="gramEnd"/>
      <w:r w:rsidRPr="005040ED">
        <w:rPr>
          <w:rFonts w:ascii="Times New Roman" w:hAnsi="Times New Roman" w:cs="Times New Roman"/>
        </w:rPr>
        <w:t xml:space="preserve"> executada é credora do exequente pela indenização pela fruição dos imóveis, a ser apurada em liquidação, crédito que haverá de ser oportunamente compensado.</w:t>
      </w:r>
    </w:p>
    <w:p w14:paraId="4765E89D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II- O QUADRO PROCESSUAL: A AÇÃO ANULATÓRIA NÃO TRANSITOU EM JULGADO – ARESP PENDENTE NO STJ</w:t>
      </w:r>
    </w:p>
    <w:p w14:paraId="2B99ACEC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Para a exata compreensão da controvérsia, rememora-se a cronologia dos atos relevantes:</w:t>
      </w:r>
    </w:p>
    <w:p w14:paraId="418BA410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lastRenderedPageBreak/>
        <w:t>Data</w:t>
      </w:r>
      <w:r w:rsidRPr="005040ED">
        <w:rPr>
          <w:rFonts w:ascii="Times New Roman" w:hAnsi="Times New Roman" w:cs="Times New Roman"/>
        </w:rPr>
        <w:tab/>
        <w:t>Ato processual</w:t>
      </w:r>
    </w:p>
    <w:p w14:paraId="1ED572ED" w14:textId="79A81B2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então arrendatário da área, deposita em Juízo R$ </w:t>
      </w:r>
      <w:r>
        <w:rPr>
          <w:rFonts w:ascii="Times New Roman" w:hAnsi="Times New Roman" w:cs="Times New Roman"/>
        </w:rPr>
        <w:t xml:space="preserve">... </w:t>
      </w:r>
      <w:r w:rsidRPr="005040ED">
        <w:rPr>
          <w:rFonts w:ascii="Times New Roman" w:hAnsi="Times New Roman" w:cs="Times New Roman"/>
        </w:rPr>
        <w:t>para impedir a penhora dos imóveis [</w:t>
      </w:r>
      <w:proofErr w:type="spellStart"/>
      <w:r w:rsidRPr="005040ED">
        <w:rPr>
          <w:rFonts w:ascii="Times New Roman" w:hAnsi="Times New Roman" w:cs="Times New Roman"/>
        </w:rPr>
        <w:t>evs</w:t>
      </w:r>
      <w:proofErr w:type="spellEnd"/>
      <w:r w:rsidRPr="005040E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</w:t>
      </w:r>
    </w:p>
    <w:p w14:paraId="0073E955" w14:textId="0A4810C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O credor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concorda e dá quitação pela importância depositada de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</w:t>
      </w:r>
    </w:p>
    <w:p w14:paraId="7DF6A1A0" w14:textId="49EDFBB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Decisão defere a sub-rogação de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“</w:t>
      </w:r>
      <w:r w:rsidRPr="005040ED">
        <w:rPr>
          <w:rFonts w:ascii="Times New Roman" w:hAnsi="Times New Roman" w:cs="Times New Roman"/>
          <w:i/>
          <w:iCs/>
        </w:rPr>
        <w:t>até o montante do débito quitado</w:t>
      </w:r>
      <w:r w:rsidRPr="005040ED">
        <w:rPr>
          <w:rFonts w:ascii="Times New Roman" w:hAnsi="Times New Roman" w:cs="Times New Roman"/>
        </w:rPr>
        <w:t xml:space="preserve">” [ev.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</w:t>
      </w:r>
    </w:p>
    <w:p w14:paraId="102297E3" w14:textId="20C9218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>“</w:t>
      </w:r>
      <w:r w:rsidRPr="005040ED">
        <w:rPr>
          <w:rFonts w:ascii="Times New Roman" w:hAnsi="Times New Roman" w:cs="Times New Roman"/>
          <w:i/>
          <w:iCs/>
        </w:rPr>
        <w:t>Termo de Acordo Extrajudicial</w:t>
      </w:r>
      <w:r w:rsidRPr="005040ED">
        <w:rPr>
          <w:rFonts w:ascii="Times New Roman" w:hAnsi="Times New Roman" w:cs="Times New Roman"/>
        </w:rPr>
        <w:t xml:space="preserve">” firmado por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[ex-administrador] com Janir: dação em pagamento dos três imóveis</w:t>
      </w:r>
    </w:p>
    <w:p w14:paraId="46590BD8" w14:textId="4D38CCE4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Protocolo do pedido de homologação e imissão de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na posse dos imóveis [ev.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</w:t>
      </w:r>
    </w:p>
    <w:p w14:paraId="617F451B" w14:textId="2D5BFD8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Sentença homologatória e extinção do cumprimento de sentença [ev.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</w:t>
      </w:r>
    </w:p>
    <w:p w14:paraId="750A5796" w14:textId="3049318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Sentença de procedência da Ação Anulatória n. </w:t>
      </w:r>
      <w:r>
        <w:rPr>
          <w:rFonts w:ascii="Times New Roman" w:hAnsi="Times New Roman" w:cs="Times New Roman"/>
        </w:rPr>
        <w:t>...</w:t>
      </w:r>
    </w:p>
    <w:p w14:paraId="2C605553" w14:textId="204BA61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Acórdão da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ª Câmara de Direito Comercial do TJ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nega provimento às apelações de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</w:p>
    <w:p w14:paraId="146891C9" w14:textId="1C7D8A0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ª Vice-Presidência do TJ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não admite o Recurso Especial de Janir [art. 1.030, V, do CPC]</w:t>
      </w:r>
    </w:p>
    <w:p w14:paraId="0AAD9202" w14:textId="653AE57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interpõe Agravo em Recurso Especial [art. 1.042 do CPC]</w:t>
      </w:r>
    </w:p>
    <w:p w14:paraId="4FDF9595" w14:textId="17197CC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>Mantida a decisão agravada e determinada a remessa dos autos ao STJ</w:t>
      </w:r>
    </w:p>
    <w:p w14:paraId="22D54A87" w14:textId="3FD27CE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: averbação da indisponibilidade dos imóveis “até que sobrevenha o trânsito em julgado” da anulatória</w:t>
      </w:r>
    </w:p>
    <w:p w14:paraId="605C11CC" w14:textId="4A3E3AC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Cadastro no STJ [registro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 – </w:t>
      </w:r>
      <w:proofErr w:type="spellStart"/>
      <w:r w:rsidRPr="005040ED">
        <w:rPr>
          <w:rFonts w:ascii="Times New Roman" w:hAnsi="Times New Roman" w:cs="Times New Roman"/>
        </w:rPr>
        <w:t>AREsp</w:t>
      </w:r>
      <w:proofErr w:type="spellEnd"/>
      <w:r w:rsidRPr="005040ED">
        <w:rPr>
          <w:rFonts w:ascii="Times New Roman" w:hAnsi="Times New Roman" w:cs="Times New Roman"/>
        </w:rPr>
        <w:t xml:space="preserve">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Relatora Ministra Maria Isabel Gallotti, pendente de julgamento</w:t>
      </w:r>
    </w:p>
    <w:p w14:paraId="3E83D35C" w14:textId="0204837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: Janir apresenta cálculo de R$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pede a penhora dos imóveis</w:t>
      </w:r>
    </w:p>
    <w:p w14:paraId="6D21F312" w14:textId="309590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ab/>
        <w:t xml:space="preserve">Ev.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: mantida a indisponibilidade; penhora não deferida de imediato; vista à executada</w:t>
      </w:r>
    </w:p>
    <w:p w14:paraId="4A76DE64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Vê-se, pois, que a sentença e o acórdão proferidos na ação anulatória ainda não transitaram em julgado. Pende de julgamento, no SUPERIOR TRIBUNAL DE JUSTIÇA, o Agravo em Recurso Especial interposto por Janir, no qual pretende, em caráter principal, a anulação do acórdão por alegado cerceamento de defesa e negativa de prestação jurisdicional e, sucessivamente, a improcedência da anulatória com a “</w:t>
      </w:r>
      <w:r w:rsidRPr="005040ED">
        <w:rPr>
          <w:rFonts w:ascii="Times New Roman" w:hAnsi="Times New Roman" w:cs="Times New Roman"/>
          <w:i/>
          <w:iCs/>
        </w:rPr>
        <w:t>declaração da higidez e manutenção do negócio jurídico de dação em pagamento</w:t>
      </w:r>
      <w:r w:rsidRPr="005040ED">
        <w:rPr>
          <w:rFonts w:ascii="Times New Roman" w:hAnsi="Times New Roman" w:cs="Times New Roman"/>
        </w:rPr>
        <w:t>”, o afastamento da condenação pela fruição e a inversão da sucumbência.</w:t>
      </w:r>
    </w:p>
    <w:p w14:paraId="7402AEB3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Embora a executada confie plenamente na manutenção das decisões das instâncias ordinárias, o Recurso Especial esbarrou nas Súmulas 7 e 211 do STJ e 282 do STF, é inegável que a situação jurídica dos imóveis ainda não se encontra definitivamente estabilizada pela coisa julgada material. E é exatamente isso que o próprio exequente busca no STJ: o restabelecimento da dação em pagamento que lhe transferiu esses mesmos imóveis.</w:t>
      </w:r>
    </w:p>
    <w:p w14:paraId="468EC320" w14:textId="3AE34FEA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lastRenderedPageBreak/>
        <w:t>III- O QUE RESTOU DECIDIDO NA AÇÃO ANULATÓRIA [SENTENÇA E ACÓRDÃO DO TJ</w:t>
      </w:r>
      <w:r>
        <w:rPr>
          <w:rFonts w:ascii="Times New Roman" w:hAnsi="Times New Roman" w:cs="Times New Roman"/>
          <w:b/>
          <w:bCs/>
        </w:rPr>
        <w:t>...</w:t>
      </w:r>
      <w:r w:rsidRPr="005040ED">
        <w:rPr>
          <w:rFonts w:ascii="Times New Roman" w:hAnsi="Times New Roman" w:cs="Times New Roman"/>
          <w:b/>
          <w:bCs/>
        </w:rPr>
        <w:t>]</w:t>
      </w:r>
    </w:p>
    <w:p w14:paraId="6DE08FA5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040ED">
        <w:rPr>
          <w:rFonts w:ascii="Times New Roman" w:hAnsi="Times New Roman" w:cs="Times New Roman"/>
          <w:b/>
          <w:bCs/>
        </w:rPr>
        <w:t>III.1- A Nulidade do “</w:t>
      </w:r>
      <w:r w:rsidRPr="005040ED">
        <w:rPr>
          <w:rFonts w:ascii="Times New Roman" w:hAnsi="Times New Roman" w:cs="Times New Roman"/>
          <w:b/>
          <w:bCs/>
          <w:i/>
          <w:iCs/>
        </w:rPr>
        <w:t>Termo de Acordo Extrajudicial</w:t>
      </w:r>
      <w:r w:rsidRPr="005040ED">
        <w:rPr>
          <w:rFonts w:ascii="Times New Roman" w:hAnsi="Times New Roman" w:cs="Times New Roman"/>
          <w:b/>
          <w:bCs/>
        </w:rPr>
        <w:t>” e o Retorno Dominial Condicionado ao Trânsito em Julgado</w:t>
      </w:r>
    </w:p>
    <w:p w14:paraId="5AF391CB" w14:textId="05B9BC36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 r. sentença proferida na Ação Anulatória n.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em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reconheceu que o corréu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não detinha poderes para representar a sociedade na dação em pagamento, porquanto a </w:t>
      </w:r>
      <w:r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ª Alteração Contratual que o investira na administração fora declarada nula — com efeitos </w:t>
      </w:r>
      <w:proofErr w:type="spellStart"/>
      <w:r w:rsidRPr="005040ED">
        <w:rPr>
          <w:rFonts w:ascii="Times New Roman" w:hAnsi="Times New Roman" w:cs="Times New Roman"/>
          <w:i/>
          <w:iCs/>
        </w:rPr>
        <w:t>ex</w:t>
      </w:r>
      <w:proofErr w:type="spellEnd"/>
      <w:r w:rsidRPr="005040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040ED">
        <w:rPr>
          <w:rFonts w:ascii="Times New Roman" w:hAnsi="Times New Roman" w:cs="Times New Roman"/>
          <w:i/>
          <w:iCs/>
        </w:rPr>
        <w:t>tunc</w:t>
      </w:r>
      <w:proofErr w:type="spellEnd"/>
      <w:r w:rsidRPr="005040ED">
        <w:rPr>
          <w:rFonts w:ascii="Times New Roman" w:hAnsi="Times New Roman" w:cs="Times New Roman"/>
        </w:rPr>
        <w:t xml:space="preserve"> [art. 182 do Código Civil] — por sentença proferida sete meses antes do acordo, confirmada pelo TJ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e transitada em julgado em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</w:t>
      </w:r>
    </w:p>
    <w:p w14:paraId="1671FF19" w14:textId="4176044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Afastou-se a alegada boa-fé, pois “</w:t>
      </w:r>
      <w:r w:rsidRPr="009332BE">
        <w:rPr>
          <w:rFonts w:ascii="Times New Roman" w:hAnsi="Times New Roman" w:cs="Times New Roman"/>
          <w:i/>
          <w:iCs/>
        </w:rPr>
        <w:t>os requeridos sabiam da existência de sentença de primeiro grau anulando a sexta alteração contratual</w:t>
      </w:r>
      <w:r w:rsidRPr="005040ED">
        <w:rPr>
          <w:rFonts w:ascii="Times New Roman" w:hAnsi="Times New Roman" w:cs="Times New Roman"/>
        </w:rPr>
        <w:t>”, bem como a teoria da aparência. O dispositivo, no que interessa, tem o seguinte teor:</w:t>
      </w:r>
    </w:p>
    <w:p w14:paraId="2E541BA1" w14:textId="56D03739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040ED">
        <w:rPr>
          <w:rFonts w:ascii="Times New Roman" w:hAnsi="Times New Roman" w:cs="Times New Roman"/>
        </w:rPr>
        <w:t>“</w:t>
      </w:r>
      <w:r w:rsidRPr="009332BE">
        <w:rPr>
          <w:rFonts w:ascii="Times New Roman" w:hAnsi="Times New Roman" w:cs="Times New Roman"/>
          <w:i/>
          <w:iCs/>
        </w:rPr>
        <w:t xml:space="preserve">PELO EXPOSTO, JULGO PROCEDENTES os pedidos formulados por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na presente AÇÃO ANULATÓRIA DE NEGÓCIO JURÍDICO proposta contra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, para:</w:t>
      </w:r>
    </w:p>
    <w:p w14:paraId="6BB4B625" w14:textId="3AE9407D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>1) DECRETAR A NULIDADE DO “TERMO DE ACORDO EXTRAJUDICIAL”, firmado em “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” e homologado em ‘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’, nos autos do cumprimento de sentença n.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relativo à dação em pagamento da área superficial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 remanescente, não alcançadas por alagamento e APP em decorrência da construção da Usina Hidrelétrica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em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composto pelas matrículas números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área remanescente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ha (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m²);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área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ha (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m²), ambas retificadas e área remanescente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32BE">
        <w:rPr>
          <w:rFonts w:ascii="Times New Roman" w:hAnsi="Times New Roman" w:cs="Times New Roman"/>
          <w:i/>
          <w:iCs/>
        </w:rPr>
        <w:t>ha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(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m²) da matrícula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as três matrículas registradas perante o Cartório de Registro de Imóveis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retornando as partes ao status quo ante, prosseguindo o cumprimento de sentença até a satisfação do débito, ratificando a decisão do evento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; [...]</w:t>
      </w:r>
    </w:p>
    <w:p w14:paraId="0EBC8E4C" w14:textId="1008852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9332BE">
        <w:rPr>
          <w:rFonts w:ascii="Times New Roman" w:hAnsi="Times New Roman" w:cs="Times New Roman"/>
          <w:i/>
          <w:iCs/>
        </w:rPr>
        <w:t xml:space="preserve">Transitada em julgado, OFICIE-SE ao Cartório de Registro de Imóveis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, para as providências necessárias para o retorno da propriedade dos imóveis acima descritos à empresa autora e encerramento da tutela de urgência de natureza cautelar</w:t>
      </w:r>
      <w:r w:rsidRPr="005040ED">
        <w:rPr>
          <w:rFonts w:ascii="Times New Roman" w:hAnsi="Times New Roman" w:cs="Times New Roman"/>
        </w:rPr>
        <w:t>.”</w:t>
      </w:r>
    </w:p>
    <w:p w14:paraId="3C22EDBF" w14:textId="19E3C83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O v. acórdão da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ª Câmara de Direito Comercial do TJ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[Rel. Des.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j.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 manteve integralmente a sentença, assentando que “</w:t>
      </w:r>
      <w:r w:rsidRPr="009332BE">
        <w:rPr>
          <w:rFonts w:ascii="Times New Roman" w:hAnsi="Times New Roman" w:cs="Times New Roman"/>
          <w:i/>
          <w:iCs/>
        </w:rPr>
        <w:t xml:space="preserve">tratando-se de sentença declaratória de nulidade, seus efeitos são </w:t>
      </w:r>
      <w:proofErr w:type="spellStart"/>
      <w:r w:rsidRPr="009332BE">
        <w:rPr>
          <w:rFonts w:ascii="Times New Roman" w:hAnsi="Times New Roman" w:cs="Times New Roman"/>
          <w:i/>
          <w:iCs/>
        </w:rPr>
        <w:t>ex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32BE">
        <w:rPr>
          <w:rFonts w:ascii="Times New Roman" w:hAnsi="Times New Roman" w:cs="Times New Roman"/>
          <w:i/>
          <w:iCs/>
        </w:rPr>
        <w:t>tunc</w:t>
      </w:r>
      <w:proofErr w:type="spellEnd"/>
      <w:r w:rsidRPr="005040ED">
        <w:rPr>
          <w:rFonts w:ascii="Times New Roman" w:hAnsi="Times New Roman" w:cs="Times New Roman"/>
        </w:rPr>
        <w:t xml:space="preserve">” e que a teoria da aparência do art. 689 do Código Civil é inaplicável, pois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intimado da impugnação das sócias, “</w:t>
      </w:r>
      <w:r w:rsidRPr="009332BE">
        <w:rPr>
          <w:rFonts w:ascii="Times New Roman" w:hAnsi="Times New Roman" w:cs="Times New Roman"/>
          <w:i/>
          <w:iCs/>
        </w:rPr>
        <w:t>ciente dos vícios apontados, limitou-se a ratificar o pedido de homologação do acordo</w:t>
      </w:r>
      <w:r w:rsidRPr="005040ED">
        <w:rPr>
          <w:rFonts w:ascii="Times New Roman" w:hAnsi="Times New Roman" w:cs="Times New Roman"/>
        </w:rPr>
        <w:t>”.</w:t>
      </w:r>
    </w:p>
    <w:p w14:paraId="23077FDF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Dois pontos merecem destaque desde logo: (a) a própria sentença condicionou ao trânsito em julgado o retorno da propriedade dos imóveis à executada e o encerramento da tutela cautelar; e (b) o prosseguimento do cumprimento de sentença é consequência da nulidade; e, portanto, compartilha da mesma condição de definitividade que ela, ainda não alcançada.</w:t>
      </w:r>
    </w:p>
    <w:p w14:paraId="20AE9401" w14:textId="24FE0360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 xml:space="preserve">III.2- A Condenação de </w:t>
      </w:r>
      <w:r w:rsidR="009332BE">
        <w:rPr>
          <w:rFonts w:ascii="Times New Roman" w:hAnsi="Times New Roman" w:cs="Times New Roman"/>
          <w:b/>
          <w:bCs/>
        </w:rPr>
        <w:t>...</w:t>
      </w:r>
      <w:r w:rsidRPr="009332BE">
        <w:rPr>
          <w:rFonts w:ascii="Times New Roman" w:hAnsi="Times New Roman" w:cs="Times New Roman"/>
          <w:b/>
          <w:bCs/>
        </w:rPr>
        <w:t xml:space="preserve"> pela Fruição dos Imóveis e o Modo de Sua Liquidação</w:t>
      </w:r>
    </w:p>
    <w:p w14:paraId="6470BE6E" w14:textId="767B2E6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Ao lado da nulidade, a r. sentença condenou o exequente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a indenizar a executada pelo uso e gozo dos imóveis desde a sua imissão na posse, sob o fundamento de vedação ao enriquecimento sem causa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884 a 886 do Código Civil]:</w:t>
      </w:r>
    </w:p>
    <w:p w14:paraId="54467A85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</w:p>
    <w:p w14:paraId="2ED7241F" w14:textId="2DBCBC5E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040ED">
        <w:rPr>
          <w:rFonts w:ascii="Times New Roman" w:hAnsi="Times New Roman" w:cs="Times New Roman"/>
        </w:rPr>
        <w:t>“</w:t>
      </w:r>
      <w:r w:rsidRPr="009332BE">
        <w:rPr>
          <w:rFonts w:ascii="Times New Roman" w:hAnsi="Times New Roman" w:cs="Times New Roman"/>
          <w:i/>
          <w:iCs/>
        </w:rPr>
        <w:t xml:space="preserve">Destaco que não está se discutindo se houve o cumprimento do acordo judicial por parte do requerido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, mas a autora está postulando a sua condenação pela utilização dos imóveis objeto da dação em pagamento, o que é devido, uma vez que incontroverso o gozo e uso dos imóveis, sob pena de enriquecimento sem justa causa.</w:t>
      </w:r>
    </w:p>
    <w:p w14:paraId="0E919102" w14:textId="703ADFBC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Deverá 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pagar à autora pela fruição dos imóveis desde a imissão na posse ocorrida em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oportunidade em que passou a exercer a posse nos imóveis, por consequência do efeito </w:t>
      </w:r>
      <w:proofErr w:type="spellStart"/>
      <w:r w:rsidRPr="009332BE">
        <w:rPr>
          <w:rFonts w:ascii="Times New Roman" w:hAnsi="Times New Roman" w:cs="Times New Roman"/>
          <w:i/>
          <w:iCs/>
        </w:rPr>
        <w:t>ex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32BE">
        <w:rPr>
          <w:rFonts w:ascii="Times New Roman" w:hAnsi="Times New Roman" w:cs="Times New Roman"/>
          <w:i/>
          <w:iCs/>
        </w:rPr>
        <w:t>tunc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do pedido anulatório.</w:t>
      </w:r>
    </w:p>
    <w:p w14:paraId="0174A1BE" w14:textId="449C728C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O valor da indenização deverá ser calculado até a devolução dos bens, mediante valor mensal de arrendamento rural de toda a área, acrescido de correção monetária a partir da imissão na posse, pelo INPC, até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(Lei 14.905/2024), e após pelo IPCA.</w:t>
      </w:r>
    </w:p>
    <w:p w14:paraId="726DA959" w14:textId="6C0865D4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Os juros de mora serão devidos a partir da citação do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(evento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), pela taxa SELIC (Lei 14.905/2024), que englobará a correção monetária e os juros.” [...]</w:t>
      </w:r>
    </w:p>
    <w:p w14:paraId="7406A56E" w14:textId="6B57F7D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9332BE">
        <w:rPr>
          <w:rFonts w:ascii="Times New Roman" w:hAnsi="Times New Roman" w:cs="Times New Roman"/>
          <w:i/>
          <w:iCs/>
        </w:rPr>
        <w:t xml:space="preserve">“2) CONDENAR 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ao pagamento de indenização à autora pela fruição dos imóveis rurais objeto do “Termo de Acordo Extrajudicial”, a partir da sua imissão na posse em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referente à posse da área superficial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 remanescente das matrículas números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área remanescente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32BE">
        <w:rPr>
          <w:rFonts w:ascii="Times New Roman" w:hAnsi="Times New Roman" w:cs="Times New Roman"/>
          <w:i/>
          <w:iCs/>
        </w:rPr>
        <w:t>ha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(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m²);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área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ha (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m²), ambas retificadas e área remanescente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32BE">
        <w:rPr>
          <w:rFonts w:ascii="Times New Roman" w:hAnsi="Times New Roman" w:cs="Times New Roman"/>
          <w:i/>
          <w:iCs/>
        </w:rPr>
        <w:t>ha</w:t>
      </w:r>
      <w:proofErr w:type="spellEnd"/>
      <w:r w:rsidRPr="009332BE">
        <w:rPr>
          <w:rFonts w:ascii="Times New Roman" w:hAnsi="Times New Roman" w:cs="Times New Roman"/>
          <w:i/>
          <w:iCs/>
        </w:rPr>
        <w:t xml:space="preserve"> (30.438 m²) da matrícula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as três matrículas registradas perante o Cartório de Registro de Imóveis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até a data efetiva das suas devoluções à autora, a ser apurado em liquidação de sentença, tomando como base o valor mensal de um arrendamento rural de toda a área objeto da dação em pagamento, corrigido monetariamente a partir da imissão na posse pelo INPC, até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, e após pelo IPCA, acrescido de juros moratórios desde a citação (evento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), pela taxa SELIC, que englobará a correção monetária e juros de mora, até a entrega dos imóveis rurais à autora</w:t>
      </w:r>
      <w:r w:rsidRPr="005040ED">
        <w:rPr>
          <w:rFonts w:ascii="Times New Roman" w:hAnsi="Times New Roman" w:cs="Times New Roman"/>
        </w:rPr>
        <w:t xml:space="preserve">;” </w:t>
      </w:r>
    </w:p>
    <w:p w14:paraId="642B147E" w14:textId="110EC92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v. acórdão do TJS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confirmou a condenação, rejeitando a tese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de que a posse decorreria de “</w:t>
      </w:r>
      <w:r w:rsidRPr="009332BE">
        <w:rPr>
          <w:rFonts w:ascii="Times New Roman" w:hAnsi="Times New Roman" w:cs="Times New Roman"/>
          <w:i/>
          <w:iCs/>
        </w:rPr>
        <w:t>justo título</w:t>
      </w:r>
      <w:r w:rsidRPr="005040ED">
        <w:rPr>
          <w:rFonts w:ascii="Times New Roman" w:hAnsi="Times New Roman" w:cs="Times New Roman"/>
        </w:rPr>
        <w:t>”: “</w:t>
      </w:r>
      <w:r w:rsidRPr="009332BE">
        <w:rPr>
          <w:rFonts w:ascii="Times New Roman" w:hAnsi="Times New Roman" w:cs="Times New Roman"/>
          <w:i/>
          <w:iCs/>
        </w:rPr>
        <w:t xml:space="preserve">não há que se falar em afastamento da condenação do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ao pagamento de indenização pela fruição dos imóveis, visto que tal posse decorreu de ato nulo</w:t>
      </w:r>
      <w:r w:rsidRPr="005040ED">
        <w:rPr>
          <w:rFonts w:ascii="Times New Roman" w:hAnsi="Times New Roman" w:cs="Times New Roman"/>
        </w:rPr>
        <w:t>”.</w:t>
      </w:r>
    </w:p>
    <w:p w14:paraId="0BA4F478" w14:textId="7F46C1C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Do título resultam, com precisão, os parâmetros da liquidação, que se fará por arbitramento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509, I, e 510 do CPC], mediante perícia por profissional habilitado [engenheiro agrônomo ou avaliador de imóveis rurais], nos seguintes termos:</w:t>
      </w:r>
    </w:p>
    <w:p w14:paraId="7BAE6D05" w14:textId="5F0B10C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(a)  Objeto: a área superficial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m² [</w:t>
      </w:r>
      <w:r w:rsidR="009332BE">
        <w:rPr>
          <w:rFonts w:ascii="Times New Roman" w:hAnsi="Times New Roman" w:cs="Times New Roman"/>
        </w:rPr>
        <w:t xml:space="preserve">... </w:t>
      </w:r>
      <w:proofErr w:type="spellStart"/>
      <w:r w:rsidRPr="005040ED">
        <w:rPr>
          <w:rFonts w:ascii="Times New Roman" w:hAnsi="Times New Roman" w:cs="Times New Roman"/>
        </w:rPr>
        <w:t>ha</w:t>
      </w:r>
      <w:proofErr w:type="spellEnd"/>
      <w:r w:rsidRPr="005040ED">
        <w:rPr>
          <w:rFonts w:ascii="Times New Roman" w:hAnsi="Times New Roman" w:cs="Times New Roman"/>
        </w:rPr>
        <w:t xml:space="preserve">] remanescente das matrículas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do CRI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;</w:t>
      </w:r>
    </w:p>
    <w:p w14:paraId="2C0D8830" w14:textId="58C02F8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(b)  Base de cálculo: o valor de mercado do arrendamento rural mensal de toda a área, segundo as condições vigentes na região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], apurado mês a mês — ou convertido em base mensal a partir do valor praticado por safra ou por hectare/ano;</w:t>
      </w:r>
    </w:p>
    <w:p w14:paraId="779EB5BD" w14:textId="4A22CF3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(c)  Termo inicial: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data da imissão na posse;</w:t>
      </w:r>
    </w:p>
    <w:p w14:paraId="1EAEFCF0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(d)  Termo final: a data da efetiva devolução dos imóveis à executada — o que significa que a indenização continua a fluir mês a mês enquanto o exequente permanecer na posse;</w:t>
      </w:r>
    </w:p>
    <w:p w14:paraId="3A2A3E9B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</w:p>
    <w:p w14:paraId="6F52D2C2" w14:textId="1FE1B0E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(e)  Correção monetária: de cada parcela mensal, a partir do respectivo vencimento, pelo INPC até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e, a partir de então, pelo IPCA;</w:t>
      </w:r>
    </w:p>
    <w:p w14:paraId="71A299AD" w14:textId="18FD1FB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(f)  Juros de mora: a partir da citação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na anulatória [evento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daqueles autos], pela taxa SELIC, que, a partir de então, engloba correção monetária e juros, vedada a cumulação com outro índice.</w:t>
      </w:r>
    </w:p>
    <w:p w14:paraId="419337A7" w14:textId="4B39976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Há, ademais, um parâmetro objetivo de especial relevância para a perícia: o próprio exequente declarou, na petição do evento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destes autos [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], que ocupava a área na condição de arrendatário, “</w:t>
      </w:r>
      <w:r w:rsidRPr="009332BE">
        <w:rPr>
          <w:rFonts w:ascii="Times New Roman" w:hAnsi="Times New Roman" w:cs="Times New Roman"/>
          <w:i/>
          <w:iCs/>
        </w:rPr>
        <w:t>através de CONTRATO PARTICULAR DE ARRENDAMENTO DE IMOVEIS RURAL PARA FINS AGRICOLA – plantio de grãos</w:t>
      </w:r>
      <w:r w:rsidRPr="005040ED">
        <w:rPr>
          <w:rFonts w:ascii="Times New Roman" w:hAnsi="Times New Roman" w:cs="Times New Roman"/>
        </w:rPr>
        <w:t xml:space="preserve">”. </w:t>
      </w:r>
    </w:p>
    <w:p w14:paraId="4C091F43" w14:textId="4E2EA1B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valor da renda então ajustada constitui referência concreta do “</w:t>
      </w:r>
      <w:r w:rsidRPr="009332BE">
        <w:rPr>
          <w:rFonts w:ascii="Times New Roman" w:hAnsi="Times New Roman" w:cs="Times New Roman"/>
          <w:i/>
          <w:iCs/>
        </w:rPr>
        <w:t>valor mensal de um arrendamento rural” fixado no título, devendo o contrato ser exibido pelo exequente na fase de liquidação [art. 396 do CPC]</w:t>
      </w:r>
      <w:r w:rsidRPr="005040ED">
        <w:rPr>
          <w:rFonts w:ascii="Times New Roman" w:hAnsi="Times New Roman" w:cs="Times New Roman"/>
        </w:rPr>
        <w:t>.</w:t>
      </w:r>
      <w:r w:rsidR="009332BE">
        <w:rPr>
          <w:rFonts w:ascii="Times New Roman" w:hAnsi="Times New Roman" w:cs="Times New Roman"/>
        </w:rPr>
        <w:t>”</w:t>
      </w:r>
    </w:p>
    <w:p w14:paraId="15011ECA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Por fim, nos termos do art. 512 do CPC, “</w:t>
      </w:r>
      <w:r w:rsidRPr="009332BE">
        <w:rPr>
          <w:rFonts w:ascii="Times New Roman" w:hAnsi="Times New Roman" w:cs="Times New Roman"/>
          <w:i/>
          <w:iCs/>
        </w:rPr>
        <w:t>a liquidação poderá ser realizada na pendência de recurso, processando-se em autos apartados no juízo de origem</w:t>
      </w:r>
      <w:r w:rsidRPr="005040ED">
        <w:rPr>
          <w:rFonts w:ascii="Times New Roman" w:hAnsi="Times New Roman" w:cs="Times New Roman"/>
        </w:rPr>
        <w:t>”. A executada promoverá, desde logo, a liquidação provisória da condenação pela fruição, em autos apartados, a fim de que o seu crédito esteja apurado e apto à compensação com o crédito do exequente, como adiante se exporá [item V.4].</w:t>
      </w:r>
    </w:p>
    <w:p w14:paraId="2755D8CA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>III.3- Os Honorários Advocatícios Sucumbenciais e Recursais</w:t>
      </w:r>
    </w:p>
    <w:p w14:paraId="236A93ED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r. sentença distribuiu os ônus sucumbenciais nos seguintes termos:</w:t>
      </w:r>
    </w:p>
    <w:p w14:paraId="4AB9BD12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040ED">
        <w:rPr>
          <w:rFonts w:ascii="Times New Roman" w:hAnsi="Times New Roman" w:cs="Times New Roman"/>
        </w:rPr>
        <w:t>“</w:t>
      </w:r>
      <w:r w:rsidRPr="009332BE">
        <w:rPr>
          <w:rFonts w:ascii="Times New Roman" w:hAnsi="Times New Roman" w:cs="Times New Roman"/>
          <w:i/>
          <w:iCs/>
        </w:rPr>
        <w:t>CONDENO os réus ao pagamento, pro rata, das custas processuais. Em relação aos honorários advocatícios, CONDENO:</w:t>
      </w:r>
    </w:p>
    <w:p w14:paraId="52972A70" w14:textId="04984AEA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a), 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ao pagamento de honorários advocatícios à autora que fixo em 10% sobre o valor atualizado da causa;</w:t>
      </w:r>
    </w:p>
    <w:p w14:paraId="252CAF00" w14:textId="207ED41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9332BE">
        <w:rPr>
          <w:rFonts w:ascii="Times New Roman" w:hAnsi="Times New Roman" w:cs="Times New Roman"/>
          <w:i/>
          <w:iCs/>
        </w:rPr>
        <w:t xml:space="preserve">b) o réu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ao pagamento de honorários advocatícios à autora no percentual de 10% sobre o valor da condenação (item 2 acima), a ser apurado em liquidação de sentença</w:t>
      </w:r>
      <w:r w:rsidRPr="005040ED">
        <w:rPr>
          <w:rFonts w:ascii="Times New Roman" w:hAnsi="Times New Roman" w:cs="Times New Roman"/>
        </w:rPr>
        <w:t>.”</w:t>
      </w:r>
    </w:p>
    <w:p w14:paraId="3E4250E4" w14:textId="54957B7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O v. acórdão, ao desprover ambas as apelações, rejeitou a pretensão de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de se eximir da sucumbência pelo princípio da causalidade — “</w:t>
      </w:r>
      <w:r w:rsidRPr="009332BE">
        <w:rPr>
          <w:rFonts w:ascii="Times New Roman" w:hAnsi="Times New Roman" w:cs="Times New Roman"/>
          <w:i/>
          <w:iCs/>
        </w:rPr>
        <w:t>sua conduta contribuiu diretamente para a necessidade de judicialização</w:t>
      </w:r>
      <w:r w:rsidRPr="005040ED">
        <w:rPr>
          <w:rFonts w:ascii="Times New Roman" w:hAnsi="Times New Roman" w:cs="Times New Roman"/>
        </w:rPr>
        <w:t>” — e majorou a verba:</w:t>
      </w:r>
    </w:p>
    <w:p w14:paraId="5CEDFFE4" w14:textId="00D493A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“</w:t>
      </w:r>
      <w:r w:rsidRPr="009332BE">
        <w:rPr>
          <w:rFonts w:ascii="Times New Roman" w:hAnsi="Times New Roman" w:cs="Times New Roman"/>
          <w:i/>
          <w:iCs/>
        </w:rPr>
        <w:t xml:space="preserve">Destarte, considerando o desprovimento dos presentes recursos, bem como o arbitramento da verba honorária em primeiro grau no patamar de 10% sobre o valor atualizado da causa perante o réu </w:t>
      </w:r>
      <w:r w:rsid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 xml:space="preserve"> e de 10% sobre o valor da condenação perante o réu </w:t>
      </w:r>
      <w:r w:rsid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, majoro os honorários recursais em 2%, ressaltando que referido percentual deverá ser acrescido à remuneração fixada pelo Juízo a quo para cada réu</w:t>
      </w:r>
      <w:r w:rsidRPr="005040ED">
        <w:rPr>
          <w:rFonts w:ascii="Times New Roman" w:hAnsi="Times New Roman" w:cs="Times New Roman"/>
        </w:rPr>
        <w:t>.”</w:t>
      </w:r>
    </w:p>
    <w:p w14:paraId="3AC84A43" w14:textId="7630495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Registre-se que os honorários sucumbenciais pertencem aos advogados da executada, constituem direito autônomo e têm natureza alimentar [art. 85, § 14, do CPC e art. 23 da Lei n. 8.906/1994], não se confundindo com o crédito da executada e, por isso, não sendo passíveis </w:t>
      </w:r>
      <w:r w:rsidRPr="005040ED">
        <w:rPr>
          <w:rFonts w:ascii="Times New Roman" w:hAnsi="Times New Roman" w:cs="Times New Roman"/>
        </w:rPr>
        <w:lastRenderedPageBreak/>
        <w:t xml:space="preserve">de compensação com o crédito do exequente. Desde já se ressalva a sua execução em autos próprios, inclusive provisoriamente, bem como a eventual majoração adicional pelo STJ [art. 85, § 11, do CPC] no julgamento do </w:t>
      </w:r>
      <w:proofErr w:type="spellStart"/>
      <w:r w:rsidRPr="005040ED">
        <w:rPr>
          <w:rFonts w:ascii="Times New Roman" w:hAnsi="Times New Roman" w:cs="Times New Roman"/>
        </w:rPr>
        <w:t>AREsp</w:t>
      </w:r>
      <w:proofErr w:type="spellEnd"/>
      <w:r w:rsidRPr="005040ED">
        <w:rPr>
          <w:rFonts w:ascii="Times New Roman" w:hAnsi="Times New Roman" w:cs="Times New Roman"/>
        </w:rPr>
        <w:t>.</w:t>
      </w:r>
    </w:p>
    <w:p w14:paraId="11ED3DBC" w14:textId="357ACE93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>IV- A IMPOSSIBILIDADE, NO MOMENTO, DA PENHORA E DA MARCHA EXPROPRIATÓRIA SOBRE OS IMÓVEIS LITIGIOSOS</w:t>
      </w:r>
    </w:p>
    <w:p w14:paraId="55660A6C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>IV.1- O Prosseguimento Decorre de Decisão Não Transitada: Regime do Cumprimento Provisório</w:t>
      </w:r>
    </w:p>
    <w:p w14:paraId="1B32B7EF" w14:textId="4353AA5B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título executivo originário, a sentença da ação de cobrança, há muito transitou em julgado. Não é ele que está em discussão. O que ainda não transitou em julgado é a decisão que removeu o obstáculo ao prosseguimento deste feito: a transação homologada que havia extinguido a execução [art. 924, II e III, do CPC].</w:t>
      </w:r>
    </w:p>
    <w:p w14:paraId="03BBA478" w14:textId="7BBB2D7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Em outras palavras, a retomada da execução só é possível, hoje, por força de uma decisão ainda sujeita a recurso pendente no STJ. Se essa decisão vier a ser reformada, a dação em pagamento será restabelecida, a obrigação estará extinta [art. 356 do Código Civil] e não haverá dívida alguma a executar.</w:t>
      </w:r>
    </w:p>
    <w:p w14:paraId="50A13C40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Ora, a decisão impugnada por recurso desprovido de efeito suspensivo produz efeitos imediatos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995 e 1.029, § 5º, do CPC], mas o seu cumprimento se submete ao regime do cumprimento provisório, cujas balizas estão no art. 520 do CPC:</w:t>
      </w:r>
    </w:p>
    <w:p w14:paraId="549146FB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040ED">
        <w:rPr>
          <w:rFonts w:ascii="Times New Roman" w:hAnsi="Times New Roman" w:cs="Times New Roman"/>
        </w:rPr>
        <w:t>“</w:t>
      </w:r>
      <w:r w:rsidRPr="009332BE">
        <w:rPr>
          <w:rFonts w:ascii="Times New Roman" w:hAnsi="Times New Roman" w:cs="Times New Roman"/>
          <w:i/>
          <w:iCs/>
        </w:rPr>
        <w:t>Art. 520. O cumprimento provisório da sentença impugnada por recurso desprovido de efeito suspensivo será realizado da mesma forma que o cumprimento definitivo, sujeitando-se ao seguinte regime:</w:t>
      </w:r>
    </w:p>
    <w:p w14:paraId="645CDBF4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I - </w:t>
      </w:r>
      <w:proofErr w:type="gramStart"/>
      <w:r w:rsidRPr="009332BE">
        <w:rPr>
          <w:rFonts w:ascii="Times New Roman" w:hAnsi="Times New Roman" w:cs="Times New Roman"/>
          <w:i/>
          <w:iCs/>
        </w:rPr>
        <w:t>corre</w:t>
      </w:r>
      <w:proofErr w:type="gramEnd"/>
      <w:r w:rsidRPr="009332BE">
        <w:rPr>
          <w:rFonts w:ascii="Times New Roman" w:hAnsi="Times New Roman" w:cs="Times New Roman"/>
          <w:i/>
          <w:iCs/>
        </w:rPr>
        <w:t xml:space="preserve"> por iniciativa e responsabilidade do exequente, que se obriga, se a sentença for reformada, a reparar os danos que o executado haja sofrido;</w:t>
      </w:r>
    </w:p>
    <w:p w14:paraId="596F1880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9332BE">
        <w:rPr>
          <w:rFonts w:ascii="Times New Roman" w:hAnsi="Times New Roman" w:cs="Times New Roman"/>
          <w:i/>
          <w:iCs/>
        </w:rPr>
        <w:t xml:space="preserve">II - </w:t>
      </w:r>
      <w:proofErr w:type="gramStart"/>
      <w:r w:rsidRPr="009332BE">
        <w:rPr>
          <w:rFonts w:ascii="Times New Roman" w:hAnsi="Times New Roman" w:cs="Times New Roman"/>
          <w:i/>
          <w:iCs/>
        </w:rPr>
        <w:t>fica</w:t>
      </w:r>
      <w:proofErr w:type="gramEnd"/>
      <w:r w:rsidRPr="009332BE">
        <w:rPr>
          <w:rFonts w:ascii="Times New Roman" w:hAnsi="Times New Roman" w:cs="Times New Roman"/>
          <w:i/>
          <w:iCs/>
        </w:rPr>
        <w:t xml:space="preserve"> sem efeito, sobrevindo decisão que modifique ou anule a sentença objeto da execução, restabelecendo-se as partes ao estado anterior e liquidados eventuais prejuízos nos mesmos autos; [...]</w:t>
      </w:r>
    </w:p>
    <w:p w14:paraId="5BCA7C2E" w14:textId="56CB0D5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9332BE">
        <w:rPr>
          <w:rFonts w:ascii="Times New Roman" w:hAnsi="Times New Roman" w:cs="Times New Roman"/>
          <w:i/>
          <w:iCs/>
        </w:rPr>
        <w:t xml:space="preserve">IV - </w:t>
      </w:r>
      <w:proofErr w:type="gramStart"/>
      <w:r w:rsidRPr="009332BE">
        <w:rPr>
          <w:rFonts w:ascii="Times New Roman" w:hAnsi="Times New Roman" w:cs="Times New Roman"/>
          <w:i/>
          <w:iCs/>
        </w:rPr>
        <w:t>o</w:t>
      </w:r>
      <w:proofErr w:type="gramEnd"/>
      <w:r w:rsidRPr="009332BE">
        <w:rPr>
          <w:rFonts w:ascii="Times New Roman" w:hAnsi="Times New Roman" w:cs="Times New Roman"/>
          <w:i/>
          <w:iCs/>
        </w:rPr>
        <w:t xml:space="preserve"> levantamento de depósito em dinheiro e a prática de atos que importem transferência de posse ou alienação de propriedade ou de outro direito real, ou dos quais possa resultar grave dano ao executado, dependem de caução suficiente e idônea, arbitrada de plano pelo juiz e prestada nos próprios autos</w:t>
      </w:r>
      <w:r w:rsidRPr="005040ED">
        <w:rPr>
          <w:rFonts w:ascii="Times New Roman" w:hAnsi="Times New Roman" w:cs="Times New Roman"/>
        </w:rPr>
        <w:t>.”</w:t>
      </w:r>
    </w:p>
    <w:p w14:paraId="774AC3E0" w14:textId="46CC5D0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Assim, ainda que o título originário seja definitivo, a viabilidade da execução repousa, hoje, sobre decisão provisória. </w:t>
      </w:r>
    </w:p>
    <w:p w14:paraId="5A730016" w14:textId="77777777" w:rsidR="009332BE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Não há como admitir que o exequente pratique atos irreversíveis, verbi gratia, penhora seguida de avaliação, adjudicação ou alienação sobre bens cuja titularidade é exatamente o objeto do recurso que ele próprio mantém pendente no STJ.</w:t>
      </w:r>
    </w:p>
    <w:p w14:paraId="030B7969" w14:textId="06554C8B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lastRenderedPageBreak/>
        <w:t xml:space="preserve">Nem se diga haver incoerência com a postura da executada no evento </w:t>
      </w:r>
      <w:r w:rsidR="009332BE">
        <w:rPr>
          <w:rFonts w:ascii="Times New Roman" w:hAnsi="Times New Roman" w:cs="Times New Roman"/>
        </w:rPr>
        <w:t>..</w:t>
      </w:r>
      <w:r w:rsidRPr="005040ED">
        <w:rPr>
          <w:rFonts w:ascii="Times New Roman" w:hAnsi="Times New Roman" w:cs="Times New Roman"/>
        </w:rPr>
        <w:t xml:space="preserve">. Ali se sustentou, e se sustenta, a eficácia imediata da sentença anulatória, que autoriza medidas conservativas e reversíveis, como a indisponibilidade registral deferida por este d. Juízo. </w:t>
      </w:r>
    </w:p>
    <w:p w14:paraId="4E8C6D7B" w14:textId="11662626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Coisa bem diversa é extrair dessa eficácia provisória a autorização para atos expropriatórios e irreversíveis, que a lei expressamente submete a regime próprio [art. 520, IV, do CPC]. Eficácia imediata não é sinônimo de definitividade, e é precisamente essa distinção que o CPC consagra.</w:t>
      </w:r>
    </w:p>
    <w:p w14:paraId="7C50EAA9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>IV.2- O Retorno dos Imóveis ao Patrimônio da Executada Foi Expressamente Condicionado ao Trânsito em Julgado</w:t>
      </w:r>
    </w:p>
    <w:p w14:paraId="165E03C0" w14:textId="5B29B2C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Como transcrito no item III.1, a própria sentença anulatória determinou que somente “</w:t>
      </w:r>
      <w:r w:rsidRPr="009332BE">
        <w:rPr>
          <w:rFonts w:ascii="Times New Roman" w:hAnsi="Times New Roman" w:cs="Times New Roman"/>
          <w:i/>
          <w:iCs/>
        </w:rPr>
        <w:t xml:space="preserve">Transitada em julgado, OFICIE-SE ao Cartório de Registro de Imóveis de </w:t>
      </w:r>
      <w:r w:rsidR="009332BE" w:rsidRPr="009332BE">
        <w:rPr>
          <w:rFonts w:ascii="Times New Roman" w:hAnsi="Times New Roman" w:cs="Times New Roman"/>
          <w:i/>
          <w:iCs/>
        </w:rPr>
        <w:t>...</w:t>
      </w:r>
      <w:r w:rsidRPr="009332BE">
        <w:rPr>
          <w:rFonts w:ascii="Times New Roman" w:hAnsi="Times New Roman" w:cs="Times New Roman"/>
          <w:i/>
          <w:iCs/>
        </w:rPr>
        <w:t>, para as providências necessárias para o retorno da propriedade dos imóveis acima descritos à empresa autora</w:t>
      </w:r>
      <w:r w:rsidRPr="005040ED">
        <w:rPr>
          <w:rFonts w:ascii="Times New Roman" w:hAnsi="Times New Roman" w:cs="Times New Roman"/>
        </w:rPr>
        <w:t>”.</w:t>
      </w:r>
    </w:p>
    <w:p w14:paraId="2FC28BF5" w14:textId="35F9B84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Na mesma linha, a r. decisão do evento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determinou a averbação da indisponibilidade dos imóveis “</w:t>
      </w:r>
      <w:r w:rsidRPr="009332BE">
        <w:rPr>
          <w:rFonts w:ascii="Times New Roman" w:hAnsi="Times New Roman" w:cs="Times New Roman"/>
          <w:i/>
          <w:iCs/>
        </w:rPr>
        <w:t>até que sobrevenha o trânsito em julgado da referida ação</w:t>
      </w:r>
      <w:r w:rsidRPr="005040ED">
        <w:rPr>
          <w:rFonts w:ascii="Times New Roman" w:hAnsi="Times New Roman" w:cs="Times New Roman"/>
        </w:rPr>
        <w:t xml:space="preserve">”, e o r. despacho do evento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a manteve diante da “</w:t>
      </w:r>
      <w:r w:rsidRPr="009332BE">
        <w:rPr>
          <w:rFonts w:ascii="Times New Roman" w:hAnsi="Times New Roman" w:cs="Times New Roman"/>
          <w:i/>
          <w:iCs/>
        </w:rPr>
        <w:t>controvérsia ainda existente acerca dos efeitos da transação e da situação jurídica dos imóveis</w:t>
      </w:r>
      <w:r w:rsidRPr="005040ED">
        <w:rPr>
          <w:rFonts w:ascii="Times New Roman" w:hAnsi="Times New Roman" w:cs="Times New Roman"/>
        </w:rPr>
        <w:t>”.</w:t>
      </w:r>
    </w:p>
    <w:p w14:paraId="2177812D" w14:textId="481E50E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consequência é lógica e incontornável: antes do trânsito em julgado, os imóveis não retornaram, de forma livre e definitiva, ao patrimônio disponível da executada. A penhora pressupõe bem do devedor apto à expropriação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 xml:space="preserve">. 789 e 831 do CPC]; aqui, o bem </w:t>
      </w:r>
      <w:proofErr w:type="spellStart"/>
      <w:r w:rsidRPr="005040ED">
        <w:rPr>
          <w:rFonts w:ascii="Times New Roman" w:hAnsi="Times New Roman" w:cs="Times New Roman"/>
        </w:rPr>
        <w:t>está</w:t>
      </w:r>
      <w:proofErr w:type="spellEnd"/>
      <w:r w:rsidRPr="005040ED">
        <w:rPr>
          <w:rFonts w:ascii="Times New Roman" w:hAnsi="Times New Roman" w:cs="Times New Roman"/>
        </w:rPr>
        <w:t xml:space="preserve"> sob litígio pendente, com retorno dominial ainda condicionado e gravado por indisponibilidade judicial.</w:t>
      </w:r>
    </w:p>
    <w:p w14:paraId="190D2D09" w14:textId="15F34D0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Há mais. O “</w:t>
      </w:r>
      <w:r w:rsidRPr="009332BE">
        <w:rPr>
          <w:rFonts w:ascii="Times New Roman" w:hAnsi="Times New Roman" w:cs="Times New Roman"/>
          <w:i/>
          <w:iCs/>
        </w:rPr>
        <w:t>Termo de Acordo Extrajudicial</w:t>
      </w:r>
      <w:r w:rsidRPr="005040ED">
        <w:rPr>
          <w:rFonts w:ascii="Times New Roman" w:hAnsi="Times New Roman" w:cs="Times New Roman"/>
        </w:rPr>
        <w:t>” previu a outorga “</w:t>
      </w:r>
      <w:r w:rsidRPr="009332BE">
        <w:rPr>
          <w:rFonts w:ascii="Times New Roman" w:hAnsi="Times New Roman" w:cs="Times New Roman"/>
          <w:i/>
          <w:iCs/>
        </w:rPr>
        <w:t>desde logo</w:t>
      </w:r>
      <w:r w:rsidRPr="005040ED">
        <w:rPr>
          <w:rFonts w:ascii="Times New Roman" w:hAnsi="Times New Roman" w:cs="Times New Roman"/>
        </w:rPr>
        <w:t xml:space="preserve">” das escrituras de dação em pagamento das matrículas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e nestes autos foi expedido alvará para a transferência da matrícula n.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/atual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[eventos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]. Não se pode descartar, portanto, que os imóveis — ou parte deles — figurem no fólio real em nome do próprio exequente. </w:t>
      </w:r>
    </w:p>
    <w:p w14:paraId="7FEA730B" w14:textId="7770862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Seria verdadeiro contrassenso jurídico o credor requerer a penhora, como se fossem da devedora, de bens que podem estar registrados em seu próprio nome e cuja propriedade ele próprio disputa no STJ. Não por acaso, o r. despacho do evento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exigiu do exequente a comprovação da “</w:t>
      </w:r>
      <w:r w:rsidRPr="009332BE">
        <w:rPr>
          <w:rFonts w:ascii="Times New Roman" w:hAnsi="Times New Roman" w:cs="Times New Roman"/>
          <w:i/>
          <w:iCs/>
        </w:rPr>
        <w:t>titularidade registral atual</w:t>
      </w:r>
      <w:r w:rsidRPr="005040ED">
        <w:rPr>
          <w:rFonts w:ascii="Times New Roman" w:hAnsi="Times New Roman" w:cs="Times New Roman"/>
        </w:rPr>
        <w:t>” antes de qualquer constrição.</w:t>
      </w:r>
    </w:p>
    <w:p w14:paraId="604C7A92" w14:textId="77777777" w:rsidR="005040ED" w:rsidRPr="009332BE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9332BE">
        <w:rPr>
          <w:rFonts w:ascii="Times New Roman" w:hAnsi="Times New Roman" w:cs="Times New Roman"/>
          <w:b/>
          <w:bCs/>
        </w:rPr>
        <w:t>IV.3- O Risco de Dano Grave e Irreversível – Art. 520, I, II e IV, e Art. 521, Parágrafo Único, do CPC</w:t>
      </w:r>
    </w:p>
    <w:p w14:paraId="3A9C3656" w14:textId="46C82C2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Os imóveis em questão são rurais, de área expressiva [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ha], remanescentes de desapropriação para a Usina Hidrelétrica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e foram avaliados em R$ </w:t>
      </w:r>
      <w:r w:rsidR="009332BE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à época do acordo anulado, conforme avaliação juntada à inicial da anulatória e referida na sentença, valor muito superior ao crédito executado.</w:t>
      </w:r>
    </w:p>
    <w:p w14:paraId="15DD56E3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Caso a marcha expropriatória avance e, ao final, sobrevenha decisão do STJ favorável ao exequente, ter-se-á expropriado bem para satisfazer dívida que, nessa hipótese, estaria extinta pela dação. </w:t>
      </w:r>
    </w:p>
    <w:p w14:paraId="0845DFA9" w14:textId="0852FA1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lastRenderedPageBreak/>
        <w:t>Se, ao contrário, prevalecer a nulidade como se espera, a alienação judicial precipitada terá retirado da executada, por valor de leilão, imóveis cuja restituição integral foi determinada pelo Poder Judiciário. Em qualquer cenário, o ingresso de arrematantes ou adjudicatários na cadeia dominial geraria multiplicação de litígios e dano de difícil ou impossível reparação.</w:t>
      </w:r>
    </w:p>
    <w:p w14:paraId="7BA2012D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Não socorre o exequente o art. 521, III, do CPC, que autoriza a dispensa da caução quando “</w:t>
      </w:r>
      <w:r w:rsidRPr="00AC7168">
        <w:rPr>
          <w:rFonts w:ascii="Times New Roman" w:hAnsi="Times New Roman" w:cs="Times New Roman"/>
          <w:i/>
          <w:iCs/>
        </w:rPr>
        <w:t>pender o agravo do art. 1.042</w:t>
      </w:r>
      <w:r w:rsidRPr="005040ED">
        <w:rPr>
          <w:rFonts w:ascii="Times New Roman" w:hAnsi="Times New Roman" w:cs="Times New Roman"/>
        </w:rPr>
        <w:t>”. O parágrafo único do mesmo dispositivo é taxativo:</w:t>
      </w:r>
    </w:p>
    <w:p w14:paraId="49D0F4CC" w14:textId="6B5B5DFA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“</w:t>
      </w:r>
      <w:r w:rsidRPr="00AC7168">
        <w:rPr>
          <w:rFonts w:ascii="Times New Roman" w:hAnsi="Times New Roman" w:cs="Times New Roman"/>
          <w:i/>
          <w:iCs/>
        </w:rPr>
        <w:t>Art. 521. [...] Parágrafo único. A exigência de caução será mantida quando da dispensa possa resultar manifesto risco de grave dano de difícil ou incerta reparação</w:t>
      </w:r>
      <w:r w:rsidRPr="005040ED">
        <w:rPr>
          <w:rFonts w:ascii="Times New Roman" w:hAnsi="Times New Roman" w:cs="Times New Roman"/>
        </w:rPr>
        <w:t>.”</w:t>
      </w:r>
    </w:p>
    <w:p w14:paraId="30A253BC" w14:textId="2B313AE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É exatamente a hipótese dos autos: a expropriação de imóveis rurais únicos, objeto do próprio litígio, é o exemplo paradigmático de dano de difícil ou incerta reparação.</w:t>
      </w:r>
    </w:p>
    <w:p w14:paraId="5E732BC9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Na execução provisória que implique alienação ou transferência de imóvel, a caução suficiente e idônea é exigida como regra, nos termos do art. 520, IV, do CPC. </w:t>
      </w:r>
    </w:p>
    <w:p w14:paraId="462BD1A2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 hipótese do art. 521, III, autoriza sua dispensa, mas não a impõe, devendo ser afastada quando houver risco concreto de dano grave ou de difícil reparação. </w:t>
      </w:r>
    </w:p>
    <w:p w14:paraId="09B685AA" w14:textId="338CFEE4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colendo TJSC, especialmente, tende a rejeitar a utilização do próprio imóvel litigioso como garantia.</w:t>
      </w:r>
    </w:p>
    <w:p w14:paraId="4C698AB3" w14:textId="4EEFE461" w:rsidR="005040ED" w:rsidRPr="00AC7168" w:rsidRDefault="00AC7168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="005040ED" w:rsidRPr="00AC7168">
        <w:rPr>
          <w:rFonts w:ascii="Times New Roman" w:hAnsi="Times New Roman" w:cs="Times New Roman"/>
          <w:i/>
          <w:iCs/>
        </w:rPr>
        <w:t>DIREITO PROCESSUAL CIVIL - CUMPRIMENTO PROVISÓRIO DE SENTENÇA- PEDIDO DE REINTEGRAÇÃO DE POSSE - INTERLOCUTÓRIO QUE DETERMINOU A LAVRATURA DO TERMO DE CAUÇÃO DO PRÓPRIO IMÓVEL - INSURGÊNCIA DOS EXECUTADOS - IMÓVEL OFERECIDO EM GARANTIA QUE REPRESENTA O MESMO BEM EM LITÍGIO NA AÇÃO PRINCIPAL - HIPÓTESE EM QUE A CAUÇÃO DESAPARECERIA EM CASO DE REVERSÃO DA PROPRIEDADE EM SEDE RECURSAL - INCAPACIDADE DE GARANTIA DE REPARAÇÃO DE POSSÍVEIS DANOS - CARÊNCIA DE IDONEIDADE DA CAUÇÃO - RECURSO CONHECIDO E PROVIDO - DECISÃO REFORMADA.</w:t>
      </w:r>
      <w:r>
        <w:rPr>
          <w:rFonts w:ascii="Times New Roman" w:hAnsi="Times New Roman" w:cs="Times New Roman"/>
          <w:i/>
          <w:iCs/>
        </w:rPr>
        <w:t xml:space="preserve"> </w:t>
      </w:r>
      <w:r w:rsidR="005040ED" w:rsidRPr="00AC7168">
        <w:rPr>
          <w:rFonts w:ascii="Times New Roman" w:hAnsi="Times New Roman" w:cs="Times New Roman"/>
          <w:i/>
          <w:iCs/>
        </w:rPr>
        <w:t>Não se pode autorizar que o próprio imóvel sub judice seja dado em garantia para reintegração de posse, visto que, na eventualidade de ser reformada a sentença, a propriedade voltaria aos executados e desapareceria a garantia de ressarcimento dos danos decorrentes da execução provisória. (TJSC, Agravo de Instrumento n. 5024030-68.2023.8.24.0000, do Tribunal de Justiça de Santa Catarina, rel. Monteiro Rocha, Segunda Câmara de Direito Civil, j. 06-09-2023)</w:t>
      </w:r>
      <w:r>
        <w:rPr>
          <w:rFonts w:ascii="Times New Roman" w:hAnsi="Times New Roman" w:cs="Times New Roman"/>
          <w:i/>
          <w:iCs/>
        </w:rPr>
        <w:t>.</w:t>
      </w:r>
      <w:r w:rsidRPr="00AC7168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5040ED" w:rsidRPr="005040ED">
        <w:rPr>
          <w:rFonts w:ascii="Times New Roman" w:hAnsi="Times New Roman" w:cs="Times New Roman"/>
        </w:rPr>
        <w:t>[</w:t>
      </w:r>
      <w:proofErr w:type="gramEnd"/>
      <w:r w:rsidR="005040ED" w:rsidRPr="005040ED">
        <w:rPr>
          <w:rFonts w:ascii="Times New Roman" w:hAnsi="Times New Roman" w:cs="Times New Roman"/>
        </w:rPr>
        <w:t>TJSC, Agravo de Instrumento: 50240306820238240000, Rel. Monteiro Rocha, Segunda Câmara de Direito Civil, Data de Julgamento: 06/09/2023]</w:t>
      </w:r>
    </w:p>
    <w:p w14:paraId="08A08C7C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IV.4- Prejudicialidade Externa, Menor Onerosidade e Garantia Já Existente</w:t>
      </w:r>
    </w:p>
    <w:p w14:paraId="74974788" w14:textId="6419314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art. 313, V, “a”, do CPC autoriza a suspensão quando o julgamento do processo depender do julgamento de outra causa ou da declaração da existência ou inexistência de relação jurídica que constitua o objeto principal de outro processo pendente. Por força do art. 921, I, a mesma disciplina alcança a execução.</w:t>
      </w:r>
    </w:p>
    <w:p w14:paraId="6AA01946" w14:textId="4C328A9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lastRenderedPageBreak/>
        <w:t xml:space="preserve">A dependência lógica, aqui, é direta e incontornável. Esta execução somente voltou a prosseguir porque a ação anulatória afastou a eficácia do acordo que anteriormente a extinguiu. Se a anulação for mantida em definitivo, o cumprimento prosseguirá segundo os limites do título originário e da sub-rogação. Se a anulação for desconstituída pelo STJ, o acordo homologado volta a ocupar o centro da relação jurídica e a própria execução perde o suporte para a marcha que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pretende impor agora. </w:t>
      </w:r>
    </w:p>
    <w:p w14:paraId="3E199039" w14:textId="49FC82B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jurisprudência recente do SUPERIOR TRIBUNAL DE JUSTIÇA oferece precedente especialmente persuasivo. No REsp n. 1.985.947/MG, a Terceira Turma examinou execução vinculada a ação anulatória conexa e reconheceu a prejudicialidade externa, determinando a suspensão da execução até a estabilização da decisão anulatória. O acórdão registrou que a suspensão evita antecipação indevida dos efeitos da coisa julgada e preserva segurança jurídica, economia processual e coerência jurisdicional:</w:t>
      </w:r>
    </w:p>
    <w:p w14:paraId="32041ACE" w14:textId="772FDD4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“</w:t>
      </w:r>
      <w:r w:rsidRPr="00AC7168">
        <w:rPr>
          <w:rFonts w:ascii="Times New Roman" w:hAnsi="Times New Roman" w:cs="Times New Roman"/>
          <w:i/>
          <w:iCs/>
        </w:rPr>
        <w:t>A prejudicialidade externa ocorre quando o julgamento de uma ação depende logicamente da solução de outra causa conexa, impondo, como regra de prudência e coerência jurisdicional, a suspensão do processo dependente até o desfecho definitivo da causa principal</w:t>
      </w:r>
      <w:r w:rsidRPr="005040ED">
        <w:rPr>
          <w:rFonts w:ascii="Times New Roman" w:hAnsi="Times New Roman" w:cs="Times New Roman"/>
        </w:rPr>
        <w:t>.” [STJ, REsp n. 1.985.947/MG, Rel. Min. Moura Ribeiro, 3ª Turma, DJEN 12.12.2025].</w:t>
      </w:r>
    </w:p>
    <w:p w14:paraId="4DC0329B" w14:textId="0249DAF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Colhe-se do voto do Ministro-Relator; “</w:t>
      </w:r>
      <w:r w:rsidRPr="00AC7168">
        <w:rPr>
          <w:rFonts w:ascii="Times New Roman" w:hAnsi="Times New Roman" w:cs="Times New Roman"/>
          <w:i/>
          <w:iCs/>
        </w:rPr>
        <w:t xml:space="preserve">A leitura sistemática dos </w:t>
      </w:r>
      <w:proofErr w:type="spellStart"/>
      <w:r w:rsidRPr="00AC7168">
        <w:rPr>
          <w:rFonts w:ascii="Times New Roman" w:hAnsi="Times New Roman" w:cs="Times New Roman"/>
          <w:i/>
          <w:iCs/>
        </w:rPr>
        <w:t>arts</w:t>
      </w:r>
      <w:proofErr w:type="spellEnd"/>
      <w:r w:rsidRPr="00AC7168">
        <w:rPr>
          <w:rFonts w:ascii="Times New Roman" w:hAnsi="Times New Roman" w:cs="Times New Roman"/>
          <w:i/>
          <w:iCs/>
        </w:rPr>
        <w:t>. 313, V, a, 921, I, e 784, § 1º, do CPC demonstra que a mera existência de ação anulatória sobre o título não impede o ajuizamento da execução, mas pode justificar sua suspensão até a estabilização definitiva da controvérsia sobre a validade do título executivo. O art. 784, § 1º, inclusive, reforça expressamente essa orientação ao prever que “a propositura de qualquer ação relativa a débito constante de título executivo não inibe o credor de promover-lhe a execução”. Portanto, a suspensão é a medida processual correta, pois harmoniza a prudência judicial com a preservação do direito de ação do credor, evitando tanto decisões conflitantes quanto a inutilização do processo executivo. A extinção, ao contrário, viola os princípios da segurança jurídica, da economia processual e da efetividade da jurisdição, por antecipar os efeitos de decisão ainda não consolidada</w:t>
      </w:r>
      <w:r w:rsidRPr="005040ED">
        <w:rPr>
          <w:rFonts w:ascii="Times New Roman" w:hAnsi="Times New Roman" w:cs="Times New Roman"/>
        </w:rPr>
        <w:t>”.</w:t>
      </w:r>
    </w:p>
    <w:p w14:paraId="616231C8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 existência e a exigibilidade do crédito exequendo dependem diretamente do desfecho do </w:t>
      </w:r>
      <w:proofErr w:type="spellStart"/>
      <w:r w:rsidRPr="005040ED">
        <w:rPr>
          <w:rFonts w:ascii="Times New Roman" w:hAnsi="Times New Roman" w:cs="Times New Roman"/>
        </w:rPr>
        <w:t>AREsp</w:t>
      </w:r>
      <w:proofErr w:type="spellEnd"/>
      <w:r w:rsidRPr="005040ED">
        <w:rPr>
          <w:rFonts w:ascii="Times New Roman" w:hAnsi="Times New Roman" w:cs="Times New Roman"/>
        </w:rPr>
        <w:t xml:space="preserve"> n. 331.427/SC: mantida a nulidade, a dívida subsiste; restabelecida a dação, ela está extinta. Configura-se, assim, típica prejudicialidade externa, a autorizar a suspensão dos atos executivos que dela dependam [art. 313, V, “a”, c/c art. 921, I, do CPC].</w:t>
      </w:r>
    </w:p>
    <w:p w14:paraId="5CD126C0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suspensão dos atos constritivos e expropriatórios não causa ao exequente prejuízo algum:</w:t>
      </w:r>
    </w:p>
    <w:p w14:paraId="4A9F85D6" w14:textId="7DF7997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 w:rsidR="00AC7168"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os</w:t>
      </w:r>
      <w:proofErr w:type="gramEnd"/>
      <w:r w:rsidRPr="005040ED">
        <w:rPr>
          <w:rFonts w:ascii="Times New Roman" w:hAnsi="Times New Roman" w:cs="Times New Roman"/>
        </w:rPr>
        <w:t xml:space="preserve"> imóveis já se encontram indisponíveis por ordem deste d. Juízo, o que impede sua alienação ou oneração e garante a utilidade de futura execução;</w:t>
      </w:r>
    </w:p>
    <w:p w14:paraId="3E482079" w14:textId="305998BB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 w:rsidR="00AC7168"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o</w:t>
      </w:r>
      <w:proofErr w:type="gramEnd"/>
      <w:r w:rsidRPr="005040ED">
        <w:rPr>
          <w:rFonts w:ascii="Times New Roman" w:hAnsi="Times New Roman" w:cs="Times New Roman"/>
        </w:rPr>
        <w:t xml:space="preserve"> crédito do exequente continua a sofrer correção monetária e juros na forma da lei;</w:t>
      </w:r>
    </w:p>
    <w:p w14:paraId="5B6A3C26" w14:textId="089C95F3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-</w:t>
      </w:r>
      <w:r w:rsidR="00AC7168"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o</w:t>
      </w:r>
      <w:proofErr w:type="gramEnd"/>
      <w:r w:rsidRPr="005040ED">
        <w:rPr>
          <w:rFonts w:ascii="Times New Roman" w:hAnsi="Times New Roman" w:cs="Times New Roman"/>
        </w:rPr>
        <w:t xml:space="preserve"> exequente permanece, inclusive, na posse dos imóveis [circunstância que, de outro lado, faz fluir mês a mês a indenização pela fruição].</w:t>
      </w:r>
    </w:p>
    <w:p w14:paraId="15926B47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De outro lado, a penhora seguida de expropriação imporia à executada o meio mais gravoso possível, em afronta ao princípio da menor onerosidade [art. 805 do CPC], quando a </w:t>
      </w:r>
      <w:r w:rsidRPr="005040ED">
        <w:rPr>
          <w:rFonts w:ascii="Times New Roman" w:hAnsi="Times New Roman" w:cs="Times New Roman"/>
        </w:rPr>
        <w:lastRenderedPageBreak/>
        <w:t xml:space="preserve">indisponibilidade já cumpre, com folga, a função de garantia. </w:t>
      </w:r>
      <w:proofErr w:type="gramStart"/>
      <w:r w:rsidRPr="005040ED">
        <w:rPr>
          <w:rFonts w:ascii="Times New Roman" w:hAnsi="Times New Roman" w:cs="Times New Roman"/>
        </w:rPr>
        <w:t>A</w:t>
      </w:r>
      <w:proofErr w:type="gramEnd"/>
      <w:r w:rsidRPr="005040ED">
        <w:rPr>
          <w:rFonts w:ascii="Times New Roman" w:hAnsi="Times New Roman" w:cs="Times New Roman"/>
        </w:rPr>
        <w:t xml:space="preserve"> medida que se requer é, portanto, adequada, necessária e proporcional.</w:t>
      </w:r>
    </w:p>
    <w:p w14:paraId="25CDAA15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IV.5- Os Óbices Registrais e Fáticos Próprios dos Imóveis Indicados</w:t>
      </w:r>
    </w:p>
    <w:p w14:paraId="5E02BE52" w14:textId="165A978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Por fim, e sem prejuízo do quanto exposto, a executada reitera a pertinência das cautelas determinadas no r. despacho do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pois os imóveis indicados apresentam particularidades que, por si sós, inviabilizam a imediata constrição:</w:t>
      </w:r>
    </w:p>
    <w:p w14:paraId="47CEACAF" w14:textId="5F954484" w:rsidR="005040ED" w:rsidRPr="005040ED" w:rsidRDefault="00AC7168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040ED" w:rsidRPr="005040ED">
        <w:rPr>
          <w:rFonts w:ascii="Times New Roman" w:hAnsi="Times New Roman" w:cs="Times New Roman"/>
        </w:rPr>
        <w:t>as</w:t>
      </w:r>
      <w:proofErr w:type="gramEnd"/>
      <w:r w:rsidR="005040ED" w:rsidRPr="005040ED">
        <w:rPr>
          <w:rFonts w:ascii="Times New Roman" w:hAnsi="Times New Roman" w:cs="Times New Roman"/>
        </w:rPr>
        <w:t xml:space="preserve"> áreas das matrículas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 xml:space="preserve"> e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 xml:space="preserve"> são remanescentes de desapropriação promovida em razão da Usina Hidrelétrica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 xml:space="preserve">, com ação em curso [autos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>], a serem “</w:t>
      </w:r>
      <w:r w:rsidR="005040ED" w:rsidRPr="00AC7168">
        <w:rPr>
          <w:rFonts w:ascii="Times New Roman" w:hAnsi="Times New Roman" w:cs="Times New Roman"/>
          <w:i/>
          <w:iCs/>
        </w:rPr>
        <w:t>destacadas de todo maior</w:t>
      </w:r>
      <w:r w:rsidR="005040ED" w:rsidRPr="005040ED">
        <w:rPr>
          <w:rFonts w:ascii="Times New Roman" w:hAnsi="Times New Roman" w:cs="Times New Roman"/>
        </w:rPr>
        <w:t>”, conforme constou do próprio termo anulado;</w:t>
      </w:r>
    </w:p>
    <w:p w14:paraId="1108342C" w14:textId="64F49917" w:rsidR="005040ED" w:rsidRPr="005040ED" w:rsidRDefault="00AC7168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040ED" w:rsidRPr="005040ED">
        <w:rPr>
          <w:rFonts w:ascii="Times New Roman" w:hAnsi="Times New Roman" w:cs="Times New Roman"/>
        </w:rPr>
        <w:t>a</w:t>
      </w:r>
      <w:proofErr w:type="gramEnd"/>
      <w:r w:rsidR="005040ED" w:rsidRPr="005040ED">
        <w:rPr>
          <w:rFonts w:ascii="Times New Roman" w:hAnsi="Times New Roman" w:cs="Times New Roman"/>
        </w:rPr>
        <w:t xml:space="preserve"> área remanescente da matrícula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 xml:space="preserve"> dependia de retificação administrativa de área e perímetro [art. 213, II, da Lei n. 6.015/1973], por se tratar de “</w:t>
      </w:r>
      <w:r w:rsidR="005040ED" w:rsidRPr="00AC7168">
        <w:rPr>
          <w:rFonts w:ascii="Times New Roman" w:hAnsi="Times New Roman" w:cs="Times New Roman"/>
          <w:i/>
          <w:iCs/>
        </w:rPr>
        <w:t>descrição tabular antiga e imprecisa</w:t>
      </w:r>
      <w:r w:rsidR="005040ED" w:rsidRPr="005040ED">
        <w:rPr>
          <w:rFonts w:ascii="Times New Roman" w:hAnsi="Times New Roman" w:cs="Times New Roman"/>
        </w:rPr>
        <w:t xml:space="preserve">” [a matrícula </w:t>
      </w:r>
      <w:r>
        <w:rPr>
          <w:rFonts w:ascii="Times New Roman" w:hAnsi="Times New Roman" w:cs="Times New Roman"/>
        </w:rPr>
        <w:t xml:space="preserve">... </w:t>
      </w:r>
      <w:r w:rsidR="005040ED" w:rsidRPr="005040ED">
        <w:rPr>
          <w:rFonts w:ascii="Times New Roman" w:hAnsi="Times New Roman" w:cs="Times New Roman"/>
        </w:rPr>
        <w:t xml:space="preserve">foi encerrada e em seu lugar uma nova matrícula de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>];</w:t>
      </w:r>
    </w:p>
    <w:p w14:paraId="0939E67B" w14:textId="37F88BC6" w:rsidR="005040ED" w:rsidRPr="005040ED" w:rsidRDefault="00AC7168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040ED" w:rsidRPr="005040ED">
        <w:rPr>
          <w:rFonts w:ascii="Times New Roman" w:hAnsi="Times New Roman" w:cs="Times New Roman"/>
        </w:rPr>
        <w:t>há</w:t>
      </w:r>
      <w:proofErr w:type="gramEnd"/>
      <w:r w:rsidR="005040ED" w:rsidRPr="005040ED">
        <w:rPr>
          <w:rFonts w:ascii="Times New Roman" w:hAnsi="Times New Roman" w:cs="Times New Roman"/>
        </w:rPr>
        <w:t xml:space="preserve"> registros e averbações decorrentes do acordo anulado, da escritura pública e do alvará, cuja situação atual somente as certidões atualizadas poderão revelar;</w:t>
      </w:r>
    </w:p>
    <w:p w14:paraId="2C7E1461" w14:textId="54E40A62" w:rsidR="005040ED" w:rsidRPr="005040ED" w:rsidRDefault="00AC7168" w:rsidP="005040E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040ED" w:rsidRPr="005040ED">
        <w:rPr>
          <w:rFonts w:ascii="Times New Roman" w:hAnsi="Times New Roman" w:cs="Times New Roman"/>
        </w:rPr>
        <w:t>as</w:t>
      </w:r>
      <w:proofErr w:type="gramEnd"/>
      <w:r w:rsidR="005040ED" w:rsidRPr="005040ED">
        <w:rPr>
          <w:rFonts w:ascii="Times New Roman" w:hAnsi="Times New Roman" w:cs="Times New Roman"/>
        </w:rPr>
        <w:t xml:space="preserve"> quotas da sócia majoritária da executada,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 xml:space="preserve">, são objeto da Ação de Inventário n. </w:t>
      </w:r>
      <w:r>
        <w:rPr>
          <w:rFonts w:ascii="Times New Roman" w:hAnsi="Times New Roman" w:cs="Times New Roman"/>
        </w:rPr>
        <w:t>...</w:t>
      </w:r>
      <w:r w:rsidR="005040ED" w:rsidRPr="005040ED">
        <w:rPr>
          <w:rFonts w:ascii="Times New Roman" w:hAnsi="Times New Roman" w:cs="Times New Roman"/>
        </w:rPr>
        <w:t>, circunstância já destacada pelo v. acórdão do TJ</w:t>
      </w:r>
      <w:r>
        <w:rPr>
          <w:rFonts w:ascii="Times New Roman" w:hAnsi="Times New Roman" w:cs="Times New Roman"/>
        </w:rPr>
        <w:t>...</w:t>
      </w:r>
    </w:p>
    <w:p w14:paraId="5B565AA7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Esses elementos reforçam que a penhora, além de prematura, exigiria a prévia individualização precisa das áreas e a intimação de todos os titulares de direitos inscritos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799 e 889 do CPC], como bem determinou este d. Juízo.</w:t>
      </w:r>
    </w:p>
    <w:p w14:paraId="6041E9B9" w14:textId="007F6F86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 xml:space="preserve">V- IMPUGNAÇÃO AO CÁLCULO DE R$ </w:t>
      </w:r>
      <w:r w:rsidR="00AC7168" w:rsidRPr="00AC7168">
        <w:rPr>
          <w:rFonts w:ascii="Times New Roman" w:hAnsi="Times New Roman" w:cs="Times New Roman"/>
          <w:b/>
          <w:bCs/>
        </w:rPr>
        <w:t>...</w:t>
      </w:r>
      <w:r w:rsidRPr="00AC7168">
        <w:rPr>
          <w:rFonts w:ascii="Times New Roman" w:hAnsi="Times New Roman" w:cs="Times New Roman"/>
          <w:b/>
          <w:bCs/>
        </w:rPr>
        <w:t xml:space="preserve"> – EXCESSO DE EXECUÇÃO</w:t>
      </w:r>
    </w:p>
    <w:p w14:paraId="12EA0FF5" w14:textId="7BBF8A30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 xml:space="preserve">V.1- O Crédito Sub-rogado Limita-se a R$ </w:t>
      </w:r>
      <w:r w:rsidR="00AC7168" w:rsidRPr="00AC7168">
        <w:rPr>
          <w:rFonts w:ascii="Times New Roman" w:hAnsi="Times New Roman" w:cs="Times New Roman"/>
          <w:b/>
          <w:bCs/>
        </w:rPr>
        <w:t>...</w:t>
      </w:r>
      <w:r w:rsidRPr="00AC7168">
        <w:rPr>
          <w:rFonts w:ascii="Times New Roman" w:hAnsi="Times New Roman" w:cs="Times New Roman"/>
          <w:b/>
          <w:bCs/>
        </w:rPr>
        <w:t xml:space="preserve"> [Eventos </w:t>
      </w:r>
      <w:r w:rsidR="00AC7168" w:rsidRPr="00AC7168">
        <w:rPr>
          <w:rFonts w:ascii="Times New Roman" w:hAnsi="Times New Roman" w:cs="Times New Roman"/>
          <w:b/>
          <w:bCs/>
        </w:rPr>
        <w:t>...</w:t>
      </w:r>
      <w:r w:rsidRPr="00AC7168">
        <w:rPr>
          <w:rFonts w:ascii="Times New Roman" w:hAnsi="Times New Roman" w:cs="Times New Roman"/>
          <w:b/>
          <w:bCs/>
        </w:rPr>
        <w:t>]</w:t>
      </w:r>
    </w:p>
    <w:p w14:paraId="3872DB28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 exequente não é o credor originário. Ingressou na execução como sub-rogado, por ter pago a dívida da executada para evitar a penhora da área que arrendava. A extensão do seu crédito está documentada, de forma inequívoca, nos próprios autos:</w:t>
      </w:r>
    </w:p>
    <w:p w14:paraId="1796F0B8" w14:textId="44FC92D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(a)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]: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informou ter efetuado, na condição de arrendatário, “</w:t>
      </w:r>
      <w:r w:rsidRPr="00AC7168">
        <w:rPr>
          <w:rFonts w:ascii="Times New Roman" w:hAnsi="Times New Roman" w:cs="Times New Roman"/>
          <w:i/>
          <w:iCs/>
        </w:rPr>
        <w:t xml:space="preserve">o depósito no valor de R$ </w:t>
      </w:r>
      <w:r w:rsidR="00AC7168" w:rsidRP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>, (</w:t>
      </w:r>
      <w:r w:rsidR="00AC7168" w:rsidRP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>), feito em Juízo para pagamento da dívida</w:t>
      </w:r>
      <w:r w:rsidRPr="005040ED">
        <w:rPr>
          <w:rFonts w:ascii="Times New Roman" w:hAnsi="Times New Roman" w:cs="Times New Roman"/>
        </w:rPr>
        <w:t xml:space="preserve">”, juntando a guia de depósito judicial emitida em seu nome [Caixa Econômica Federal, documento n.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vencimento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valor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].</w:t>
      </w:r>
    </w:p>
    <w:p w14:paraId="7A9139C6" w14:textId="289A42AF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(b)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: o extrato da subconta judicial n.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certifica o depósito efetuado em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no valor de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pagador </w:t>
      </w:r>
      <w:r w:rsidR="00AC7168">
        <w:rPr>
          <w:rFonts w:ascii="Times New Roman" w:hAnsi="Times New Roman" w:cs="Times New Roman"/>
        </w:rPr>
        <w:t>...</w:t>
      </w:r>
    </w:p>
    <w:p w14:paraId="30625478" w14:textId="53EB33EB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(c)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]: o então credor,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manifestou-se nos seguintes termos:</w:t>
      </w:r>
    </w:p>
    <w:p w14:paraId="7A2D92C6" w14:textId="1BCC6131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“[...] </w:t>
      </w:r>
      <w:r w:rsidRPr="00AC7168">
        <w:rPr>
          <w:rFonts w:ascii="Times New Roman" w:hAnsi="Times New Roman" w:cs="Times New Roman"/>
          <w:i/>
          <w:iCs/>
        </w:rPr>
        <w:t xml:space="preserve">nada obstante insuficiência de atualização do valor executado, dizer que concorda e quita o devedor pela importância depositada, </w:t>
      </w:r>
      <w:proofErr w:type="spellStart"/>
      <w:r w:rsidRPr="00AC7168">
        <w:rPr>
          <w:rFonts w:ascii="Times New Roman" w:hAnsi="Times New Roman" w:cs="Times New Roman"/>
          <w:i/>
          <w:iCs/>
        </w:rPr>
        <w:t>Ev</w:t>
      </w:r>
      <w:proofErr w:type="spellEnd"/>
      <w:r w:rsidRPr="00AC7168">
        <w:rPr>
          <w:rFonts w:ascii="Times New Roman" w:hAnsi="Times New Roman" w:cs="Times New Roman"/>
          <w:i/>
          <w:iCs/>
        </w:rPr>
        <w:t xml:space="preserve">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 xml:space="preserve">, de R$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>, nada mais tendo a reclamar</w:t>
      </w:r>
      <w:r w:rsidRPr="005040ED">
        <w:rPr>
          <w:rFonts w:ascii="Times New Roman" w:hAnsi="Times New Roman" w:cs="Times New Roman"/>
        </w:rPr>
        <w:t>.”</w:t>
      </w:r>
    </w:p>
    <w:p w14:paraId="4164BC80" w14:textId="10E1958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(d)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]: a r. decisão que deferiu a sub-rogação foi clara quanto ao valor e ao limite:</w:t>
      </w:r>
    </w:p>
    <w:p w14:paraId="50A05D08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</w:p>
    <w:p w14:paraId="19CBFB81" w14:textId="39B0F7C0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040ED">
        <w:rPr>
          <w:rFonts w:ascii="Times New Roman" w:hAnsi="Times New Roman" w:cs="Times New Roman"/>
        </w:rPr>
        <w:lastRenderedPageBreak/>
        <w:t>“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</w:t>
      </w:r>
      <w:r w:rsidRPr="00AC7168">
        <w:rPr>
          <w:rFonts w:ascii="Times New Roman" w:hAnsi="Times New Roman" w:cs="Times New Roman"/>
          <w:i/>
          <w:iCs/>
        </w:rPr>
        <w:t xml:space="preserve">[...] na condição de terceiro interessado na extinção das obrigações da executada, considerando sua condição de arrendatário de imóvel indicado à penhora, requereu a sub-rogação da posição do credor - evento </w:t>
      </w:r>
      <w:r w:rsidR="00AC7168" w:rsidRP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 xml:space="preserve"> -, formalizando o depósito em Juízo do montante de R$ </w:t>
      </w:r>
      <w:r w:rsidR="00AC7168" w:rsidRP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>, com intuito de impedir a penhora dos imóveis, assim como para exercer o direito de regresso contra o executado, nesses autos. [...]</w:t>
      </w:r>
      <w:r w:rsidR="00AC7168">
        <w:rPr>
          <w:rFonts w:ascii="Times New Roman" w:hAnsi="Times New Roman" w:cs="Times New Roman"/>
          <w:i/>
          <w:iCs/>
        </w:rPr>
        <w:t xml:space="preserve"> </w:t>
      </w:r>
      <w:r w:rsidRPr="00AC7168">
        <w:rPr>
          <w:rFonts w:ascii="Times New Roman" w:hAnsi="Times New Roman" w:cs="Times New Roman"/>
          <w:i/>
          <w:iCs/>
        </w:rPr>
        <w:t xml:space="preserve">Pelo exposto, defiro a sub-rogação do terceiro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 xml:space="preserve"> [...] na posição do credor até o montante do débito quitado em favor da executada e determino seja expedido alvará em favor do depósito ao credor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>, declarando a quitação da obrigação entre as partes originárias</w:t>
      </w:r>
      <w:r w:rsidRPr="005040ED">
        <w:rPr>
          <w:rFonts w:ascii="Times New Roman" w:hAnsi="Times New Roman" w:cs="Times New Roman"/>
        </w:rPr>
        <w:t xml:space="preserve">.” </w:t>
      </w:r>
    </w:p>
    <w:p w14:paraId="5469C187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Trata-se de sub-rogação legal, fundada no art. 346, II e III, do Código Civil [terceiro que paga para não ser privado de direito sobre imóvel e terceiro interessado], expressamente invocados na decisão. E, na sub-rogação legal, o limite do crédito é fixado pela lei:</w:t>
      </w:r>
    </w:p>
    <w:p w14:paraId="3A9C06A9" w14:textId="551D5472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“</w:t>
      </w:r>
      <w:r w:rsidRPr="00AC7168">
        <w:rPr>
          <w:rFonts w:ascii="Times New Roman" w:hAnsi="Times New Roman" w:cs="Times New Roman"/>
          <w:i/>
          <w:iCs/>
        </w:rPr>
        <w:t>Art. 350. Na sub-rogação legal o sub-rogado não poderá exercer os direitos e as ações do credor, senão até à soma que tiver desembolsado para desobrigar o devedor</w:t>
      </w:r>
      <w:r w:rsidRPr="005040ED">
        <w:rPr>
          <w:rFonts w:ascii="Times New Roman" w:hAnsi="Times New Roman" w:cs="Times New Roman"/>
        </w:rPr>
        <w:t>.”</w:t>
      </w:r>
    </w:p>
    <w:p w14:paraId="0EB84CB3" w14:textId="532B5D69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Assim, por força da lei [art. 350 do CC], da decisão do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</w:t>
      </w:r>
      <w:proofErr w:type="gramStart"/>
      <w:r w:rsidRPr="005040ED">
        <w:rPr>
          <w:rFonts w:ascii="Times New Roman" w:hAnsi="Times New Roman" w:cs="Times New Roman"/>
        </w:rPr>
        <w:t>---  preclusa</w:t>
      </w:r>
      <w:proofErr w:type="gramEnd"/>
      <w:r w:rsidRPr="005040ED">
        <w:rPr>
          <w:rFonts w:ascii="Times New Roman" w:hAnsi="Times New Roman" w:cs="Times New Roman"/>
        </w:rPr>
        <w:t xml:space="preserve">--- e da quitação dada pelo credor originário no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o crédito do sub-rogado tem como base exclusiva a quantia de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desembolsada em </w:t>
      </w:r>
      <w:r w:rsidR="00AC7168">
        <w:rPr>
          <w:rFonts w:ascii="Times New Roman" w:hAnsi="Times New Roman" w:cs="Times New Roman"/>
        </w:rPr>
        <w:t>..</w:t>
      </w:r>
      <w:r w:rsidRPr="005040ED">
        <w:rPr>
          <w:rFonts w:ascii="Times New Roman" w:hAnsi="Times New Roman" w:cs="Times New Roman"/>
        </w:rPr>
        <w:t>. Nada além disso foi pago pelo exequente nestes autos, nada além disso foi objeto da sub-rogação e nada além disso integra o título que ele executa [art. 778, § 1º, IV, do CPC].</w:t>
      </w:r>
    </w:p>
    <w:p w14:paraId="7128B918" w14:textId="45EB968A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 xml:space="preserve">V.2- Os R$ </w:t>
      </w:r>
      <w:r w:rsidR="00AC7168" w:rsidRPr="00AC7168">
        <w:rPr>
          <w:rFonts w:ascii="Times New Roman" w:hAnsi="Times New Roman" w:cs="Times New Roman"/>
          <w:b/>
          <w:bCs/>
        </w:rPr>
        <w:t>...</w:t>
      </w:r>
      <w:r w:rsidRPr="00AC7168">
        <w:rPr>
          <w:rFonts w:ascii="Times New Roman" w:hAnsi="Times New Roman" w:cs="Times New Roman"/>
          <w:b/>
          <w:bCs/>
        </w:rPr>
        <w:t xml:space="preserve"> Não Integram o Título Executivo Nem a Sub-rogação</w:t>
      </w:r>
    </w:p>
    <w:p w14:paraId="4251C7B4" w14:textId="5D05727C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 planilha do evento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é composta de duas parcelas, ambas tratadas como “</w:t>
      </w:r>
      <w:r w:rsidRPr="00AC7168">
        <w:rPr>
          <w:rFonts w:ascii="Times New Roman" w:hAnsi="Times New Roman" w:cs="Times New Roman"/>
          <w:i/>
          <w:iCs/>
        </w:rPr>
        <w:t>Principal</w:t>
      </w:r>
      <w:r w:rsidRPr="005040ED">
        <w:rPr>
          <w:rFonts w:ascii="Times New Roman" w:hAnsi="Times New Roman" w:cs="Times New Roman"/>
        </w:rPr>
        <w:t>”.</w:t>
      </w:r>
    </w:p>
    <w:p w14:paraId="426CA061" w14:textId="7FFFB60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Ora, a parcela de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datada de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não corresponde a nenhum depósito judicial, não foi objeto da concordância do credor originário [ev.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 nem da sub-rogação deferida [ev.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]. Sua única origem é o próprio “</w:t>
      </w:r>
      <w:r w:rsidRPr="00AC7168">
        <w:rPr>
          <w:rFonts w:ascii="Times New Roman" w:hAnsi="Times New Roman" w:cs="Times New Roman"/>
          <w:i/>
          <w:iCs/>
        </w:rPr>
        <w:t>Termo de Acordo Extrajudicial</w:t>
      </w:r>
      <w:r w:rsidRPr="005040ED">
        <w:rPr>
          <w:rFonts w:ascii="Times New Roman" w:hAnsi="Times New Roman" w:cs="Times New Roman"/>
        </w:rPr>
        <w:t>” anulado, no qual se fez constar que tal quantia teria sido “</w:t>
      </w:r>
      <w:proofErr w:type="spellStart"/>
      <w:r w:rsidRPr="00AC7168">
        <w:rPr>
          <w:rFonts w:ascii="Times New Roman" w:hAnsi="Times New Roman" w:cs="Times New Roman"/>
          <w:i/>
          <w:iCs/>
        </w:rPr>
        <w:t>depositad</w:t>
      </w:r>
      <w:proofErr w:type="spellEnd"/>
      <w:r w:rsidRPr="00AC7168">
        <w:rPr>
          <w:rFonts w:ascii="Times New Roman" w:hAnsi="Times New Roman" w:cs="Times New Roman"/>
          <w:i/>
          <w:iCs/>
        </w:rPr>
        <w:t xml:space="preserve">[a] em conta da empresa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 xml:space="preserve">, em </w:t>
      </w:r>
      <w:r w:rsidR="00AC7168">
        <w:rPr>
          <w:rFonts w:ascii="Times New Roman" w:hAnsi="Times New Roman" w:cs="Times New Roman"/>
          <w:i/>
          <w:iCs/>
        </w:rPr>
        <w:t>...</w:t>
      </w:r>
      <w:r w:rsidRPr="00AC7168">
        <w:rPr>
          <w:rFonts w:ascii="Times New Roman" w:hAnsi="Times New Roman" w:cs="Times New Roman"/>
          <w:i/>
          <w:iCs/>
        </w:rPr>
        <w:t xml:space="preserve"> para fazer frente às despesas</w:t>
      </w:r>
      <w:r w:rsidRPr="005040ED">
        <w:rPr>
          <w:rFonts w:ascii="Times New Roman" w:hAnsi="Times New Roman" w:cs="Times New Roman"/>
        </w:rPr>
        <w:t>”.</w:t>
      </w:r>
    </w:p>
    <w:p w14:paraId="3F913741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Ou seja: trata-se de alegado crédito extraprocessual, de natureza diversa, que somente foi agregado à dívida exequenda por meio do negócio jurídico firmado por quem não tinha poderes para representar a sociedade — negócio declarado nulo, com efeitos retroativos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 xml:space="preserve">. 169 e 182 do Código Civil]. </w:t>
      </w:r>
    </w:p>
    <w:p w14:paraId="751CD525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Declarada a nulidade e restabelecido o status quo ante, desaparece o único suporte que conferia a essa parcela alguma aparência de exigibilidade nestes autos.</w:t>
      </w:r>
    </w:p>
    <w:p w14:paraId="5834B573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A execução e, com maior razão, o cumprimento de sentença, pressupõe obrigação certa, líquida e exigível consubstanciada em título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 xml:space="preserve">. 783 e 786 do CPC], sendo nula a execução na parte que não corresponda ao título [art. 803, I, do CPC]. </w:t>
      </w:r>
    </w:p>
    <w:p w14:paraId="6642A0DF" w14:textId="77777777" w:rsidR="00AC7168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A sentença da ação de </w:t>
      </w:r>
      <w:r w:rsidRPr="00AC7168">
        <w:rPr>
          <w:rFonts w:ascii="Times New Roman" w:hAnsi="Times New Roman" w:cs="Times New Roman"/>
          <w:i/>
          <w:iCs/>
        </w:rPr>
        <w:t>cobrança, título que aqui se executa, nada tem a ver com supostos depósitos “para</w:t>
      </w:r>
      <w:r w:rsidRPr="005040ED">
        <w:rPr>
          <w:rFonts w:ascii="Times New Roman" w:hAnsi="Times New Roman" w:cs="Times New Roman"/>
        </w:rPr>
        <w:t xml:space="preserve"> fazer frente às despesas” da sociedade. Se o exequente entende ser credor dessa quantia, deverá demonstrá-lo e cobrá-la pelas vias próprias, sob o crivo do contraditório, jamais por simples inclusão em planilha de cumprimento de sentença.</w:t>
      </w:r>
    </w:p>
    <w:p w14:paraId="21AF4EB7" w14:textId="26C5AE4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lastRenderedPageBreak/>
        <w:t xml:space="preserve">Impõe-se, portanto, a exclusão integral da parcela de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de seus consectários, que somam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— cerca de 16,2% do valor pretendido.</w:t>
      </w:r>
    </w:p>
    <w:p w14:paraId="025EDE3A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V.3- O Valor Máximo Admissível e a Remessa à Contadoria Judicial</w:t>
      </w:r>
    </w:p>
    <w:p w14:paraId="0C800681" w14:textId="49C6AD8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Em atenção ao ônus previsto no art. 525, §§ 4º e 5º, do CPC, aplicável por analogia, a executada declara que, excluída a parcela indevida e adotados, apenas para argumentar, os mesmos parâmetros da planilha do exequente [correção pelo ICGJ: INPC até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IPCA a partir de então; juros de 1% a.m. até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taxa legal a partir de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Lei n. 14.905/2024], o valor máximo que se poderia cogitar seria de: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[em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].</w:t>
      </w:r>
    </w:p>
    <w:p w14:paraId="05BFF1B3" w14:textId="03B111BA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Esse valor, ressalte-se, é indicado como teto, sem prejuízo de sua conferência pela Contadoria Judicial, à qual se requer sejam remetidos os autos para apuração do crédito com estrita observância da base de R$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em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, do limite do art. 350 do Código Civil e dos critérios do título, determinando-se ao exequente, se for o caso, a apresentação de nova memória discriminada [art. 524 do CPC].</w:t>
      </w:r>
    </w:p>
    <w:p w14:paraId="63B8FCEC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V.4- O Crédito da Executada pela Fruição e a Futura Compensação</w:t>
      </w:r>
    </w:p>
    <w:p w14:paraId="4ACBE3F1" w14:textId="18AAE414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Como exposto no item III.2, a executada é credora do exequente pela indenização pela fruição dos imóveis desde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crédito que continua a crescer mês a mês enquanto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permanecer na posse, acrescido dos encargos fixados no título.</w:t>
      </w:r>
    </w:p>
    <w:p w14:paraId="5FB4530F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Uma vez liquidado [art. 512 do CPC], esse crédito tornar-se-á líquido e exigível, autorizando a compensação com o crédito do exequente até onde se compensarem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368 e 369 do Código Civil]. É de rigor, portanto, que este d. Juízo registre a existência do crédito recíproco e que nenhuma satisfação do exequente se dê sem a sua consideração, mais uma razão para que não se avance, por ora, sobre atos expropriatórios.</w:t>
      </w:r>
    </w:p>
    <w:p w14:paraId="7B03D453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Reitera-se que a compensação não alcança os honorários sucumbenciais, que pertencem aos advogados da executada [art. 85, § 14, do CPC].</w:t>
      </w:r>
    </w:p>
    <w:p w14:paraId="033628D6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VI- DOS DOCUMENTOS</w:t>
      </w:r>
    </w:p>
    <w:p w14:paraId="4FC93DC8" w14:textId="77777777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Para a instrução da presente manifestação, requer a juntada dos seguintes documentos:</w:t>
      </w:r>
    </w:p>
    <w:p w14:paraId="765409A8" w14:textId="6FF3E868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doc.</w:t>
      </w:r>
      <w:r w:rsidR="00AC7168">
        <w:rPr>
          <w:rFonts w:ascii="Times New Roman" w:hAnsi="Times New Roman" w:cs="Times New Roman"/>
        </w:rPr>
        <w:t xml:space="preserve"> ...</w:t>
      </w:r>
      <w:r w:rsidRPr="005040ED">
        <w:rPr>
          <w:rFonts w:ascii="Times New Roman" w:hAnsi="Times New Roman" w:cs="Times New Roman"/>
        </w:rPr>
        <w:t>-</w:t>
      </w:r>
      <w:r w:rsidRPr="005040ED">
        <w:rPr>
          <w:rFonts w:ascii="Times New Roman" w:hAnsi="Times New Roman" w:cs="Times New Roman"/>
        </w:rPr>
        <w:tab/>
        <w:t>Decisão da Vice-Presidência do TJ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que manteve a inadmissão do Recurso Especial e determinou a remessa ao STJ [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];</w:t>
      </w:r>
    </w:p>
    <w:p w14:paraId="1103675F" w14:textId="37D7B670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doc.</w:t>
      </w:r>
      <w:r w:rsidR="00AC7168">
        <w:rPr>
          <w:rFonts w:ascii="Times New Roman" w:hAnsi="Times New Roman" w:cs="Times New Roman"/>
        </w:rPr>
        <w:t xml:space="preserve"> ...</w:t>
      </w:r>
      <w:r w:rsidRPr="005040ED">
        <w:rPr>
          <w:rFonts w:ascii="Times New Roman" w:hAnsi="Times New Roman" w:cs="Times New Roman"/>
        </w:rPr>
        <w:t>-</w:t>
      </w:r>
      <w:r w:rsidRPr="005040ED">
        <w:rPr>
          <w:rFonts w:ascii="Times New Roman" w:hAnsi="Times New Roman" w:cs="Times New Roman"/>
        </w:rPr>
        <w:tab/>
        <w:t xml:space="preserve">Certidão de remessa e cadastro do </w:t>
      </w:r>
      <w:proofErr w:type="spellStart"/>
      <w:r w:rsidRPr="005040ED">
        <w:rPr>
          <w:rFonts w:ascii="Times New Roman" w:hAnsi="Times New Roman" w:cs="Times New Roman"/>
        </w:rPr>
        <w:t>AREsp</w:t>
      </w:r>
      <w:proofErr w:type="spellEnd"/>
      <w:r w:rsidRPr="005040ED">
        <w:rPr>
          <w:rFonts w:ascii="Times New Roman" w:hAnsi="Times New Roman" w:cs="Times New Roman"/>
        </w:rPr>
        <w:t xml:space="preserve"> no STJ [registro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em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];</w:t>
      </w:r>
    </w:p>
    <w:p w14:paraId="4AA16C5F" w14:textId="2A134D46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doc.</w:t>
      </w:r>
      <w:r w:rsidR="00AC7168">
        <w:rPr>
          <w:rFonts w:ascii="Times New Roman" w:hAnsi="Times New Roman" w:cs="Times New Roman"/>
        </w:rPr>
        <w:t xml:space="preserve"> ...</w:t>
      </w:r>
      <w:r w:rsidRPr="005040ED">
        <w:rPr>
          <w:rFonts w:ascii="Times New Roman" w:hAnsi="Times New Roman" w:cs="Times New Roman"/>
        </w:rPr>
        <w:t>-</w:t>
      </w:r>
      <w:r w:rsidRPr="005040ED">
        <w:rPr>
          <w:rFonts w:ascii="Times New Roman" w:hAnsi="Times New Roman" w:cs="Times New Roman"/>
        </w:rPr>
        <w:tab/>
        <w:t xml:space="preserve">Certidões de inteiro teor atualizadas das matrículas n.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n.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n.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- anterior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do CRI de 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</w:t>
      </w:r>
      <w:r w:rsidR="00AC7168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].</w:t>
      </w:r>
    </w:p>
    <w:p w14:paraId="25319F86" w14:textId="77777777" w:rsidR="005040ED" w:rsidRPr="00AC7168" w:rsidRDefault="005040ED" w:rsidP="005040E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C7168">
        <w:rPr>
          <w:rFonts w:ascii="Times New Roman" w:hAnsi="Times New Roman" w:cs="Times New Roman"/>
          <w:b/>
          <w:bCs/>
        </w:rPr>
        <w:t>VII- DOS PEDIDOS</w:t>
      </w:r>
    </w:p>
    <w:p w14:paraId="7BC19EC9" w14:textId="02F4213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AC7168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AC7168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5040ED">
        <w:rPr>
          <w:rFonts w:ascii="Times New Roman" w:hAnsi="Times New Roman" w:cs="Times New Roman"/>
        </w:rPr>
        <w:t xml:space="preserve">, a executada </w:t>
      </w:r>
      <w:r w:rsidR="00AC7168">
        <w:rPr>
          <w:rFonts w:ascii="Times New Roman" w:hAnsi="Times New Roman" w:cs="Times New Roman"/>
        </w:rPr>
        <w:t>..</w:t>
      </w:r>
      <w:r w:rsidRPr="005040ED">
        <w:rPr>
          <w:rFonts w:ascii="Times New Roman" w:hAnsi="Times New Roman" w:cs="Times New Roman"/>
        </w:rPr>
        <w:t>. requer:</w:t>
      </w:r>
    </w:p>
    <w:p w14:paraId="5B6FB6A2" w14:textId="203CE6A6" w:rsidR="005040ED" w:rsidRPr="00AC7168" w:rsidRDefault="00AC7168" w:rsidP="00AC7168">
      <w:pPr>
        <w:ind w:right="-568"/>
        <w:jc w:val="both"/>
        <w:rPr>
          <w:rFonts w:ascii="Times New Roman" w:hAnsi="Times New Roman" w:cs="Times New Roman"/>
        </w:rPr>
      </w:pPr>
      <w:r w:rsidRPr="00AC7168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5040ED" w:rsidRPr="00AC7168">
        <w:rPr>
          <w:rFonts w:ascii="Times New Roman" w:hAnsi="Times New Roman" w:cs="Times New Roman"/>
        </w:rPr>
        <w:t xml:space="preserve">o INDEFERIMENTO, por ora, do pedido de penhora dos imóveis das matrículas n.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 e da área remanescente da matrícula n.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], com a suspensão de todos os atos constritivos e expropriatórios sobre esses bens até o julgamento definitivo do </w:t>
      </w:r>
      <w:proofErr w:type="spellStart"/>
      <w:r w:rsidR="005040ED" w:rsidRPr="00AC7168">
        <w:rPr>
          <w:rFonts w:ascii="Times New Roman" w:hAnsi="Times New Roman" w:cs="Times New Roman"/>
        </w:rPr>
        <w:t>AREsp</w:t>
      </w:r>
      <w:proofErr w:type="spellEnd"/>
      <w:r w:rsidR="005040ED" w:rsidRPr="00AC7168">
        <w:rPr>
          <w:rFonts w:ascii="Times New Roman" w:hAnsi="Times New Roman" w:cs="Times New Roman"/>
        </w:rPr>
        <w:t xml:space="preserve"> n.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e </w:t>
      </w:r>
      <w:r w:rsidR="005040ED" w:rsidRPr="00AC7168">
        <w:rPr>
          <w:rFonts w:ascii="Times New Roman" w:hAnsi="Times New Roman" w:cs="Times New Roman"/>
        </w:rPr>
        <w:lastRenderedPageBreak/>
        <w:t xml:space="preserve">o trânsito em julgado da Ação Anulatória n.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, mantida a indisponibilidade determinada nos eventos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...</w:t>
      </w:r>
      <w:r w:rsidR="005040ED" w:rsidRPr="00AC7168">
        <w:rPr>
          <w:rFonts w:ascii="Times New Roman" w:hAnsi="Times New Roman" w:cs="Times New Roman"/>
        </w:rPr>
        <w:t xml:space="preserve"> como garantia suficiente, com fundamento nos </w:t>
      </w:r>
      <w:proofErr w:type="spellStart"/>
      <w:r w:rsidR="005040ED" w:rsidRPr="00AC7168">
        <w:rPr>
          <w:rFonts w:ascii="Times New Roman" w:hAnsi="Times New Roman" w:cs="Times New Roman"/>
        </w:rPr>
        <w:t>arts</w:t>
      </w:r>
      <w:proofErr w:type="spellEnd"/>
      <w:r w:rsidR="005040ED" w:rsidRPr="00AC7168">
        <w:rPr>
          <w:rFonts w:ascii="Times New Roman" w:hAnsi="Times New Roman" w:cs="Times New Roman"/>
        </w:rPr>
        <w:t>. 313, V, “a”, 520, 521, parágrafo único, 805 e 921, I, do CPC;</w:t>
      </w:r>
    </w:p>
    <w:p w14:paraId="25CEC79F" w14:textId="265BEABA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 xml:space="preserve">b) </w:t>
      </w:r>
      <w:r w:rsidR="002A00D9"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>subsidiariamente, caso Vossa Excelência entenda possível a penhora, que se declare que o prosseguimento se dá sob o REGIME DO CUMPRIMENTO PROVISÓRIO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 xml:space="preserve">. 520 a 522 do CPC], vedando-se a avaliação, a adjudicação, a alienação e qualquer ato que importe transferência de posse ou de propriedade sem caução suficiente e idônea [art. 520, IV], afastada a dispensa do art. 521, III, por força de seu parágrafo único, com a advertência da responsabilidade objetiva do exequente [art. 520, I e II], e sempre precedida da comprovação da situação registral atualizada e da intimação de todos os titulares de direitos inscritos, conforme já determinado no evento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;</w:t>
      </w:r>
    </w:p>
    <w:p w14:paraId="79EA4BC3" w14:textId="5D65F1D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c)</w:t>
      </w:r>
      <w:r w:rsidR="002A00D9"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 xml:space="preserve">o acolhimento da impugnação ao cálculo do evento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com a exclusão da parcela de R$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e de seus consectários [R$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], por não integrar o título executivo nem a sub-rogação deferida no evento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fixando-se como base do crédito sub-rogado exclusivamente a quantia de R$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, desembolsada em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[art. 350 do Código Civil];</w:t>
      </w:r>
    </w:p>
    <w:p w14:paraId="44138B40" w14:textId="66326DC5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d)</w:t>
      </w:r>
      <w:r w:rsidR="002A00D9"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 xml:space="preserve">a remessa dos autos à Contadoria Judicial para apuração do crédito nos termos do item anterior, declarando a executada, desde logo, como valor máximo eventualmente devido, a quantia de R$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 xml:space="preserve"> [em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], sem prejuízo da conferência contábil;</w:t>
      </w:r>
    </w:p>
    <w:p w14:paraId="61EF7748" w14:textId="6DB6A02E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e)</w:t>
      </w:r>
      <w:r w:rsidR="002A00D9"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 xml:space="preserve">o registro, nestes autos, do crédito da executada contra o exequente decorrente da condenação pela fruição dos imóveis [Ação Anulatória n. </w:t>
      </w:r>
      <w:r w:rsidR="002A00D9">
        <w:rPr>
          <w:rFonts w:ascii="Times New Roman" w:hAnsi="Times New Roman" w:cs="Times New Roman"/>
        </w:rPr>
        <w:t>...</w:t>
      </w:r>
      <w:r w:rsidRPr="005040ED">
        <w:rPr>
          <w:rFonts w:ascii="Times New Roman" w:hAnsi="Times New Roman" w:cs="Times New Roman"/>
        </w:rPr>
        <w:t>], a ser apurado em liquidação provisória [art. 512 do CPC], para oportuna compensação [</w:t>
      </w:r>
      <w:proofErr w:type="spellStart"/>
      <w:r w:rsidRPr="005040ED">
        <w:rPr>
          <w:rFonts w:ascii="Times New Roman" w:hAnsi="Times New Roman" w:cs="Times New Roman"/>
        </w:rPr>
        <w:t>arts</w:t>
      </w:r>
      <w:proofErr w:type="spellEnd"/>
      <w:r w:rsidRPr="005040ED">
        <w:rPr>
          <w:rFonts w:ascii="Times New Roman" w:hAnsi="Times New Roman" w:cs="Times New Roman"/>
        </w:rPr>
        <w:t>. 368 e 369 do Código Civil], vedada qualquer satisfação definitiva do exequente sem a sua consideração;</w:t>
      </w:r>
    </w:p>
    <w:p w14:paraId="24F47BFE" w14:textId="2A24DE5D" w:rsidR="005040ED" w:rsidRPr="005040ED" w:rsidRDefault="005040ED" w:rsidP="005040ED">
      <w:pPr>
        <w:ind w:right="-568"/>
        <w:jc w:val="both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f)</w:t>
      </w:r>
      <w:r w:rsidR="002A00D9">
        <w:rPr>
          <w:rFonts w:ascii="Times New Roman" w:hAnsi="Times New Roman" w:cs="Times New Roman"/>
        </w:rPr>
        <w:t xml:space="preserve"> </w:t>
      </w:r>
      <w:r w:rsidRPr="005040ED">
        <w:rPr>
          <w:rFonts w:ascii="Times New Roman" w:hAnsi="Times New Roman" w:cs="Times New Roman"/>
        </w:rPr>
        <w:t>a ressalva de que os honorários advocatícios sucumbenciais e recursais fixados na ação anulatória pertencem aos advogados da executada, não sendo compensáveis [art. 85, § 14, do CPC], e serão executados em autos próprios.</w:t>
      </w:r>
    </w:p>
    <w:p w14:paraId="192D3019" w14:textId="6E952259" w:rsidR="005040ED" w:rsidRPr="005040ED" w:rsidRDefault="005040ED" w:rsidP="002A00D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5040ED">
        <w:rPr>
          <w:rFonts w:ascii="Times New Roman" w:hAnsi="Times New Roman" w:cs="Times New Roman"/>
        </w:rPr>
        <w:t>P</w:t>
      </w:r>
      <w:r w:rsidR="002A00D9">
        <w:rPr>
          <w:rFonts w:ascii="Times New Roman" w:hAnsi="Times New Roman" w:cs="Times New Roman"/>
        </w:rPr>
        <w:t>ede</w:t>
      </w:r>
      <w:r w:rsidRPr="005040ED">
        <w:rPr>
          <w:rFonts w:ascii="Times New Roman" w:hAnsi="Times New Roman" w:cs="Times New Roman"/>
        </w:rPr>
        <w:t xml:space="preserve"> Deferimento.</w:t>
      </w:r>
    </w:p>
    <w:p w14:paraId="09A3527B" w14:textId="1F3D366B" w:rsidR="005040ED" w:rsidRDefault="002A00D9" w:rsidP="002A00D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3A71193B" w14:textId="1202E798" w:rsidR="002A00D9" w:rsidRPr="005040ED" w:rsidRDefault="002A00D9" w:rsidP="002A00D9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2A00D9" w:rsidRPr="00504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32708"/>
    <w:multiLevelType w:val="hybridMultilevel"/>
    <w:tmpl w:val="B3AC54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094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ED"/>
    <w:rsid w:val="002A00D9"/>
    <w:rsid w:val="002B53E9"/>
    <w:rsid w:val="005040ED"/>
    <w:rsid w:val="009332BE"/>
    <w:rsid w:val="00AC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CD4C"/>
  <w15:chartTrackingRefBased/>
  <w15:docId w15:val="{0232CCE3-A47E-4640-A7EC-B9A01A2D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04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4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04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04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04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04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04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4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04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4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4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04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040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040E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040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040E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40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040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04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04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04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04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04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040E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040E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040E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04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040E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040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14</Pages>
  <Words>5811</Words>
  <Characters>31380</Characters>
  <Application>Microsoft Office Word</Application>
  <DocSecurity>0</DocSecurity>
  <Lines>261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2026-10-06T20:45:00Z</dcterms:created>
  <dcterms:modified xsi:type="dcterms:W3CDTF">2026-10-06T21:19:00Z</dcterms:modified>
</cp:coreProperties>
</file>