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C52E" w14:textId="77777777" w:rsidR="001676AB" w:rsidRPr="001676AB" w:rsidRDefault="001676AB" w:rsidP="001676A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676AB">
        <w:rPr>
          <w:rFonts w:ascii="Arial Black" w:hAnsi="Arial Black" w:cs="Times New Roman"/>
        </w:rPr>
        <w:t>MODELO DE PETIÇÃO</w:t>
      </w:r>
    </w:p>
    <w:p w14:paraId="5CD56DE5" w14:textId="77777777" w:rsidR="001676AB" w:rsidRPr="001676AB" w:rsidRDefault="001676AB" w:rsidP="001676A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676AB">
        <w:rPr>
          <w:rFonts w:ascii="Arial Black" w:hAnsi="Arial Black" w:cs="Times New Roman"/>
        </w:rPr>
        <w:t>CUMPRIMENTO DE SENTENÇA. PENHORA. BENS IMÓVEIS.</w:t>
      </w:r>
    </w:p>
    <w:p w14:paraId="45A3A14D" w14:textId="66A092DC" w:rsidR="001676AB" w:rsidRPr="001676AB" w:rsidRDefault="001676AB" w:rsidP="001676AB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676AB">
        <w:rPr>
          <w:rFonts w:ascii="Arial Black" w:hAnsi="Arial Black" w:cs="Times New Roman"/>
        </w:rPr>
        <w:t>LACRAÇÃO DOS BENS PENHORADOS. RISCOS DE DANOS E DEPRECIAÇÃO.</w:t>
      </w:r>
      <w:r>
        <w:rPr>
          <w:rFonts w:ascii="Arial Black" w:hAnsi="Arial Black" w:cs="Times New Roman"/>
        </w:rPr>
        <w:t xml:space="preserve"> </w:t>
      </w:r>
      <w:r w:rsidRPr="001676AB">
        <w:rPr>
          <w:rFonts w:ascii="Arial Black" w:hAnsi="Arial Black" w:cs="Times New Roman"/>
        </w:rPr>
        <w:t>PETIÇÃO</w:t>
      </w:r>
    </w:p>
    <w:p w14:paraId="316FD37A" w14:textId="77777777" w:rsidR="001676AB" w:rsidRPr="001676AB" w:rsidRDefault="001676AB" w:rsidP="001676AB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1676AB">
        <w:rPr>
          <w:rFonts w:ascii="Arial Black" w:hAnsi="Arial Black" w:cs="Times New Roman"/>
        </w:rPr>
        <w:t>Rénan</w:t>
      </w:r>
      <w:proofErr w:type="spellEnd"/>
      <w:r w:rsidRPr="001676AB">
        <w:rPr>
          <w:rFonts w:ascii="Arial Black" w:hAnsi="Arial Black" w:cs="Times New Roman"/>
        </w:rPr>
        <w:t xml:space="preserve"> </w:t>
      </w:r>
      <w:proofErr w:type="spellStart"/>
      <w:r w:rsidRPr="001676AB">
        <w:rPr>
          <w:rFonts w:ascii="Arial Black" w:hAnsi="Arial Black" w:cs="Times New Roman"/>
        </w:rPr>
        <w:t>Kfuri</w:t>
      </w:r>
      <w:proofErr w:type="spellEnd"/>
      <w:r w:rsidRPr="001676AB">
        <w:rPr>
          <w:rFonts w:ascii="Arial Black" w:hAnsi="Arial Black" w:cs="Times New Roman"/>
        </w:rPr>
        <w:t xml:space="preserve"> Lopes</w:t>
      </w:r>
    </w:p>
    <w:p w14:paraId="2A10CB42" w14:textId="77777777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</w:p>
    <w:p w14:paraId="6AF45A9B" w14:textId="77777777" w:rsid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156D73D4" w14:textId="77777777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- </w:t>
      </w:r>
      <w:proofErr w:type="gramStart"/>
      <w:r w:rsidRPr="001676AB">
        <w:rPr>
          <w:rFonts w:ascii="Times New Roman" w:hAnsi="Times New Roman" w:cs="Times New Roman"/>
        </w:rPr>
        <w:t>pedido</w:t>
      </w:r>
      <w:proofErr w:type="gramEnd"/>
      <w:r w:rsidRPr="001676AB">
        <w:rPr>
          <w:rFonts w:ascii="Times New Roman" w:hAnsi="Times New Roman" w:cs="Times New Roman"/>
        </w:rPr>
        <w:t xml:space="preserve"> de lacração dos imóveis penhorados -</w:t>
      </w:r>
    </w:p>
    <w:p w14:paraId="612FCB1C" w14:textId="316481A1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Cumprimento de Sentença n. </w:t>
      </w:r>
      <w:r>
        <w:rPr>
          <w:rFonts w:ascii="Times New Roman" w:hAnsi="Times New Roman" w:cs="Times New Roman"/>
        </w:rPr>
        <w:t>...</w:t>
      </w:r>
    </w:p>
    <w:p w14:paraId="34B4F055" w14:textId="52074DD2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1676AB">
        <w:rPr>
          <w:rFonts w:ascii="Times New Roman" w:hAnsi="Times New Roman" w:cs="Times New Roman"/>
        </w:rPr>
        <w:t xml:space="preserve"> E OUTROS, exequente, por seus advogados in fine assinados, nos autos do “</w:t>
      </w:r>
      <w:r w:rsidRPr="001676AB">
        <w:rPr>
          <w:rFonts w:ascii="Times New Roman" w:hAnsi="Times New Roman" w:cs="Times New Roman"/>
          <w:i/>
          <w:iCs/>
        </w:rPr>
        <w:t>Cumprimento de Sentença</w:t>
      </w:r>
      <w:r w:rsidRPr="001676AB">
        <w:rPr>
          <w:rFonts w:ascii="Times New Roman" w:hAnsi="Times New Roman" w:cs="Times New Roman"/>
        </w:rPr>
        <w:t xml:space="preserve">” epigrafado promovido contra </w:t>
      </w:r>
      <w:r>
        <w:rPr>
          <w:rFonts w:ascii="Times New Roman" w:hAnsi="Times New Roman" w:cs="Times New Roman"/>
        </w:rPr>
        <w:t>(nome)</w:t>
      </w:r>
      <w:r w:rsidRPr="001676AB">
        <w:rPr>
          <w:rFonts w:ascii="Times New Roman" w:hAnsi="Times New Roman" w:cs="Times New Roman"/>
        </w:rPr>
        <w:t xml:space="preserve"> E OUTROS, executados, vem, respeitosamente, aduzir o que se segue:</w:t>
      </w:r>
    </w:p>
    <w:p w14:paraId="35C1BCCF" w14:textId="7D414222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676AB">
        <w:rPr>
          <w:rFonts w:ascii="Times New Roman" w:hAnsi="Times New Roman" w:cs="Times New Roman"/>
          <w:b/>
          <w:bCs/>
        </w:rPr>
        <w:t>A PENHORA</w:t>
      </w:r>
    </w:p>
    <w:p w14:paraId="7F348277" w14:textId="02543916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O presente feito de origem se trata de uma Ação de Dissolução de Sociedade iniciada no ano de “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” [há quase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anos], composto por mais de 2.000 [duas mil] páginas!</w:t>
      </w:r>
    </w:p>
    <w:p w14:paraId="283A687E" w14:textId="18219782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Na data de “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” [há mais de 10 anos] foi lavrado o “</w:t>
      </w:r>
      <w:r w:rsidRPr="001676AB">
        <w:rPr>
          <w:rFonts w:ascii="Times New Roman" w:hAnsi="Times New Roman" w:cs="Times New Roman"/>
          <w:i/>
          <w:iCs/>
        </w:rPr>
        <w:t>Termo de Penhora</w:t>
      </w:r>
      <w:r w:rsidRPr="001676AB">
        <w:rPr>
          <w:rFonts w:ascii="Times New Roman" w:hAnsi="Times New Roman" w:cs="Times New Roman"/>
        </w:rPr>
        <w:t xml:space="preserve">” dos imóveis penhorados [Id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] e recentemente avaliados [Ids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]. </w:t>
      </w:r>
    </w:p>
    <w:p w14:paraId="76FA1C40" w14:textId="24116BB8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Os imóveis penhorados são de propriedade da “</w:t>
      </w:r>
      <w:r>
        <w:rPr>
          <w:rFonts w:ascii="Times New Roman" w:hAnsi="Times New Roman" w:cs="Times New Roman"/>
        </w:rPr>
        <w:t>..</w:t>
      </w:r>
      <w:r w:rsidRPr="001676AB">
        <w:rPr>
          <w:rFonts w:ascii="Times New Roman" w:hAnsi="Times New Roman" w:cs="Times New Roman"/>
        </w:rPr>
        <w:t xml:space="preserve">.”, CNPJ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cujos sócios são os coexecutados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[</w:t>
      </w:r>
      <w:proofErr w:type="spellStart"/>
      <w:r w:rsidRPr="001676AB">
        <w:rPr>
          <w:rFonts w:ascii="Times New Roman" w:hAnsi="Times New Roman" w:cs="Times New Roman"/>
        </w:rPr>
        <w:t>sócio-administrador</w:t>
      </w:r>
      <w:proofErr w:type="spellEnd"/>
      <w:r w:rsidRPr="001676AB">
        <w:rPr>
          <w:rFonts w:ascii="Times New Roman" w:hAnsi="Times New Roman" w:cs="Times New Roman"/>
        </w:rPr>
        <w:t xml:space="preserve">] 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</w:t>
      </w:r>
    </w:p>
    <w:p w14:paraId="3E621200" w14:textId="1E8075A3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A co</w:t>
      </w:r>
      <w:proofErr w:type="spellStart"/>
      <w:r w:rsidRPr="001676AB">
        <w:rPr>
          <w:rFonts w:ascii="Times New Roman" w:hAnsi="Times New Roman" w:cs="Times New Roman"/>
        </w:rPr>
        <w:t>exequente</w:t>
      </w:r>
      <w:proofErr w:type="spellEnd"/>
      <w:r w:rsidRPr="001676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CPF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, nomeada depositária e assinou o “</w:t>
      </w:r>
      <w:r w:rsidRPr="001676AB">
        <w:rPr>
          <w:rFonts w:ascii="Times New Roman" w:hAnsi="Times New Roman" w:cs="Times New Roman"/>
          <w:i/>
          <w:iCs/>
        </w:rPr>
        <w:t>Termo de Depositário Fiel</w:t>
      </w:r>
      <w:r w:rsidRPr="001676AB">
        <w:rPr>
          <w:rFonts w:ascii="Times New Roman" w:hAnsi="Times New Roman" w:cs="Times New Roman"/>
        </w:rPr>
        <w:t>” em “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”, há quase 10 anos [Id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].</w:t>
      </w:r>
    </w:p>
    <w:p w14:paraId="4D390D7C" w14:textId="1238AB97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Nesse longo período, o cumprimento de sentença não avançou quanto à alienação judicial essencialmente em função da controvérsia que perdura por anos a fio acerca das avaliações dos imóveis, sempre esbarrando nas manobras protelatórias dos executados em relação à avaliação dos bens, </w:t>
      </w:r>
      <w:r w:rsidRPr="001676AB">
        <w:rPr>
          <w:rFonts w:ascii="Times New Roman" w:hAnsi="Times New Roman" w:cs="Times New Roman"/>
          <w:i/>
          <w:iCs/>
        </w:rPr>
        <w:t>verbi gratia</w:t>
      </w:r>
      <w:r w:rsidRPr="001676AB">
        <w:rPr>
          <w:rFonts w:ascii="Times New Roman" w:hAnsi="Times New Roman" w:cs="Times New Roman"/>
        </w:rPr>
        <w:t>:</w:t>
      </w:r>
    </w:p>
    <w:p w14:paraId="20C736F3" w14:textId="7714AA9C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 xml:space="preserve">Auto de Avaliação de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[Id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];</w:t>
      </w:r>
    </w:p>
    <w:p w14:paraId="1593C725" w14:textId="0D67E644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 xml:space="preserve">Auto de Avaliação de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[Id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];</w:t>
      </w:r>
    </w:p>
    <w:p w14:paraId="614B9920" w14:textId="3B19AD5B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 xml:space="preserve">Auto de Avaliação de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[Ids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>].</w:t>
      </w:r>
    </w:p>
    <w:p w14:paraId="6FE83C88" w14:textId="631C5393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Portanto, há 10 [dez] anos avaliaram-se os imóveis por 3 [três] oportunidades. sempre injustificadamente impugnados pelos executados, que mantém os bens penhorados em suas livre posses e usos.</w:t>
      </w:r>
    </w:p>
    <w:p w14:paraId="7F143996" w14:textId="50BF0E3C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Com essa tranquilidade, </w:t>
      </w:r>
      <w:proofErr w:type="spellStart"/>
      <w:r w:rsidRPr="001676AB">
        <w:rPr>
          <w:rFonts w:ascii="Times New Roman" w:hAnsi="Times New Roman" w:cs="Times New Roman"/>
          <w:i/>
          <w:iCs/>
        </w:rPr>
        <w:t>venia</w:t>
      </w:r>
      <w:proofErr w:type="spellEnd"/>
      <w:r w:rsidRPr="001676AB">
        <w:rPr>
          <w:rFonts w:ascii="Times New Roman" w:hAnsi="Times New Roman" w:cs="Times New Roman"/>
          <w:i/>
          <w:iCs/>
        </w:rPr>
        <w:t xml:space="preserve"> permissa</w:t>
      </w:r>
      <w:r w:rsidRPr="001676AB">
        <w:rPr>
          <w:rFonts w:ascii="Times New Roman" w:hAnsi="Times New Roman" w:cs="Times New Roman"/>
        </w:rPr>
        <w:t>, o cumprimento de sentença se enche de incidentes e sua tramitação se arrasta, descumprindo a regra constitucional e instrumental da tão clamada celeridade na prestação jurisdicional [CF, art. 5º, LXXVIII e CPC, art. 6º].</w:t>
      </w:r>
    </w:p>
    <w:p w14:paraId="53ABC44B" w14:textId="4C91F9D9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676AB">
        <w:rPr>
          <w:rFonts w:ascii="Times New Roman" w:hAnsi="Times New Roman" w:cs="Times New Roman"/>
          <w:b/>
          <w:bCs/>
        </w:rPr>
        <w:t xml:space="preserve">LACRAÇÃO DOS APARTAMENTOS PENHORADOS - </w:t>
      </w:r>
    </w:p>
    <w:p w14:paraId="7F9651AD" w14:textId="77777777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676AB">
        <w:rPr>
          <w:rFonts w:ascii="Times New Roman" w:hAnsi="Times New Roman" w:cs="Times New Roman"/>
          <w:b/>
          <w:bCs/>
        </w:rPr>
        <w:lastRenderedPageBreak/>
        <w:t xml:space="preserve"> DETERMINAÇÃO JUDICIAL CABÍVEL DIANTE DOS RISCOS DE DANOS OU DEPRECIAÇÃO, VISANDO ASSEGURAR A EFETIVIDADE DA EXECUÇÃO JUDICIAL-</w:t>
      </w:r>
    </w:p>
    <w:p w14:paraId="4C29349D" w14:textId="172AE2CF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Indubitável que o maior pesadelo do jurisdicionado é, de fato, a morosidade da prestação jurisdicional, especialmente quando confrontada com manobras protelatórias da parte devedora. Essa demora acaba resultando, invariavelmente, na dilapidação dos bens penhorados.</w:t>
      </w:r>
    </w:p>
    <w:p w14:paraId="6357408B" w14:textId="634BE508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No caso concreto, essa situação é agravada pelo iminente risco de deterioração e depreciação econômica dos 30 [trinta] "</w:t>
      </w:r>
      <w:r w:rsidRPr="001676AB">
        <w:rPr>
          <w:rFonts w:ascii="Times New Roman" w:hAnsi="Times New Roman" w:cs="Times New Roman"/>
          <w:i/>
          <w:iCs/>
        </w:rPr>
        <w:t>apartamentos de hotel</w:t>
      </w:r>
      <w:r w:rsidRPr="001676AB">
        <w:rPr>
          <w:rFonts w:ascii="Times New Roman" w:hAnsi="Times New Roman" w:cs="Times New Roman"/>
        </w:rPr>
        <w:t>" que foram objeto da penhora. Torna-se imperativa, portanto, uma ação segura e imediata do magistrado, pois notória a deterioração dos bens penhorados pelo decurso do tempo, mostrando-se como uma medida adequada para preservar os interesses das partes e afastar manobras procrastinatórias, como se convive na hipótese em tablado, e garantir a efetividade da execução.</w:t>
      </w:r>
    </w:p>
    <w:p w14:paraId="1135B21A" w14:textId="1B7C1AE0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Ressalte-se que, desde o ano de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quando assumiu o encargo, a </w:t>
      </w:r>
      <w:proofErr w:type="spellStart"/>
      <w:r w:rsidRPr="001676AB">
        <w:rPr>
          <w:rFonts w:ascii="Times New Roman" w:hAnsi="Times New Roman" w:cs="Times New Roman"/>
        </w:rPr>
        <w:t>coexequente</w:t>
      </w:r>
      <w:proofErr w:type="spellEnd"/>
      <w:r w:rsidRPr="001676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passou a responder pelas obrigações legais impostas ao depositário judicial, nos termos dos </w:t>
      </w:r>
      <w:proofErr w:type="spellStart"/>
      <w:r w:rsidRPr="001676AB">
        <w:rPr>
          <w:rFonts w:ascii="Times New Roman" w:hAnsi="Times New Roman" w:cs="Times New Roman"/>
        </w:rPr>
        <w:t>arts</w:t>
      </w:r>
      <w:proofErr w:type="spellEnd"/>
      <w:r w:rsidRPr="001676AB">
        <w:rPr>
          <w:rFonts w:ascii="Times New Roman" w:hAnsi="Times New Roman" w:cs="Times New Roman"/>
        </w:rPr>
        <w:t>. 159, 160, 161 e 840 do Código de Processo Civil, dentre as quais se incluem o dever de guarda, conservação, apresentação do bem sempre que determinado, e a vedação absoluta de utilizá-lo sem autorização judicial.</w:t>
      </w:r>
    </w:p>
    <w:p w14:paraId="60427C66" w14:textId="031FD055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Com efeito, ensina o Prof. HUMBERTO THEODORO JÚNIOR:</w:t>
      </w:r>
    </w:p>
    <w:p w14:paraId="71AB461E" w14:textId="43993839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“</w:t>
      </w:r>
      <w:r w:rsidRPr="001676AB">
        <w:rPr>
          <w:rFonts w:ascii="Times New Roman" w:hAnsi="Times New Roman" w:cs="Times New Roman"/>
          <w:i/>
          <w:iCs/>
        </w:rPr>
        <w:t>O depositário judicial é auxiliar do juízo e, como tal, exerce função pública, assumindo perante o Estado e as partes a obrigação de conservar o bem na exata conformidade em que o recebeu, respondendo por qualquer deterioração decorrente de uso indevido, negligência ou omissão</w:t>
      </w:r>
      <w:r w:rsidRPr="001676AB">
        <w:rPr>
          <w:rFonts w:ascii="Times New Roman" w:hAnsi="Times New Roman" w:cs="Times New Roman"/>
        </w:rPr>
        <w:t>.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1676AB">
        <w:rPr>
          <w:rFonts w:ascii="Times New Roman" w:hAnsi="Times New Roman" w:cs="Times New Roman"/>
        </w:rPr>
        <w:t xml:space="preserve">” </w:t>
      </w:r>
    </w:p>
    <w:p w14:paraId="2C502CEF" w14:textId="7687EEE5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No entanto, a recente perícia técnica produzida constatou que os imóveis penhorados — consistentes em quartos de hotel — estão sendo utilizados, sofrendo natural depreciação em razão da alta rotatividade de hóspedes. </w:t>
      </w:r>
    </w:p>
    <w:p w14:paraId="7FC74FBE" w14:textId="57E4B2DD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Essa circunstância, além de comprometer a integridade e conservação dos bens, expõe a depositária a risco de responsabilidades que não lhe podem ser imputadas, na medida em que não autorizou nem se beneficiou da utilização indevida dos apartamentos.</w:t>
      </w:r>
    </w:p>
    <w:p w14:paraId="6A5FBD92" w14:textId="791ACE6D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Nos termos da segura doutrina de ARAKEN DE ASSIS, é imprescindível que o juízo adote providências concretas para garantir a integridade do patrimônio penhorado, pois:</w:t>
      </w:r>
    </w:p>
    <w:p w14:paraId="75F87E40" w14:textId="5F5D307B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“</w:t>
      </w:r>
      <w:r w:rsidRPr="001676AB">
        <w:rPr>
          <w:rFonts w:ascii="Times New Roman" w:hAnsi="Times New Roman" w:cs="Times New Roman"/>
          <w:i/>
          <w:iCs/>
        </w:rPr>
        <w:t>A preservação do bem constrito é condição essencial para a utilidade da execução, competindo ao magistrado determinar as providências necessárias para impedir o perecimento, deterioração ou desvalorização do bem submetido ao depósito judicial</w:t>
      </w:r>
      <w:r w:rsidRPr="001676AB">
        <w:rPr>
          <w:rFonts w:ascii="Times New Roman" w:hAnsi="Times New Roman" w:cs="Times New Roman"/>
        </w:rPr>
        <w:t>.</w:t>
      </w:r>
      <w:r>
        <w:rPr>
          <w:rStyle w:val="Refdenotaderodap"/>
          <w:rFonts w:ascii="Times New Roman" w:hAnsi="Times New Roman" w:cs="Times New Roman"/>
        </w:rPr>
        <w:footnoteReference w:id="2"/>
      </w:r>
      <w:r w:rsidRPr="001676AB">
        <w:rPr>
          <w:rFonts w:ascii="Times New Roman" w:hAnsi="Times New Roman" w:cs="Times New Roman"/>
        </w:rPr>
        <w:t xml:space="preserve">” </w:t>
      </w:r>
    </w:p>
    <w:p w14:paraId="6248AF32" w14:textId="146E2D9A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lastRenderedPageBreak/>
        <w:t>Assim, para que se assegure a higidez dos bens até a realização do leilão judicial, evitando maiores desgastes, uso indevido, rotatividade de terceiros e consequente perda patrimonial, impõe-se de pronto a lacração destes imóveis.</w:t>
      </w:r>
    </w:p>
    <w:p w14:paraId="5EA2560E" w14:textId="61D8261D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A lacração destes imóveis penhorados é uma medida judicial que visa assegurar a guarda e conservação dos bens para garantir a eficácia do processo de execução. O objetivo principal é evitar a dilapidação, o desvio ou o uso indevido do imóvel pelo devedor ou terceiros antes que ele seja expropriado [vendido em leilão, por exemplo] para pagar a dívida exequenda.</w:t>
      </w:r>
    </w:p>
    <w:p w14:paraId="7BEA7E52" w14:textId="41F12D5C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Num único o colendo TRIBUNAL DE JUSTIÇA DE MINAS GERAIS, no ponto, </w:t>
      </w:r>
      <w:r w:rsidRPr="001676AB">
        <w:rPr>
          <w:rFonts w:ascii="Times New Roman" w:hAnsi="Times New Roman" w:cs="Times New Roman"/>
          <w:i/>
          <w:iCs/>
        </w:rPr>
        <w:t>mutatis mutandis</w:t>
      </w:r>
      <w:r w:rsidRPr="001676AB">
        <w:rPr>
          <w:rFonts w:ascii="Times New Roman" w:hAnsi="Times New Roman" w:cs="Times New Roman"/>
        </w:rPr>
        <w:t>:</w:t>
      </w:r>
    </w:p>
    <w:p w14:paraId="7B8A1813" w14:textId="31D495B3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Pr="001676AB">
        <w:rPr>
          <w:rFonts w:ascii="Times New Roman" w:hAnsi="Times New Roman" w:cs="Times New Roman"/>
          <w:i/>
          <w:iCs/>
        </w:rPr>
        <w:t>AGRAVO DE INSTRUMENTO - EXECUÇÃO FISCAL - ALIENAÇÃO ANTECIPADA DE BENS PENHORADOS - ART. 21, DA LEI Nº 6.830/1980 C/C ART. 852, DO CPC - DETERIORAÇÃO/DEPRECIAÇÃO COM O DECURSO DO TEMPO - NOTÓRIA - CABIMENTO. Para o deferimento da alienação antecipada de bens móveis penhorados, excetuados aqueles que se encontram expressamente previstos no inciso I, do art. 852, do CPC, é necessário que haja risco de deterioração ou depreciação econômica desses no decorrer do feito ou que haja manifesta vantagem em razão das condições do mercado -</w:t>
      </w:r>
      <w:r>
        <w:rPr>
          <w:rFonts w:ascii="Times New Roman" w:hAnsi="Times New Roman" w:cs="Times New Roman"/>
          <w:i/>
          <w:iCs/>
        </w:rPr>
        <w:t xml:space="preserve"> </w:t>
      </w:r>
      <w:r w:rsidRPr="001676AB">
        <w:rPr>
          <w:rFonts w:ascii="Times New Roman" w:hAnsi="Times New Roman" w:cs="Times New Roman"/>
          <w:i/>
          <w:iCs/>
        </w:rPr>
        <w:t>Sendo notória a deterioração dos bens penhorados em razão do decurso do tempo deve ser mantida a decisão que determinou a alienação antecipada destes, mostrando-se a medida adequada para preservar tanto os interesses do credor quanto do devedor</w:t>
      </w:r>
      <w:r w:rsidRPr="001676A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  <w:i/>
          <w:iCs/>
        </w:rPr>
        <w:t xml:space="preserve"> </w:t>
      </w:r>
      <w:r w:rsidRPr="001676AB">
        <w:rPr>
          <w:rFonts w:ascii="Times New Roman" w:hAnsi="Times New Roman" w:cs="Times New Roman"/>
        </w:rPr>
        <w:t xml:space="preserve">[TJMG, AI 10223160103907001, Relator Des. Adriano de Mesquita Carneiro (JD Convocado), 3ª Câmara Cível, </w:t>
      </w:r>
      <w:proofErr w:type="spellStart"/>
      <w:r w:rsidRPr="001676AB">
        <w:rPr>
          <w:rFonts w:ascii="Times New Roman" w:hAnsi="Times New Roman" w:cs="Times New Roman"/>
        </w:rPr>
        <w:t>DJe</w:t>
      </w:r>
      <w:proofErr w:type="spellEnd"/>
      <w:r w:rsidRPr="001676AB">
        <w:rPr>
          <w:rFonts w:ascii="Times New Roman" w:hAnsi="Times New Roman" w:cs="Times New Roman"/>
        </w:rPr>
        <w:t xml:space="preserve"> 13/02/2019].</w:t>
      </w:r>
    </w:p>
    <w:p w14:paraId="21DAB0D7" w14:textId="437FCA6B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 xml:space="preserve">A medida é necessária, proporcional e adequada à preservação da eficácia da tutela executiva, evitando-se a inutilização do ato </w:t>
      </w:r>
      <w:proofErr w:type="gramStart"/>
      <w:r w:rsidRPr="001676AB">
        <w:rPr>
          <w:rFonts w:ascii="Times New Roman" w:hAnsi="Times New Roman" w:cs="Times New Roman"/>
        </w:rPr>
        <w:t>constritivo  efetivado</w:t>
      </w:r>
      <w:proofErr w:type="gramEnd"/>
      <w:r w:rsidRPr="001676AB">
        <w:rPr>
          <w:rFonts w:ascii="Times New Roman" w:hAnsi="Times New Roman" w:cs="Times New Roman"/>
        </w:rPr>
        <w:t xml:space="preserve"> há mais de uma década, </w:t>
      </w:r>
      <w:r w:rsidRPr="001676AB">
        <w:rPr>
          <w:rFonts w:ascii="Times New Roman" w:hAnsi="Times New Roman" w:cs="Times New Roman"/>
          <w:i/>
          <w:iCs/>
        </w:rPr>
        <w:t xml:space="preserve">renovada </w:t>
      </w:r>
      <w:proofErr w:type="spellStart"/>
      <w:r w:rsidRPr="001676AB">
        <w:rPr>
          <w:rFonts w:ascii="Times New Roman" w:hAnsi="Times New Roman" w:cs="Times New Roman"/>
          <w:i/>
          <w:iCs/>
        </w:rPr>
        <w:t>venia</w:t>
      </w:r>
      <w:proofErr w:type="spellEnd"/>
      <w:r w:rsidRPr="001676AB">
        <w:rPr>
          <w:rFonts w:ascii="Times New Roman" w:hAnsi="Times New Roman" w:cs="Times New Roman"/>
        </w:rPr>
        <w:t>.</w:t>
      </w:r>
    </w:p>
    <w:p w14:paraId="7DCCB6DE" w14:textId="18855546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676AB">
        <w:rPr>
          <w:rFonts w:ascii="Times New Roman" w:hAnsi="Times New Roman" w:cs="Times New Roman"/>
          <w:b/>
          <w:bCs/>
        </w:rPr>
        <w:t>PEDIDOS</w:t>
      </w:r>
    </w:p>
    <w:p w14:paraId="097DEA58" w14:textId="7EC5479B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1676AB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1676AB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1676AB">
        <w:rPr>
          <w:rFonts w:ascii="Times New Roman" w:hAnsi="Times New Roman" w:cs="Times New Roman"/>
        </w:rPr>
        <w:t xml:space="preserve">, os exequentes requerem:  </w:t>
      </w:r>
    </w:p>
    <w:p w14:paraId="0848D788" w14:textId="6AF221F9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 xml:space="preserve">a expedição de MANDADO DE LACRAÇÃO dos 30 [trinta] apartamentos penhorados do “Hotel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”, sito à Praça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, afixando aviso visível nas portas que se trata de bem penhorado e lacrado por ordem judicial, devendo constar o número de cada unidade penhorada e sua localização interna, para fins de correta individualização; intimando-se pessoalmente o coexecutado e administrador do “Hotel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” [nome fantasia da Sociedade Hoteleira de </w:t>
      </w:r>
      <w:r>
        <w:rPr>
          <w:rFonts w:ascii="Times New Roman" w:hAnsi="Times New Roman" w:cs="Times New Roman"/>
        </w:rPr>
        <w:t>...</w:t>
      </w:r>
      <w:r w:rsidRPr="001676AB">
        <w:rPr>
          <w:rFonts w:ascii="Times New Roman" w:hAnsi="Times New Roman" w:cs="Times New Roman"/>
        </w:rPr>
        <w:t xml:space="preserve">], Sr. </w:t>
      </w:r>
      <w:r>
        <w:rPr>
          <w:rFonts w:ascii="Times New Roman" w:hAnsi="Times New Roman" w:cs="Times New Roman"/>
        </w:rPr>
        <w:t xml:space="preserve">... </w:t>
      </w:r>
      <w:r w:rsidRPr="001676AB">
        <w:rPr>
          <w:rFonts w:ascii="Times New Roman" w:hAnsi="Times New Roman" w:cs="Times New Roman"/>
        </w:rPr>
        <w:t xml:space="preserve">para ciência e integral cumprimento da ordem de lacração, acrescendo que fique terminantemente proibido o ingresso de qualquer pessoa nos referidos apartamentos, exceto a depositária judicial ou pessoa por ela designada exclusivamente para serviços de limpeza ou manutenção mínima indispensável, sob pena de responsabilização do administrador e de qualquer agente envolvido, inclusive pela prática de desacatamento ou desobediência à ordem judicial [art. 330 do Código Penal e </w:t>
      </w:r>
      <w:proofErr w:type="spellStart"/>
      <w:r w:rsidRPr="001676AB">
        <w:rPr>
          <w:rFonts w:ascii="Times New Roman" w:hAnsi="Times New Roman" w:cs="Times New Roman"/>
        </w:rPr>
        <w:t>arts</w:t>
      </w:r>
      <w:proofErr w:type="spellEnd"/>
      <w:r w:rsidRPr="001676AB">
        <w:rPr>
          <w:rFonts w:ascii="Times New Roman" w:hAnsi="Times New Roman" w:cs="Times New Roman"/>
        </w:rPr>
        <w:t>. 77, IV e §§ do CPC], certificando-se tudo nos autos;</w:t>
      </w:r>
    </w:p>
    <w:p w14:paraId="10BD7B47" w14:textId="02C97F51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>após o cumprimento do mandado, seja a depositária judicial comunicada nos autos para acompanhar e fiscalizar a manutenção do estado dos imóveis;</w:t>
      </w:r>
    </w:p>
    <w:p w14:paraId="502EFCFA" w14:textId="72402B06" w:rsidR="001676AB" w:rsidRPr="001676AB" w:rsidRDefault="001676AB" w:rsidP="001676AB">
      <w:pPr>
        <w:ind w:right="-568"/>
        <w:jc w:val="both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lastRenderedPageBreak/>
        <w:t>c)</w:t>
      </w:r>
      <w:r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 xml:space="preserve">deferida a expedição do(s) mandado(s) os exequentes de pronto recolherão </w:t>
      </w:r>
      <w:proofErr w:type="gramStart"/>
      <w:r w:rsidRPr="001676AB">
        <w:rPr>
          <w:rFonts w:ascii="Times New Roman" w:hAnsi="Times New Roman" w:cs="Times New Roman"/>
        </w:rPr>
        <w:t>as</w:t>
      </w:r>
      <w:proofErr w:type="gramEnd"/>
      <w:r w:rsidRPr="001676AB">
        <w:rPr>
          <w:rFonts w:ascii="Times New Roman" w:hAnsi="Times New Roman" w:cs="Times New Roman"/>
        </w:rPr>
        <w:t xml:space="preserve"> custas das diligências determinadas.</w:t>
      </w:r>
    </w:p>
    <w:p w14:paraId="1EC11F9C" w14:textId="3238AB0F" w:rsidR="001676AB" w:rsidRPr="001676AB" w:rsidRDefault="001676AB" w:rsidP="001676A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1676A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1676AB">
        <w:rPr>
          <w:rFonts w:ascii="Times New Roman" w:hAnsi="Times New Roman" w:cs="Times New Roman"/>
        </w:rPr>
        <w:t xml:space="preserve"> Deferimento.</w:t>
      </w:r>
    </w:p>
    <w:p w14:paraId="4FBE9CAA" w14:textId="240C285F" w:rsidR="001676AB" w:rsidRDefault="001676AB" w:rsidP="001676A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1585942F" w14:textId="49A8B739" w:rsidR="001676AB" w:rsidRPr="001676AB" w:rsidRDefault="001676AB" w:rsidP="001676AB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1676AB" w:rsidRPr="001676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503DE" w14:textId="77777777" w:rsidR="00B64901" w:rsidRDefault="00B64901" w:rsidP="001676AB">
      <w:pPr>
        <w:spacing w:after="0" w:line="240" w:lineRule="auto"/>
      </w:pPr>
      <w:r>
        <w:separator/>
      </w:r>
    </w:p>
  </w:endnote>
  <w:endnote w:type="continuationSeparator" w:id="0">
    <w:p w14:paraId="4DF87F65" w14:textId="77777777" w:rsidR="00B64901" w:rsidRDefault="00B64901" w:rsidP="00167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0E0E0" w14:textId="77777777" w:rsidR="00B64901" w:rsidRDefault="00B64901" w:rsidP="001676AB">
      <w:pPr>
        <w:spacing w:after="0" w:line="240" w:lineRule="auto"/>
      </w:pPr>
      <w:r>
        <w:separator/>
      </w:r>
    </w:p>
  </w:footnote>
  <w:footnote w:type="continuationSeparator" w:id="0">
    <w:p w14:paraId="367F8860" w14:textId="77777777" w:rsidR="00B64901" w:rsidRDefault="00B64901" w:rsidP="001676AB">
      <w:pPr>
        <w:spacing w:after="0" w:line="240" w:lineRule="auto"/>
      </w:pPr>
      <w:r>
        <w:continuationSeparator/>
      </w:r>
    </w:p>
  </w:footnote>
  <w:footnote w:id="1">
    <w:p w14:paraId="680EC4F0" w14:textId="6920F4D4" w:rsidR="001676AB" w:rsidRPr="001676AB" w:rsidRDefault="001676AB" w:rsidP="001676AB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676AB">
        <w:rPr>
          <w:rStyle w:val="Refdenotaderodap"/>
          <w:rFonts w:ascii="Times New Roman" w:hAnsi="Times New Roman" w:cs="Times New Roman"/>
        </w:rPr>
        <w:footnoteRef/>
      </w:r>
      <w:r w:rsidRPr="001676AB"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>Processo de Execução e Cumprimento de Sentença, 33ª Edição Revista e Atualizada, Rio de Janeiro: Forense, p. 198.</w:t>
      </w:r>
    </w:p>
  </w:footnote>
  <w:footnote w:id="2">
    <w:p w14:paraId="1519DA9E" w14:textId="525290B6" w:rsidR="001676AB" w:rsidRPr="001676AB" w:rsidRDefault="001676AB" w:rsidP="001676AB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1676AB">
        <w:rPr>
          <w:rStyle w:val="Refdenotaderodap"/>
          <w:rFonts w:ascii="Times New Roman" w:hAnsi="Times New Roman" w:cs="Times New Roman"/>
        </w:rPr>
        <w:footnoteRef/>
      </w:r>
      <w:r w:rsidRPr="001676AB">
        <w:rPr>
          <w:rFonts w:ascii="Times New Roman" w:hAnsi="Times New Roman" w:cs="Times New Roman"/>
        </w:rPr>
        <w:t xml:space="preserve"> </w:t>
      </w:r>
      <w:r w:rsidRPr="001676AB">
        <w:rPr>
          <w:rFonts w:ascii="Times New Roman" w:hAnsi="Times New Roman" w:cs="Times New Roman"/>
        </w:rPr>
        <w:t>Manual da Execução, 22ª Edição Revista, Atualizada e Ampliada, São Paulo: Editora Revista dos Tribunais, p. 237.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03980"/>
    <w:multiLevelType w:val="hybridMultilevel"/>
    <w:tmpl w:val="EF32FD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548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AB"/>
    <w:rsid w:val="001676AB"/>
    <w:rsid w:val="00315445"/>
    <w:rsid w:val="00B64901"/>
    <w:rsid w:val="00E9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815DD"/>
  <w15:chartTrackingRefBased/>
  <w15:docId w15:val="{71B0443C-2307-4974-9AD2-FD6A1BB42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676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76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76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76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76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76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76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76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76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676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676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676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676A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676A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676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676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676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676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676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67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76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67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676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676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676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676A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76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676A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676AB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676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676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676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1E93B-CAAB-4079-8DEB-CC824917F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1195</Words>
  <Characters>6455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2025-12-12T16:20:00Z</dcterms:created>
  <dcterms:modified xsi:type="dcterms:W3CDTF">2025-12-12T16:31:00Z</dcterms:modified>
</cp:coreProperties>
</file>