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98050" w14:textId="77777777" w:rsidR="005319F8" w:rsidRPr="005319F8" w:rsidRDefault="005319F8" w:rsidP="005319F8">
      <w:pPr>
        <w:spacing w:after="0" w:line="240" w:lineRule="auto"/>
        <w:ind w:right="-567"/>
        <w:jc w:val="center"/>
        <w:rPr>
          <w:rFonts w:ascii="Arial Black" w:hAnsi="Arial Black" w:cs="Times New Roman"/>
        </w:rPr>
      </w:pPr>
      <w:r w:rsidRPr="005319F8">
        <w:rPr>
          <w:rFonts w:ascii="Arial Black" w:hAnsi="Arial Black" w:cs="Times New Roman"/>
        </w:rPr>
        <w:t>MODELO DE PETIÇÃO</w:t>
      </w:r>
    </w:p>
    <w:p w14:paraId="209C6AAF" w14:textId="77777777" w:rsidR="005319F8" w:rsidRPr="005319F8" w:rsidRDefault="005319F8" w:rsidP="005319F8">
      <w:pPr>
        <w:spacing w:after="0" w:line="240" w:lineRule="auto"/>
        <w:ind w:right="-567"/>
        <w:jc w:val="center"/>
        <w:rPr>
          <w:rFonts w:ascii="Arial Black" w:hAnsi="Arial Black" w:cs="Times New Roman"/>
        </w:rPr>
      </w:pPr>
      <w:r w:rsidRPr="005319F8">
        <w:rPr>
          <w:rFonts w:ascii="Arial Black" w:hAnsi="Arial Black" w:cs="Times New Roman"/>
        </w:rPr>
        <w:t>CUMPRIMENTO DE SENTENÇA. NULIDADE ABSOLUTA.</w:t>
      </w:r>
    </w:p>
    <w:p w14:paraId="2BB58B73" w14:textId="77777777" w:rsidR="005319F8" w:rsidRPr="005319F8" w:rsidRDefault="005319F8" w:rsidP="005319F8">
      <w:pPr>
        <w:spacing w:after="0" w:line="240" w:lineRule="auto"/>
        <w:ind w:right="-567"/>
        <w:jc w:val="center"/>
        <w:rPr>
          <w:rFonts w:ascii="Arial Black" w:hAnsi="Arial Black" w:cs="Times New Roman"/>
        </w:rPr>
      </w:pPr>
      <w:r w:rsidRPr="005319F8">
        <w:rPr>
          <w:rFonts w:ascii="Arial Black" w:hAnsi="Arial Black" w:cs="Times New Roman"/>
        </w:rPr>
        <w:t>AUSÊNCIA DE REGULARIZAÇÃO DO POLO PASSIVO.</w:t>
      </w:r>
    </w:p>
    <w:p w14:paraId="6EB38661" w14:textId="0AA43F7B" w:rsidR="005319F8" w:rsidRPr="005319F8" w:rsidRDefault="005319F8" w:rsidP="005319F8">
      <w:pPr>
        <w:spacing w:after="0" w:line="240" w:lineRule="auto"/>
        <w:ind w:right="-567"/>
        <w:jc w:val="center"/>
        <w:rPr>
          <w:rFonts w:ascii="Arial Black" w:hAnsi="Arial Black" w:cs="Times New Roman"/>
        </w:rPr>
      </w:pPr>
      <w:r w:rsidRPr="005319F8">
        <w:rPr>
          <w:rFonts w:ascii="Arial Black" w:hAnsi="Arial Black" w:cs="Times New Roman"/>
        </w:rPr>
        <w:t>FALECIMENTO LITISCONSORTES PASSIVOS.</w:t>
      </w:r>
    </w:p>
    <w:p w14:paraId="78371BA4" w14:textId="77777777" w:rsidR="005319F8" w:rsidRPr="005319F8" w:rsidRDefault="005319F8" w:rsidP="005319F8">
      <w:pPr>
        <w:spacing w:after="0" w:line="240" w:lineRule="auto"/>
        <w:ind w:right="-567"/>
        <w:jc w:val="center"/>
        <w:rPr>
          <w:rFonts w:ascii="Arial Black" w:hAnsi="Arial Black" w:cs="Times New Roman"/>
        </w:rPr>
      </w:pPr>
      <w:r w:rsidRPr="005319F8">
        <w:rPr>
          <w:rFonts w:ascii="Arial Black" w:hAnsi="Arial Black" w:cs="Times New Roman"/>
        </w:rPr>
        <w:t>EMBARGOS DE DECLARAÇÃO</w:t>
      </w:r>
    </w:p>
    <w:p w14:paraId="752C4BB3" w14:textId="633C87D4" w:rsidR="005319F8" w:rsidRPr="005319F8" w:rsidRDefault="005319F8" w:rsidP="005319F8">
      <w:pPr>
        <w:spacing w:after="0" w:line="240" w:lineRule="auto"/>
        <w:ind w:right="-567"/>
        <w:jc w:val="right"/>
        <w:rPr>
          <w:rFonts w:ascii="Arial Black" w:hAnsi="Arial Black" w:cs="Times New Roman"/>
        </w:rPr>
      </w:pPr>
      <w:proofErr w:type="spellStart"/>
      <w:r w:rsidRPr="005319F8">
        <w:rPr>
          <w:rFonts w:ascii="Arial Black" w:hAnsi="Arial Black" w:cs="Times New Roman"/>
        </w:rPr>
        <w:t>Rénan</w:t>
      </w:r>
      <w:proofErr w:type="spellEnd"/>
      <w:r w:rsidRPr="005319F8">
        <w:rPr>
          <w:rFonts w:ascii="Arial Black" w:hAnsi="Arial Black" w:cs="Times New Roman"/>
        </w:rPr>
        <w:t xml:space="preserve"> </w:t>
      </w:r>
      <w:proofErr w:type="spellStart"/>
      <w:r w:rsidRPr="005319F8">
        <w:rPr>
          <w:rFonts w:ascii="Arial Black" w:hAnsi="Arial Black" w:cs="Times New Roman"/>
        </w:rPr>
        <w:t>Kfuri</w:t>
      </w:r>
      <w:proofErr w:type="spellEnd"/>
      <w:r w:rsidRPr="005319F8">
        <w:rPr>
          <w:rFonts w:ascii="Arial Black" w:hAnsi="Arial Black" w:cs="Times New Roman"/>
        </w:rPr>
        <w:t xml:space="preserve"> L</w:t>
      </w:r>
      <w:r>
        <w:rPr>
          <w:rFonts w:ascii="Arial Black" w:hAnsi="Arial Black" w:cs="Times New Roman"/>
        </w:rPr>
        <w:t>o</w:t>
      </w:r>
      <w:r w:rsidRPr="005319F8">
        <w:rPr>
          <w:rFonts w:ascii="Arial Black" w:hAnsi="Arial Black" w:cs="Times New Roman"/>
        </w:rPr>
        <w:t>pes</w:t>
      </w:r>
    </w:p>
    <w:p w14:paraId="3F610C3C" w14:textId="77777777" w:rsidR="005319F8" w:rsidRPr="005319F8" w:rsidRDefault="005319F8" w:rsidP="005319F8">
      <w:pPr>
        <w:ind w:right="-568"/>
        <w:jc w:val="both"/>
        <w:rPr>
          <w:rFonts w:ascii="Times New Roman" w:hAnsi="Times New Roman" w:cs="Times New Roman"/>
        </w:rPr>
      </w:pPr>
    </w:p>
    <w:p w14:paraId="5E6323F2" w14:textId="77777777" w:rsidR="005319F8" w:rsidRDefault="005319F8" w:rsidP="005319F8">
      <w:pPr>
        <w:ind w:right="-568"/>
        <w:jc w:val="both"/>
        <w:rPr>
          <w:rFonts w:ascii="Times New Roman" w:hAnsi="Times New Roman" w:cs="Times New Roman"/>
        </w:rPr>
      </w:pPr>
      <w:r w:rsidRPr="005319F8">
        <w:rPr>
          <w:rFonts w:ascii="Times New Roman" w:hAnsi="Times New Roman" w:cs="Times New Roman"/>
        </w:rPr>
        <w:t>E</w:t>
      </w:r>
      <w:r>
        <w:rPr>
          <w:rFonts w:ascii="Times New Roman" w:hAnsi="Times New Roman" w:cs="Times New Roman"/>
        </w:rPr>
        <w:t>xma. Sra. Juíza de Direito da ... Vara Judicial da Comarca de ...</w:t>
      </w:r>
    </w:p>
    <w:p w14:paraId="1963187B" w14:textId="77A3D2A2" w:rsidR="005319F8" w:rsidRPr="005319F8" w:rsidRDefault="005319F8" w:rsidP="005319F8">
      <w:pPr>
        <w:ind w:right="-568"/>
        <w:jc w:val="both"/>
        <w:rPr>
          <w:rFonts w:ascii="Times New Roman" w:hAnsi="Times New Roman" w:cs="Times New Roman"/>
        </w:rPr>
      </w:pPr>
      <w:proofErr w:type="spellStart"/>
      <w:r w:rsidRPr="005319F8">
        <w:rPr>
          <w:rFonts w:ascii="Times New Roman" w:hAnsi="Times New Roman" w:cs="Times New Roman"/>
        </w:rPr>
        <w:t>eSAJ</w:t>
      </w:r>
      <w:proofErr w:type="spellEnd"/>
      <w:r w:rsidRPr="005319F8">
        <w:rPr>
          <w:rFonts w:ascii="Times New Roman" w:hAnsi="Times New Roman" w:cs="Times New Roman"/>
        </w:rPr>
        <w:t xml:space="preserve"> </w:t>
      </w:r>
      <w:r>
        <w:rPr>
          <w:rFonts w:ascii="Times New Roman" w:hAnsi="Times New Roman" w:cs="Times New Roman"/>
        </w:rPr>
        <w:t>...</w:t>
      </w:r>
    </w:p>
    <w:p w14:paraId="65371859" w14:textId="1B100AB1" w:rsidR="005319F8" w:rsidRPr="005319F8" w:rsidRDefault="005319F8" w:rsidP="005319F8">
      <w:pPr>
        <w:ind w:right="-568"/>
        <w:jc w:val="both"/>
        <w:rPr>
          <w:rFonts w:ascii="Times New Roman" w:hAnsi="Times New Roman" w:cs="Times New Roman"/>
        </w:rPr>
      </w:pPr>
      <w:r>
        <w:rPr>
          <w:rFonts w:ascii="Times New Roman" w:hAnsi="Times New Roman" w:cs="Times New Roman"/>
        </w:rPr>
        <w:t>(nome)</w:t>
      </w:r>
      <w:r w:rsidRPr="005319F8">
        <w:rPr>
          <w:rFonts w:ascii="Times New Roman" w:hAnsi="Times New Roman" w:cs="Times New Roman"/>
        </w:rPr>
        <w:t xml:space="preserve">, coexecutada, pelos advogados </w:t>
      </w:r>
      <w:r w:rsidRPr="005319F8">
        <w:rPr>
          <w:rFonts w:ascii="Times New Roman" w:hAnsi="Times New Roman" w:cs="Times New Roman"/>
          <w:i/>
          <w:iCs/>
        </w:rPr>
        <w:t>in fine</w:t>
      </w:r>
      <w:r w:rsidRPr="005319F8">
        <w:rPr>
          <w:rFonts w:ascii="Times New Roman" w:hAnsi="Times New Roman" w:cs="Times New Roman"/>
        </w:rPr>
        <w:t xml:space="preserve"> assinados, nos autos epigrafados da “</w:t>
      </w:r>
      <w:r w:rsidRPr="005319F8">
        <w:rPr>
          <w:rFonts w:ascii="Times New Roman" w:hAnsi="Times New Roman" w:cs="Times New Roman"/>
          <w:i/>
          <w:iCs/>
        </w:rPr>
        <w:t>Ação de Desconstituição de Contrato e Restituição de Numerário</w:t>
      </w:r>
      <w:r w:rsidRPr="005319F8">
        <w:rPr>
          <w:rFonts w:ascii="Times New Roman" w:hAnsi="Times New Roman" w:cs="Times New Roman"/>
        </w:rPr>
        <w:t xml:space="preserve">” em fase de cumprimento de sentença que contende contra </w:t>
      </w:r>
      <w:r>
        <w:rPr>
          <w:rFonts w:ascii="Times New Roman" w:hAnsi="Times New Roman" w:cs="Times New Roman"/>
        </w:rPr>
        <w:t>...</w:t>
      </w:r>
      <w:r w:rsidRPr="005319F8">
        <w:rPr>
          <w:rFonts w:ascii="Times New Roman" w:hAnsi="Times New Roman" w:cs="Times New Roman"/>
        </w:rPr>
        <w:t>, exequente, vem, respeitosamente, oferecer a presente EXCEÇÃO DE PRÉ-EXECUTIVIDADE, pelas razões adiante articuladas:</w:t>
      </w:r>
    </w:p>
    <w:p w14:paraId="33DD47C5" w14:textId="66F6F8E3" w:rsidR="005319F8" w:rsidRPr="005319F8" w:rsidRDefault="005319F8" w:rsidP="005319F8">
      <w:pPr>
        <w:ind w:right="-568"/>
        <w:jc w:val="both"/>
        <w:rPr>
          <w:rFonts w:ascii="Times New Roman" w:hAnsi="Times New Roman" w:cs="Times New Roman"/>
          <w:b/>
          <w:bCs/>
        </w:rPr>
      </w:pPr>
      <w:r w:rsidRPr="005319F8">
        <w:rPr>
          <w:rFonts w:ascii="Times New Roman" w:hAnsi="Times New Roman" w:cs="Times New Roman"/>
          <w:b/>
          <w:bCs/>
        </w:rPr>
        <w:t xml:space="preserve">I- </w:t>
      </w:r>
      <w:r w:rsidRPr="005319F8">
        <w:rPr>
          <w:rFonts w:ascii="Times New Roman" w:hAnsi="Times New Roman" w:cs="Times New Roman"/>
          <w:b/>
          <w:bCs/>
        </w:rPr>
        <w:t>BREVE SÍNTESE</w:t>
      </w:r>
    </w:p>
    <w:p w14:paraId="4F337273" w14:textId="58721202"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Tratam-se os autos da fase de cumprimento definitivo de sentença oriundo da “</w:t>
      </w:r>
      <w:r w:rsidRPr="005319F8">
        <w:rPr>
          <w:rFonts w:ascii="Times New Roman" w:hAnsi="Times New Roman" w:cs="Times New Roman"/>
          <w:i/>
          <w:iCs/>
        </w:rPr>
        <w:t>Ação de Desconstituição de Contrato e Restituição de Numerário</w:t>
      </w:r>
      <w:r w:rsidRPr="005319F8">
        <w:rPr>
          <w:rFonts w:ascii="Times New Roman" w:hAnsi="Times New Roman" w:cs="Times New Roman"/>
        </w:rPr>
        <w:t xml:space="preserve">” ajuizada em </w:t>
      </w:r>
      <w:r>
        <w:rPr>
          <w:rFonts w:ascii="Times New Roman" w:hAnsi="Times New Roman" w:cs="Times New Roman"/>
        </w:rPr>
        <w:t>...</w:t>
      </w:r>
      <w:r w:rsidRPr="005319F8">
        <w:rPr>
          <w:rFonts w:ascii="Times New Roman" w:hAnsi="Times New Roman" w:cs="Times New Roman"/>
        </w:rPr>
        <w:t xml:space="preserve"> perante a </w:t>
      </w:r>
      <w:r>
        <w:rPr>
          <w:rFonts w:ascii="Times New Roman" w:hAnsi="Times New Roman" w:cs="Times New Roman"/>
        </w:rPr>
        <w:t>...</w:t>
      </w:r>
      <w:r w:rsidRPr="005319F8">
        <w:rPr>
          <w:rFonts w:ascii="Times New Roman" w:hAnsi="Times New Roman" w:cs="Times New Roman"/>
        </w:rPr>
        <w:t xml:space="preserve">ª Vara Cível da Comarca de </w:t>
      </w:r>
      <w:r>
        <w:rPr>
          <w:rFonts w:ascii="Times New Roman" w:hAnsi="Times New Roman" w:cs="Times New Roman"/>
        </w:rPr>
        <w:t>...</w:t>
      </w:r>
      <w:r w:rsidRPr="005319F8">
        <w:rPr>
          <w:rFonts w:ascii="Times New Roman" w:hAnsi="Times New Roman" w:cs="Times New Roman"/>
        </w:rPr>
        <w:t xml:space="preserve">, decorrente de demanda de desconstituição de negócio jurídico cumulada com restituição de valores, relacionada a empreendimento habitacional [fls. </w:t>
      </w:r>
      <w:r>
        <w:rPr>
          <w:rFonts w:ascii="Times New Roman" w:hAnsi="Times New Roman" w:cs="Times New Roman"/>
        </w:rPr>
        <w:t>...</w:t>
      </w:r>
      <w:r w:rsidRPr="005319F8">
        <w:rPr>
          <w:rFonts w:ascii="Times New Roman" w:hAnsi="Times New Roman" w:cs="Times New Roman"/>
        </w:rPr>
        <w:t>].</w:t>
      </w:r>
    </w:p>
    <w:p w14:paraId="24FAFF5B" w14:textId="5DCC6A48"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fase executiva deste processado, muito embora de longa tramitação, passou a tramitar com pluralidade de litisconsortes passivos [executados] quando deferido o pleito de desconsideração da personalidade jurídica da devedora principal/</w:t>
      </w:r>
      <w:r>
        <w:rPr>
          <w:rFonts w:ascii="Times New Roman" w:hAnsi="Times New Roman" w:cs="Times New Roman"/>
        </w:rPr>
        <w:t>...</w:t>
      </w:r>
      <w:r w:rsidRPr="005319F8">
        <w:rPr>
          <w:rFonts w:ascii="Times New Roman" w:hAnsi="Times New Roman" w:cs="Times New Roman"/>
        </w:rPr>
        <w:t xml:space="preserve">, através do r. interlocutório proferido em </w:t>
      </w:r>
      <w:r>
        <w:rPr>
          <w:rFonts w:ascii="Times New Roman" w:hAnsi="Times New Roman" w:cs="Times New Roman"/>
        </w:rPr>
        <w:t>...</w:t>
      </w:r>
      <w:r w:rsidRPr="005319F8">
        <w:rPr>
          <w:rFonts w:ascii="Times New Roman" w:hAnsi="Times New Roman" w:cs="Times New Roman"/>
        </w:rPr>
        <w:t xml:space="preserve"> [fls. </w:t>
      </w:r>
      <w:r>
        <w:rPr>
          <w:rFonts w:ascii="Times New Roman" w:hAnsi="Times New Roman" w:cs="Times New Roman"/>
        </w:rPr>
        <w:t>...</w:t>
      </w:r>
      <w:r w:rsidRPr="005319F8">
        <w:rPr>
          <w:rFonts w:ascii="Times New Roman" w:hAnsi="Times New Roman" w:cs="Times New Roman"/>
        </w:rPr>
        <w:t>].</w:t>
      </w:r>
    </w:p>
    <w:p w14:paraId="7901BDF1" w14:textId="7BCA469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Ocorre que, no curso do processo, sobreveio o falecimento de diversos coexecutados, v.g.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xml:space="preserve">],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xml:space="preserve">], </w:t>
      </w:r>
      <w:r>
        <w:rPr>
          <w:rFonts w:ascii="Times New Roman" w:hAnsi="Times New Roman" w:cs="Times New Roman"/>
        </w:rPr>
        <w:t>...</w:t>
      </w:r>
      <w:r w:rsidRPr="005319F8">
        <w:rPr>
          <w:rFonts w:ascii="Times New Roman" w:hAnsi="Times New Roman" w:cs="Times New Roman"/>
        </w:rPr>
        <w:t xml:space="preserve"> [CPF </w:t>
      </w:r>
      <w:r>
        <w:rPr>
          <w:rFonts w:ascii="Times New Roman" w:hAnsi="Times New Roman" w:cs="Times New Roman"/>
        </w:rPr>
        <w:t>...</w:t>
      </w:r>
      <w:r w:rsidRPr="005319F8">
        <w:rPr>
          <w:rFonts w:ascii="Times New Roman" w:hAnsi="Times New Roman" w:cs="Times New Roman"/>
        </w:rPr>
        <w:t xml:space="preserve">],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xml:space="preserve">],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xml:space="preserve">],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xml:space="preserve">] e </w:t>
      </w:r>
      <w:r>
        <w:rPr>
          <w:rFonts w:ascii="Times New Roman" w:hAnsi="Times New Roman" w:cs="Times New Roman"/>
        </w:rPr>
        <w:t>...</w:t>
      </w:r>
      <w:r w:rsidRPr="005319F8">
        <w:rPr>
          <w:rFonts w:ascii="Times New Roman" w:hAnsi="Times New Roman" w:cs="Times New Roman"/>
        </w:rPr>
        <w:t xml:space="preserve"> [CPF n. </w:t>
      </w:r>
      <w:r>
        <w:rPr>
          <w:rFonts w:ascii="Times New Roman" w:hAnsi="Times New Roman" w:cs="Times New Roman"/>
        </w:rPr>
        <w:t>...</w:t>
      </w:r>
      <w:r w:rsidRPr="005319F8">
        <w:rPr>
          <w:rFonts w:ascii="Times New Roman" w:hAnsi="Times New Roman" w:cs="Times New Roman"/>
        </w:rPr>
        <w:t>], circunstâncias que indubitavelmente caberia aos integrantes da relação processual comunicar oportunamente nestes autos.</w:t>
      </w:r>
    </w:p>
    <w:p w14:paraId="12839F51" w14:textId="7BBD96DA"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Não obstante o falecimento dos litisconsortes acima pormenorizados, o cumprimento definitivo de sentença prosseguiu com subsequentes pronunciamentos jurisdicionais e também com a prática de atos executivos de elevada gravidade, inclusive com a constrição de ativos financeiros da ora excipiente por meio do extinto sistema “</w:t>
      </w:r>
      <w:proofErr w:type="spellStart"/>
      <w:r w:rsidRPr="005319F8">
        <w:rPr>
          <w:rFonts w:ascii="Times New Roman" w:hAnsi="Times New Roman" w:cs="Times New Roman"/>
          <w:i/>
          <w:iCs/>
        </w:rPr>
        <w:t>BacenJud</w:t>
      </w:r>
      <w:proofErr w:type="spellEnd"/>
      <w:r w:rsidRPr="005319F8">
        <w:rPr>
          <w:rFonts w:ascii="Times New Roman" w:hAnsi="Times New Roman" w:cs="Times New Roman"/>
          <w:i/>
          <w:iCs/>
        </w:rPr>
        <w:t xml:space="preserve"> 2.0</w:t>
      </w:r>
      <w:r w:rsidRPr="005319F8">
        <w:rPr>
          <w:rFonts w:ascii="Times New Roman" w:hAnsi="Times New Roman" w:cs="Times New Roman"/>
        </w:rPr>
        <w:t xml:space="preserve">”, sem a efetiva regularização de suas representações [fls. </w:t>
      </w:r>
      <w:r>
        <w:rPr>
          <w:rFonts w:ascii="Times New Roman" w:hAnsi="Times New Roman" w:cs="Times New Roman"/>
        </w:rPr>
        <w:t>...</w:t>
      </w:r>
      <w:r w:rsidRPr="005319F8">
        <w:rPr>
          <w:rFonts w:ascii="Times New Roman" w:hAnsi="Times New Roman" w:cs="Times New Roman"/>
        </w:rPr>
        <w:t>].</w:t>
      </w:r>
    </w:p>
    <w:p w14:paraId="7AE796C0" w14:textId="33511DB6"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Portanto, sem quebra de reverência, na hipótese vertente o vício central se revela objetivo e insanável.</w:t>
      </w:r>
    </w:p>
    <w:p w14:paraId="5A4AE9C5" w14:textId="395BE538" w:rsidR="005319F8" w:rsidRPr="005319F8" w:rsidRDefault="005319F8" w:rsidP="005319F8">
      <w:pPr>
        <w:ind w:right="-568"/>
        <w:jc w:val="both"/>
        <w:rPr>
          <w:rFonts w:ascii="Times New Roman" w:hAnsi="Times New Roman" w:cs="Times New Roman"/>
          <w:b/>
          <w:bCs/>
        </w:rPr>
      </w:pPr>
      <w:r w:rsidRPr="005319F8">
        <w:rPr>
          <w:rFonts w:ascii="Times New Roman" w:hAnsi="Times New Roman" w:cs="Times New Roman"/>
          <w:b/>
          <w:bCs/>
        </w:rPr>
        <w:t>II-</w:t>
      </w:r>
      <w:r w:rsidRPr="005319F8">
        <w:rPr>
          <w:rFonts w:ascii="Times New Roman" w:hAnsi="Times New Roman" w:cs="Times New Roman"/>
          <w:b/>
          <w:bCs/>
        </w:rPr>
        <w:t xml:space="preserve"> </w:t>
      </w:r>
      <w:r w:rsidRPr="005319F8">
        <w:rPr>
          <w:rFonts w:ascii="Times New Roman" w:hAnsi="Times New Roman" w:cs="Times New Roman"/>
          <w:b/>
          <w:bCs/>
        </w:rPr>
        <w:t>CABIMENTO DA EXCEÇÃO DE PRÉ-EXECUTIVIDADE</w:t>
      </w:r>
    </w:p>
    <w:p w14:paraId="4E681055" w14:textId="0ADFC56E"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De conhecimento geral que a exceção de </w:t>
      </w:r>
      <w:proofErr w:type="spellStart"/>
      <w:r w:rsidRPr="005319F8">
        <w:rPr>
          <w:rFonts w:ascii="Times New Roman" w:hAnsi="Times New Roman" w:cs="Times New Roman"/>
        </w:rPr>
        <w:t>pré</w:t>
      </w:r>
      <w:proofErr w:type="spellEnd"/>
      <w:r w:rsidRPr="005319F8">
        <w:rPr>
          <w:rFonts w:ascii="Times New Roman" w:hAnsi="Times New Roman" w:cs="Times New Roman"/>
        </w:rPr>
        <w:t xml:space="preserve">-executividade, consagrada pela jurisprudência e doutrina, é uma defesa atípica que pode ser apresentada pelo executado/devedor nos autos da execução, por simples petição, desde que os questionamentos levantados estejam </w:t>
      </w:r>
      <w:r w:rsidRPr="005319F8">
        <w:rPr>
          <w:rFonts w:ascii="Times New Roman" w:hAnsi="Times New Roman" w:cs="Times New Roman"/>
        </w:rPr>
        <w:lastRenderedPageBreak/>
        <w:t>documentalmente comprovados, que não demande dilação probatória e que, por se tratar questão de ordem pública, seja reconhecível de ofício e a qualquer tempo ou grau de jurisdição</w:t>
      </w:r>
      <w:r w:rsidR="00F353E3">
        <w:rPr>
          <w:rStyle w:val="Refdenotaderodap"/>
          <w:rFonts w:ascii="Times New Roman" w:hAnsi="Times New Roman" w:cs="Times New Roman"/>
        </w:rPr>
        <w:footnoteReference w:id="1"/>
      </w:r>
      <w:r w:rsidRPr="005319F8">
        <w:rPr>
          <w:rFonts w:ascii="Times New Roman" w:hAnsi="Times New Roman" w:cs="Times New Roman"/>
        </w:rPr>
        <w:t xml:space="preserve">. </w:t>
      </w:r>
    </w:p>
    <w:p w14:paraId="11CC8313" w14:textId="5687809D"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No caso concreto, sua admissibilidade decorre da necessidade de compatibilizar a efetividade executiva com os limites constitucionais do processo, notadamente a exigência de que nenhum ato constritivo subsista quando ausentes pressupostos processuais, condições da ação, legitimidade das partes ou exigibilidade do título em sua conformação executiva concreta, constituindo matéria de inequívoco jaez público.</w:t>
      </w:r>
    </w:p>
    <w:p w14:paraId="108783B0" w14:textId="4A127995"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Segundo preleciona o casal de juristas Nelson Nery Júnior e Rosa Maria de Andrade Nery</w:t>
      </w:r>
      <w:r w:rsidR="00F353E3">
        <w:rPr>
          <w:rStyle w:val="Refdenotaderodap"/>
          <w:rFonts w:ascii="Times New Roman" w:hAnsi="Times New Roman" w:cs="Times New Roman"/>
        </w:rPr>
        <w:footnoteReference w:id="2"/>
      </w:r>
      <w:r w:rsidRPr="005319F8">
        <w:rPr>
          <w:rFonts w:ascii="Times New Roman" w:hAnsi="Times New Roman" w:cs="Times New Roman"/>
        </w:rPr>
        <w:t xml:space="preserve">: </w:t>
      </w:r>
    </w:p>
    <w:p w14:paraId="39D3B966" w14:textId="77777777"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w:t>
      </w:r>
      <w:r w:rsidRPr="005319F8">
        <w:rPr>
          <w:rFonts w:ascii="Times New Roman" w:hAnsi="Times New Roman" w:cs="Times New Roman"/>
          <w:i/>
          <w:iCs/>
        </w:rPr>
        <w:t>Argui-se a exceção por mera petição, dando-se os motivos de fato e de direito pelos quais o devedor entende ser incabível ou ilegal a execução. A petição deve conter pedido de extinção da execução (ou de alteração do valor da execução, se o pagamento tiver sido parcial) e deve vir acompanhada de eventuais documentos comprobatórios das alegações do devedor-excipiente. Não se admite dilação probatória na exceção, razão pela qual a prova é documental e pré-constituída...Como é meio de defesa não regulado expressamente pelo CPC, a exceção de executividade deve ser processada nos autos principais, não devendo ser autuada em separado...</w:t>
      </w:r>
      <w:proofErr w:type="spellStart"/>
      <w:r w:rsidRPr="005319F8">
        <w:rPr>
          <w:rFonts w:ascii="Times New Roman" w:hAnsi="Times New Roman" w:cs="Times New Roman"/>
          <w:i/>
          <w:iCs/>
        </w:rPr>
        <w:t>omissis</w:t>
      </w:r>
      <w:proofErr w:type="spellEnd"/>
      <w:r w:rsidRPr="005319F8">
        <w:rPr>
          <w:rFonts w:ascii="Times New Roman" w:hAnsi="Times New Roman" w:cs="Times New Roman"/>
          <w:i/>
          <w:iCs/>
        </w:rPr>
        <w:t>...”</w:t>
      </w:r>
    </w:p>
    <w:p w14:paraId="2566D66D" w14:textId="51D26B3E"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Com efeito, no julgamento do Tema Repetitivo n. 235 o colendo SUPERIOR TRIBUNAL DE JUSTIÇA elencou um rol exemplificativo das matérias de ordem pública, dentre elas as condições da ação e pressupostos processuais, no ponto:</w:t>
      </w:r>
    </w:p>
    <w:p w14:paraId="015FE8A9" w14:textId="73B5BC22" w:rsidR="005319F8" w:rsidRPr="005319F8" w:rsidRDefault="005319F8" w:rsidP="005319F8">
      <w:pPr>
        <w:ind w:right="-568"/>
        <w:jc w:val="both"/>
        <w:rPr>
          <w:rFonts w:ascii="Times New Roman" w:hAnsi="Times New Roman" w:cs="Times New Roman"/>
        </w:rPr>
      </w:pPr>
      <w:r>
        <w:rPr>
          <w:rFonts w:ascii="Times New Roman" w:hAnsi="Times New Roman" w:cs="Times New Roman"/>
        </w:rPr>
        <w:t>“</w:t>
      </w:r>
      <w:r w:rsidRPr="005319F8">
        <w:rPr>
          <w:rFonts w:ascii="Times New Roman" w:hAnsi="Times New Roman" w:cs="Times New Roman"/>
          <w:i/>
          <w:iCs/>
        </w:rPr>
        <w:t xml:space="preserve">A regra da congruência (ou correlação) entre pedido e sentença (CPC, 128 e 460) é decorrência do princípio dispositivo. Quando o juiz tiver de decidir independentemente de pedido da parte ou interessado, o que ocorre, por exemplo, com as matérias de ordem pública, não incide a regra da congruência. Isso quer significar que não haverá julgamento extra, infra ou ultra petita quando o juiz ou tribunal pronunciar-se de ofício sobre referidas matérias de ordem pública. Alguns exemplos de matérias de ordem pública: a) substanciais: cláusulas contratuais abusivas (CDC, 1º e 51); cláusulas gerais (CC 2035 par. </w:t>
      </w:r>
      <w:proofErr w:type="spellStart"/>
      <w:r w:rsidRPr="005319F8">
        <w:rPr>
          <w:rFonts w:ascii="Times New Roman" w:hAnsi="Times New Roman" w:cs="Times New Roman"/>
          <w:i/>
          <w:iCs/>
        </w:rPr>
        <w:t>ún</w:t>
      </w:r>
      <w:proofErr w:type="spellEnd"/>
      <w:r w:rsidRPr="005319F8">
        <w:rPr>
          <w:rFonts w:ascii="Times New Roman" w:hAnsi="Times New Roman" w:cs="Times New Roman"/>
          <w:i/>
          <w:iCs/>
        </w:rPr>
        <w:t>) da função social do contrato (CC 421), da função social da propriedade (CF art. 5º XXIII e 170 III e CC 1228, § 1º), da função social da empresa (CF 170; CC 421 e 981) e da boa-fé objetiva (CC 422); simulação de ato ou negócio jurídico (CC 166, VII e 167); b) processuais: condições da ação e pressupostos processuais (CPC 3º, 267, IV e V; 267, § 3º; 301, X; 30, § 4º); incompetência absoluta (CPC 113, § 2º); impedimento do juiz (CPC 134 e 136); preliminares alegáveis na contestação (CPC 301 e § 4º); pedido implícito de juros legais (CPC 293), juros de mora (CPC 219) e de correção monetária (L 6899/81; TRF-4ª 53); juízo de admissibilidade dos recursos (CPC 518, § 1º)...</w:t>
      </w:r>
      <w:proofErr w:type="spellStart"/>
      <w:r w:rsidRPr="005319F8">
        <w:rPr>
          <w:rFonts w:ascii="Times New Roman" w:hAnsi="Times New Roman" w:cs="Times New Roman"/>
          <w:i/>
          <w:iCs/>
        </w:rPr>
        <w:t>omissis</w:t>
      </w:r>
      <w:proofErr w:type="spellEnd"/>
      <w:r w:rsidRPr="005319F8">
        <w:rPr>
          <w:rFonts w:ascii="Times New Roman" w:hAnsi="Times New Roman" w:cs="Times New Roman"/>
        </w:rPr>
        <w:t>...</w:t>
      </w:r>
      <w:r>
        <w:rPr>
          <w:rFonts w:ascii="Times New Roman" w:hAnsi="Times New Roman" w:cs="Times New Roman"/>
        </w:rPr>
        <w:t>”</w:t>
      </w:r>
      <w:r w:rsidRPr="005319F8">
        <w:rPr>
          <w:rFonts w:ascii="Times New Roman" w:hAnsi="Times New Roman" w:cs="Times New Roman"/>
        </w:rPr>
        <w:t xml:space="preserve"> [STJ, REsp n. 1.112.524/DF, Relator Ministro Luiz Fux, Corte Especial, </w:t>
      </w:r>
      <w:proofErr w:type="spellStart"/>
      <w:r w:rsidRPr="005319F8">
        <w:rPr>
          <w:rFonts w:ascii="Times New Roman" w:hAnsi="Times New Roman" w:cs="Times New Roman"/>
        </w:rPr>
        <w:t>DJe</w:t>
      </w:r>
      <w:proofErr w:type="spellEnd"/>
      <w:r w:rsidRPr="005319F8">
        <w:rPr>
          <w:rFonts w:ascii="Times New Roman" w:hAnsi="Times New Roman" w:cs="Times New Roman"/>
        </w:rPr>
        <w:t xml:space="preserve"> 30.09.2010] – Tema Repetitivo n. 235 </w:t>
      </w:r>
    </w:p>
    <w:p w14:paraId="1CDF4597" w14:textId="1DFF50ED"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lastRenderedPageBreak/>
        <w:t xml:space="preserve">Valha a contundente decisão do STJ sobre a </w:t>
      </w:r>
      <w:r w:rsidRPr="005319F8">
        <w:rPr>
          <w:rFonts w:ascii="Times New Roman" w:hAnsi="Times New Roman" w:cs="Times New Roman"/>
          <w:i/>
          <w:iCs/>
        </w:rPr>
        <w:t>quaestio juris</w:t>
      </w:r>
      <w:r w:rsidRPr="005319F8">
        <w:rPr>
          <w:rFonts w:ascii="Times New Roman" w:hAnsi="Times New Roman" w:cs="Times New Roman"/>
        </w:rPr>
        <w:t xml:space="preserve"> delineada à saciedade mais adiante, no ponto: </w:t>
      </w:r>
    </w:p>
    <w:p w14:paraId="2376B776" w14:textId="378A5F41" w:rsidR="005319F8" w:rsidRPr="005319F8" w:rsidRDefault="005319F8" w:rsidP="005319F8">
      <w:pPr>
        <w:ind w:right="-568"/>
        <w:jc w:val="both"/>
        <w:rPr>
          <w:rFonts w:ascii="Times New Roman" w:hAnsi="Times New Roman" w:cs="Times New Roman"/>
        </w:rPr>
      </w:pPr>
      <w:r>
        <w:rPr>
          <w:rFonts w:ascii="Times New Roman" w:hAnsi="Times New Roman" w:cs="Times New Roman"/>
        </w:rPr>
        <w:t>“</w:t>
      </w:r>
      <w:r w:rsidRPr="005319F8">
        <w:rPr>
          <w:rFonts w:ascii="Times New Roman" w:hAnsi="Times New Roman" w:cs="Times New Roman"/>
        </w:rPr>
        <w:t>...</w:t>
      </w:r>
      <w:r>
        <w:rPr>
          <w:rFonts w:ascii="Times New Roman" w:hAnsi="Times New Roman" w:cs="Times New Roman"/>
        </w:rPr>
        <w:t xml:space="preserve"> </w:t>
      </w:r>
      <w:r w:rsidRPr="005319F8">
        <w:rPr>
          <w:rFonts w:ascii="Times New Roman" w:hAnsi="Times New Roman" w:cs="Times New Roman"/>
          <w:i/>
          <w:iCs/>
        </w:rPr>
        <w:t xml:space="preserve">A exceção de </w:t>
      </w:r>
      <w:proofErr w:type="spellStart"/>
      <w:r w:rsidRPr="005319F8">
        <w:rPr>
          <w:rFonts w:ascii="Times New Roman" w:hAnsi="Times New Roman" w:cs="Times New Roman"/>
          <w:i/>
          <w:iCs/>
        </w:rPr>
        <w:t>pré</w:t>
      </w:r>
      <w:proofErr w:type="spellEnd"/>
      <w:r w:rsidRPr="005319F8">
        <w:rPr>
          <w:rFonts w:ascii="Times New Roman" w:hAnsi="Times New Roman" w:cs="Times New Roman"/>
          <w:i/>
          <w:iCs/>
        </w:rPr>
        <w:t>-executividade é cabível para discutir questões de ordem pública, quais sejam, os pressupostos processuais, as condições da ação, os vícios objetivos do título executivo atinentes à certeza, liquidez e exigibilidade, desde que não demandem dilação probatória...</w:t>
      </w:r>
      <w:proofErr w:type="spellStart"/>
      <w:r w:rsidRPr="005319F8">
        <w:rPr>
          <w:rFonts w:ascii="Times New Roman" w:hAnsi="Times New Roman" w:cs="Times New Roman"/>
          <w:i/>
          <w:iCs/>
        </w:rPr>
        <w:t>omissis</w:t>
      </w:r>
      <w:proofErr w:type="spellEnd"/>
      <w:r w:rsidRPr="005319F8">
        <w:rPr>
          <w:rFonts w:ascii="Times New Roman" w:hAnsi="Times New Roman" w:cs="Times New Roman"/>
          <w:i/>
          <w:iCs/>
        </w:rPr>
        <w:t>..</w:t>
      </w:r>
      <w:r w:rsidRPr="005319F8">
        <w:rPr>
          <w:rFonts w:ascii="Times New Roman" w:hAnsi="Times New Roman" w:cs="Times New Roman"/>
        </w:rPr>
        <w:t>.</w:t>
      </w:r>
      <w:r>
        <w:rPr>
          <w:rFonts w:ascii="Times New Roman" w:hAnsi="Times New Roman" w:cs="Times New Roman"/>
        </w:rPr>
        <w:t xml:space="preserve">” </w:t>
      </w:r>
      <w:r w:rsidRPr="005319F8">
        <w:rPr>
          <w:rFonts w:ascii="Times New Roman" w:hAnsi="Times New Roman" w:cs="Times New Roman"/>
        </w:rPr>
        <w:t xml:space="preserve">[STJ, </w:t>
      </w:r>
      <w:proofErr w:type="spellStart"/>
      <w:r w:rsidRPr="005319F8">
        <w:rPr>
          <w:rFonts w:ascii="Times New Roman" w:hAnsi="Times New Roman" w:cs="Times New Roman"/>
        </w:rPr>
        <w:t>AgInt</w:t>
      </w:r>
      <w:proofErr w:type="spellEnd"/>
      <w:r w:rsidRPr="005319F8">
        <w:rPr>
          <w:rFonts w:ascii="Times New Roman" w:hAnsi="Times New Roman" w:cs="Times New Roman"/>
        </w:rPr>
        <w:t xml:space="preserve"> no REsp n. 1.960.444/SP, relator Ministro </w:t>
      </w:r>
      <w:proofErr w:type="spellStart"/>
      <w:r w:rsidRPr="005319F8">
        <w:rPr>
          <w:rFonts w:ascii="Times New Roman" w:hAnsi="Times New Roman" w:cs="Times New Roman"/>
        </w:rPr>
        <w:t>Luis</w:t>
      </w:r>
      <w:proofErr w:type="spellEnd"/>
      <w:r w:rsidRPr="005319F8">
        <w:rPr>
          <w:rFonts w:ascii="Times New Roman" w:hAnsi="Times New Roman" w:cs="Times New Roman"/>
        </w:rPr>
        <w:t xml:space="preserve"> Felipe Salomão, Quarta Turma, </w:t>
      </w:r>
      <w:proofErr w:type="spellStart"/>
      <w:r w:rsidRPr="005319F8">
        <w:rPr>
          <w:rFonts w:ascii="Times New Roman" w:hAnsi="Times New Roman" w:cs="Times New Roman"/>
        </w:rPr>
        <w:t>DJe</w:t>
      </w:r>
      <w:proofErr w:type="spellEnd"/>
      <w:r w:rsidRPr="005319F8">
        <w:rPr>
          <w:rFonts w:ascii="Times New Roman" w:hAnsi="Times New Roman" w:cs="Times New Roman"/>
        </w:rPr>
        <w:t xml:space="preserve"> de 31.08.2022]</w:t>
      </w:r>
    </w:p>
    <w:p w14:paraId="00D789ED" w14:textId="527507F2"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Ademais, insta pontuar que não há necessidade de dilação probatória, seja mediante prova oral, pericial ou qualquer outro elemento de convencimento, tratando-se simplesmente matéria de direito, inexistindo óbice para o conhecimento e processamento deste meio de defesa atípico apresentado pela coexecutada, até porque todos os elementos probatórios são pré-constituídos e se encontram devidamente jungidos ao caderno processual.</w:t>
      </w:r>
    </w:p>
    <w:p w14:paraId="26F44F5D" w14:textId="77777777" w:rsidR="005319F8" w:rsidRPr="005319F8" w:rsidRDefault="005319F8" w:rsidP="005319F8">
      <w:pPr>
        <w:ind w:right="-568"/>
        <w:jc w:val="both"/>
        <w:rPr>
          <w:rFonts w:ascii="Times New Roman" w:hAnsi="Times New Roman" w:cs="Times New Roman"/>
          <w:b/>
          <w:bCs/>
        </w:rPr>
      </w:pPr>
      <w:r w:rsidRPr="005319F8">
        <w:rPr>
          <w:rFonts w:ascii="Times New Roman" w:hAnsi="Times New Roman" w:cs="Times New Roman"/>
          <w:b/>
          <w:bCs/>
        </w:rPr>
        <w:t>III-</w:t>
      </w:r>
      <w:r w:rsidRPr="005319F8">
        <w:rPr>
          <w:rFonts w:ascii="Times New Roman" w:hAnsi="Times New Roman" w:cs="Times New Roman"/>
          <w:b/>
          <w:bCs/>
        </w:rPr>
        <w:tab/>
        <w:t>NULIDADE ABSOLUTA DA EXECUÇÃO POR AUSÊNCIA DE REGULARIZAÇÃO DO POLO PASSIVO APÓS FALECIMENTO DAS PARTES LITISCONSORTES PASSIVAS</w:t>
      </w:r>
    </w:p>
    <w:p w14:paraId="50375630" w14:textId="6ECF8FA9"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nulidade arguida nesta oportunidade legal repousa sobre premissa jurídica elementar: a morte da parte rompe a regularidade subjetiva da relação processual e impõe, como condição de validade e de seu prosseguimento, a substituição processual pelo espólio ou sucessores legais</w:t>
      </w:r>
      <w:r w:rsidR="00F353E3">
        <w:rPr>
          <w:rStyle w:val="Refdenotaderodap"/>
          <w:rFonts w:ascii="Times New Roman" w:hAnsi="Times New Roman" w:cs="Times New Roman"/>
        </w:rPr>
        <w:footnoteReference w:id="3"/>
      </w:r>
      <w:r w:rsidRPr="005319F8">
        <w:rPr>
          <w:rFonts w:ascii="Times New Roman" w:hAnsi="Times New Roman" w:cs="Times New Roman"/>
        </w:rPr>
        <w:t xml:space="preserve">. </w:t>
      </w:r>
    </w:p>
    <w:p w14:paraId="22DDB9B0" w14:textId="7E1BFDEE"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Roga-se vênia, mas não se trata mera técnica de administração processual, mas sim de exigência normativa diretamente vinculada à legitimidade da relação processual e à preservação dos princípios do devido processo legal, contradição e ampla defesa, </w:t>
      </w:r>
      <w:proofErr w:type="spellStart"/>
      <w:r w:rsidRPr="005319F8">
        <w:rPr>
          <w:rFonts w:ascii="Times New Roman" w:hAnsi="Times New Roman" w:cs="Times New Roman"/>
          <w:i/>
          <w:iCs/>
        </w:rPr>
        <w:t>ex</w:t>
      </w:r>
      <w:proofErr w:type="spellEnd"/>
      <w:r w:rsidRPr="005319F8">
        <w:rPr>
          <w:rFonts w:ascii="Times New Roman" w:hAnsi="Times New Roman" w:cs="Times New Roman"/>
          <w:i/>
          <w:iCs/>
        </w:rPr>
        <w:t xml:space="preserve"> vi </w:t>
      </w:r>
      <w:proofErr w:type="spellStart"/>
      <w:r w:rsidRPr="005319F8">
        <w:rPr>
          <w:rFonts w:ascii="Times New Roman" w:hAnsi="Times New Roman" w:cs="Times New Roman"/>
          <w:i/>
          <w:iCs/>
        </w:rPr>
        <w:t>legem</w:t>
      </w:r>
      <w:proofErr w:type="spellEnd"/>
      <w:r w:rsidRPr="005319F8">
        <w:rPr>
          <w:rFonts w:ascii="Times New Roman" w:hAnsi="Times New Roman" w:cs="Times New Roman"/>
        </w:rPr>
        <w:t>:</w:t>
      </w:r>
    </w:p>
    <w:p w14:paraId="5E0B1955" w14:textId="12E98701"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CPC, art. 110. Ocorrendo a morte de qualquer das partes, dar-se-á a sucessão pelo seu espólio ou pelos seus sucessores, observado o disposto no art. 313, §§ 1º e 2º.</w:t>
      </w:r>
    </w:p>
    <w:p w14:paraId="6AD7C3B1"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 xml:space="preserve">CPC, art. 313. Suspende-se o processo: </w:t>
      </w:r>
    </w:p>
    <w:p w14:paraId="727B5A21" w14:textId="77777777"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i/>
          <w:iCs/>
        </w:rPr>
        <w:t xml:space="preserve">I- </w:t>
      </w:r>
      <w:proofErr w:type="gramStart"/>
      <w:r w:rsidRPr="005319F8">
        <w:rPr>
          <w:rFonts w:ascii="Times New Roman" w:hAnsi="Times New Roman" w:cs="Times New Roman"/>
          <w:i/>
          <w:iCs/>
        </w:rPr>
        <w:t>pela</w:t>
      </w:r>
      <w:proofErr w:type="gramEnd"/>
      <w:r w:rsidRPr="005319F8">
        <w:rPr>
          <w:rFonts w:ascii="Times New Roman" w:hAnsi="Times New Roman" w:cs="Times New Roman"/>
          <w:i/>
          <w:iCs/>
        </w:rPr>
        <w:t xml:space="preserve"> morte ou pela perda da capacidade</w:t>
      </w:r>
      <w:r w:rsidRPr="005319F8">
        <w:rPr>
          <w:rFonts w:ascii="Times New Roman" w:hAnsi="Times New Roman" w:cs="Times New Roman"/>
        </w:rPr>
        <w:t xml:space="preserve"> </w:t>
      </w:r>
      <w:r w:rsidRPr="005319F8">
        <w:rPr>
          <w:rFonts w:ascii="Times New Roman" w:hAnsi="Times New Roman" w:cs="Times New Roman"/>
          <w:i/>
          <w:iCs/>
        </w:rPr>
        <w:t>processual de qualquer das partes, de seu representante legal ou de seu procurador;</w:t>
      </w:r>
    </w:p>
    <w:p w14:paraId="591B71A6" w14:textId="23ECE870"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A conjugação dos dispositivos transcritos releva comando inequívoco no sentido de que sobrevindo a morte de qualquer das partes, o processo não pode prosseguir de forma válida até que ocorra a devida recomposição subjetiva da relação processual. </w:t>
      </w:r>
    </w:p>
    <w:p w14:paraId="1937B9C5" w14:textId="529DD792" w:rsidR="005319F8" w:rsidRPr="005319F8" w:rsidRDefault="005319F8" w:rsidP="005319F8">
      <w:pPr>
        <w:ind w:right="-568"/>
        <w:jc w:val="both"/>
        <w:rPr>
          <w:rFonts w:ascii="Times New Roman" w:hAnsi="Times New Roman" w:cs="Times New Roman"/>
        </w:rPr>
      </w:pPr>
      <w:proofErr w:type="spellStart"/>
      <w:r w:rsidRPr="005319F8">
        <w:rPr>
          <w:rFonts w:ascii="Times New Roman" w:hAnsi="Times New Roman" w:cs="Times New Roman"/>
          <w:i/>
          <w:iCs/>
        </w:rPr>
        <w:t>Venia</w:t>
      </w:r>
      <w:proofErr w:type="spellEnd"/>
      <w:r w:rsidRPr="005319F8">
        <w:rPr>
          <w:rFonts w:ascii="Times New Roman" w:hAnsi="Times New Roman" w:cs="Times New Roman"/>
          <w:i/>
          <w:iCs/>
        </w:rPr>
        <w:t xml:space="preserve"> premissa</w:t>
      </w:r>
      <w:r w:rsidRPr="005319F8">
        <w:rPr>
          <w:rFonts w:ascii="Times New Roman" w:hAnsi="Times New Roman" w:cs="Times New Roman"/>
        </w:rPr>
        <w:t>, a suspensão do feito não é “</w:t>
      </w:r>
      <w:r w:rsidRPr="005319F8">
        <w:rPr>
          <w:rFonts w:ascii="Times New Roman" w:hAnsi="Times New Roman" w:cs="Times New Roman"/>
          <w:i/>
          <w:iCs/>
        </w:rPr>
        <w:t>contingência protocolar</w:t>
      </w:r>
      <w:r w:rsidRPr="005319F8">
        <w:rPr>
          <w:rFonts w:ascii="Times New Roman" w:hAnsi="Times New Roman" w:cs="Times New Roman"/>
        </w:rPr>
        <w:t>”, é consequência jurídica necessária da ruptura da capacidade processual subjetiva. Por sua vez, a sucessão processual não é formalidade secundária, é pressuposto para a retomada legítima do iter procedimental.</w:t>
      </w:r>
    </w:p>
    <w:p w14:paraId="379D51BC" w14:textId="43CBA983"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Noutras palavras, a morte da parte faz cessar, em relação a ela, a aptidão subjetiva para a participação no processo, impondo o chamamento do espólio ou de seus sucessores para que a </w:t>
      </w:r>
      <w:r w:rsidRPr="005319F8">
        <w:rPr>
          <w:rFonts w:ascii="Times New Roman" w:hAnsi="Times New Roman" w:cs="Times New Roman"/>
        </w:rPr>
        <w:lastRenderedPageBreak/>
        <w:t>relação processual seja restabelecida validamente. Enquanto isso não ocorre, faltam ao processo os pressupostos mínimos para a produção legítima de atos potencialmente gravosos à esfera jurídica dos sujeitos envolvidos</w:t>
      </w:r>
      <w:r w:rsidR="00F353E3">
        <w:rPr>
          <w:rStyle w:val="Refdenotaderodap"/>
          <w:rFonts w:ascii="Times New Roman" w:hAnsi="Times New Roman" w:cs="Times New Roman"/>
        </w:rPr>
        <w:footnoteReference w:id="4"/>
      </w:r>
      <w:r w:rsidRPr="005319F8">
        <w:rPr>
          <w:rFonts w:ascii="Times New Roman" w:hAnsi="Times New Roman" w:cs="Times New Roman"/>
        </w:rPr>
        <w:t xml:space="preserve">. </w:t>
      </w:r>
    </w:p>
    <w:p w14:paraId="13C84A62" w14:textId="315604F0"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relevância dessa exigência se intensifica sobremaneira no âmbito do cumprimento de sentença, visto se tratar fase processual caracterizada por sua natureza coercitiva e expropriatória, na qual o Estado intervém diretamente no patrimônio da pessoa devedora.</w:t>
      </w:r>
    </w:p>
    <w:p w14:paraId="05DA5CFC" w14:textId="4C083FA2"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Bem por isso a integridade dos pressupostos processuais não pode ser relativizada sob qualquer pretexto utilitarista, nem mesmo para adequação ao princípio da celeridade.</w:t>
      </w:r>
    </w:p>
    <w:p w14:paraId="6ADE80B2" w14:textId="737DF886"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rPr>
        <w:t xml:space="preserve">Ocorre que, no presente processado, verificou-se exatamente o oposto do que exige a ordem jurídica, </w:t>
      </w:r>
      <w:r w:rsidRPr="005319F8">
        <w:rPr>
          <w:rFonts w:ascii="Times New Roman" w:hAnsi="Times New Roman" w:cs="Times New Roman"/>
          <w:i/>
          <w:iCs/>
        </w:rPr>
        <w:t xml:space="preserve">data </w:t>
      </w:r>
      <w:proofErr w:type="spellStart"/>
      <w:r w:rsidRPr="005319F8">
        <w:rPr>
          <w:rFonts w:ascii="Times New Roman" w:hAnsi="Times New Roman" w:cs="Times New Roman"/>
          <w:i/>
          <w:iCs/>
        </w:rPr>
        <w:t>maxima</w:t>
      </w:r>
      <w:proofErr w:type="spellEnd"/>
      <w:r w:rsidRPr="005319F8">
        <w:rPr>
          <w:rFonts w:ascii="Times New Roman" w:hAnsi="Times New Roman" w:cs="Times New Roman"/>
          <w:i/>
          <w:iCs/>
        </w:rPr>
        <w:t xml:space="preserve"> </w:t>
      </w:r>
      <w:proofErr w:type="spellStart"/>
      <w:r w:rsidRPr="005319F8">
        <w:rPr>
          <w:rFonts w:ascii="Times New Roman" w:hAnsi="Times New Roman" w:cs="Times New Roman"/>
          <w:i/>
          <w:iCs/>
        </w:rPr>
        <w:t>venia</w:t>
      </w:r>
      <w:proofErr w:type="spellEnd"/>
      <w:r w:rsidRPr="005319F8">
        <w:rPr>
          <w:rFonts w:ascii="Times New Roman" w:hAnsi="Times New Roman" w:cs="Times New Roman"/>
          <w:i/>
          <w:iCs/>
        </w:rPr>
        <w:t>.</w:t>
      </w:r>
    </w:p>
    <w:p w14:paraId="083E1ED0" w14:textId="57BA4128"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Conforme se verifica da leitura do caderno processual, o coexecutado </w:t>
      </w:r>
      <w:r>
        <w:rPr>
          <w:rFonts w:ascii="Times New Roman" w:hAnsi="Times New Roman" w:cs="Times New Roman"/>
        </w:rPr>
        <w:t>...</w:t>
      </w:r>
      <w:r w:rsidRPr="005319F8">
        <w:rPr>
          <w:rFonts w:ascii="Times New Roman" w:hAnsi="Times New Roman" w:cs="Times New Roman"/>
        </w:rPr>
        <w:t xml:space="preserve"> faleceu em </w:t>
      </w:r>
      <w:r>
        <w:rPr>
          <w:rFonts w:ascii="Times New Roman" w:hAnsi="Times New Roman" w:cs="Times New Roman"/>
        </w:rPr>
        <w:t>...</w:t>
      </w:r>
      <w:r w:rsidRPr="005319F8">
        <w:rPr>
          <w:rFonts w:ascii="Times New Roman" w:hAnsi="Times New Roman" w:cs="Times New Roman"/>
        </w:rPr>
        <w:t xml:space="preserve">, ou seja, há quase 20 anos, circunstância que, por sua relevância jurídica extrema, deveria ter sido enfrentada anteriormente [fls. </w:t>
      </w:r>
      <w:r>
        <w:rPr>
          <w:rFonts w:ascii="Times New Roman" w:hAnsi="Times New Roman" w:cs="Times New Roman"/>
        </w:rPr>
        <w:t>...</w:t>
      </w:r>
      <w:r w:rsidRPr="005319F8">
        <w:rPr>
          <w:rFonts w:ascii="Times New Roman" w:hAnsi="Times New Roman" w:cs="Times New Roman"/>
        </w:rPr>
        <w:t>].</w:t>
      </w:r>
    </w:p>
    <w:p w14:paraId="36CCC23C" w14:textId="1F6287F4"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Não se está diante de falha episódica ou de omissão pontual. </w:t>
      </w:r>
    </w:p>
    <w:p w14:paraId="1C3C9716" w14:textId="3B66BC3F"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Essa grave irregularidade não apenas se instalou no processo desde o falecimento da parte, como se manteve quando do pronunciamento jurisdicional de mérito definitivo proferido pela d. </w:t>
      </w:r>
      <w:r>
        <w:rPr>
          <w:rFonts w:ascii="Times New Roman" w:hAnsi="Times New Roman" w:cs="Times New Roman"/>
        </w:rPr>
        <w:t>...</w:t>
      </w:r>
      <w:r w:rsidRPr="005319F8">
        <w:rPr>
          <w:rFonts w:ascii="Times New Roman" w:hAnsi="Times New Roman" w:cs="Times New Roman"/>
        </w:rPr>
        <w:t>ª Câmara de Direito Privado do TJ</w:t>
      </w:r>
      <w:r>
        <w:rPr>
          <w:rFonts w:ascii="Times New Roman" w:hAnsi="Times New Roman" w:cs="Times New Roman"/>
        </w:rPr>
        <w:t>...</w:t>
      </w:r>
      <w:r w:rsidRPr="005319F8">
        <w:rPr>
          <w:rFonts w:ascii="Times New Roman" w:hAnsi="Times New Roman" w:cs="Times New Roman"/>
        </w:rPr>
        <w:t xml:space="preserve"> em </w:t>
      </w:r>
      <w:r>
        <w:rPr>
          <w:rFonts w:ascii="Times New Roman" w:hAnsi="Times New Roman" w:cs="Times New Roman"/>
        </w:rPr>
        <w:t>...</w:t>
      </w:r>
      <w:r w:rsidRPr="005319F8">
        <w:rPr>
          <w:rFonts w:ascii="Times New Roman" w:hAnsi="Times New Roman" w:cs="Times New Roman"/>
        </w:rPr>
        <w:t xml:space="preserve"> [fls. </w:t>
      </w:r>
      <w:r>
        <w:rPr>
          <w:rFonts w:ascii="Times New Roman" w:hAnsi="Times New Roman" w:cs="Times New Roman"/>
        </w:rPr>
        <w:t>...</w:t>
      </w:r>
      <w:r w:rsidRPr="005319F8">
        <w:rPr>
          <w:rFonts w:ascii="Times New Roman" w:hAnsi="Times New Roman" w:cs="Times New Roman"/>
        </w:rPr>
        <w:t xml:space="preserve">], quando do deferimento da desconsideração da personalidade jurídica ocorrido por decisão interlocutória proferida em </w:t>
      </w:r>
      <w:r>
        <w:rPr>
          <w:rFonts w:ascii="Times New Roman" w:hAnsi="Times New Roman" w:cs="Times New Roman"/>
        </w:rPr>
        <w:t>...</w:t>
      </w:r>
      <w:r w:rsidRPr="005319F8">
        <w:rPr>
          <w:rFonts w:ascii="Times New Roman" w:hAnsi="Times New Roman" w:cs="Times New Roman"/>
        </w:rPr>
        <w:t xml:space="preserve"> [fls. </w:t>
      </w:r>
      <w:r>
        <w:rPr>
          <w:rFonts w:ascii="Times New Roman" w:hAnsi="Times New Roman" w:cs="Times New Roman"/>
        </w:rPr>
        <w:t>...</w:t>
      </w:r>
      <w:r w:rsidRPr="005319F8">
        <w:rPr>
          <w:rFonts w:ascii="Times New Roman" w:hAnsi="Times New Roman" w:cs="Times New Roman"/>
        </w:rPr>
        <w:t>], como também – e de forma ainda mais gravosa – quando da constrição de ativos financeiros da ora peticionária, levada a efeito via sistema “</w:t>
      </w:r>
      <w:proofErr w:type="spellStart"/>
      <w:r w:rsidRPr="005319F8">
        <w:rPr>
          <w:rFonts w:ascii="Times New Roman" w:hAnsi="Times New Roman" w:cs="Times New Roman"/>
          <w:i/>
          <w:iCs/>
        </w:rPr>
        <w:t>BacenJud</w:t>
      </w:r>
      <w:proofErr w:type="spellEnd"/>
      <w:r w:rsidRPr="005319F8">
        <w:rPr>
          <w:rFonts w:ascii="Times New Roman" w:hAnsi="Times New Roman" w:cs="Times New Roman"/>
          <w:i/>
          <w:iCs/>
        </w:rPr>
        <w:t xml:space="preserve"> 2.0</w:t>
      </w:r>
      <w:r w:rsidRPr="005319F8">
        <w:rPr>
          <w:rFonts w:ascii="Times New Roman" w:hAnsi="Times New Roman" w:cs="Times New Roman"/>
        </w:rPr>
        <w:t xml:space="preserve">” em </w:t>
      </w:r>
      <w:r>
        <w:rPr>
          <w:rFonts w:ascii="Times New Roman" w:hAnsi="Times New Roman" w:cs="Times New Roman"/>
        </w:rPr>
        <w:t>...</w:t>
      </w:r>
      <w:r w:rsidRPr="005319F8">
        <w:rPr>
          <w:rFonts w:ascii="Times New Roman" w:hAnsi="Times New Roman" w:cs="Times New Roman"/>
        </w:rPr>
        <w:t xml:space="preserve"> [fls. </w:t>
      </w:r>
      <w:r>
        <w:rPr>
          <w:rFonts w:ascii="Times New Roman" w:hAnsi="Times New Roman" w:cs="Times New Roman"/>
        </w:rPr>
        <w:t>...</w:t>
      </w:r>
      <w:r w:rsidRPr="005319F8">
        <w:rPr>
          <w:rFonts w:ascii="Times New Roman" w:hAnsi="Times New Roman" w:cs="Times New Roman"/>
        </w:rPr>
        <w:t>].</w:t>
      </w:r>
    </w:p>
    <w:p w14:paraId="5F12880F" w14:textId="6F509AFE"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Melhor dizendo, o defeito processual não se restringe à presente fase executiva, mas projeta seus efeitos também sobre a formação do título executivo judicial, evidenciando que o vício apontado possui alcance sistêmico e não episódico, como dito, até hoje assim permanecendo sem qualquer defrontação, </w:t>
      </w:r>
      <w:proofErr w:type="spellStart"/>
      <w:r w:rsidRPr="005319F8">
        <w:rPr>
          <w:rFonts w:ascii="Times New Roman" w:hAnsi="Times New Roman" w:cs="Times New Roman"/>
          <w:i/>
          <w:iCs/>
        </w:rPr>
        <w:t>venia</w:t>
      </w:r>
      <w:proofErr w:type="spellEnd"/>
      <w:r w:rsidRPr="005319F8">
        <w:rPr>
          <w:rFonts w:ascii="Times New Roman" w:hAnsi="Times New Roman" w:cs="Times New Roman"/>
          <w:i/>
          <w:iCs/>
        </w:rPr>
        <w:t xml:space="preserve"> permissa</w:t>
      </w:r>
      <w:r w:rsidRPr="005319F8">
        <w:rPr>
          <w:rFonts w:ascii="Times New Roman" w:hAnsi="Times New Roman" w:cs="Times New Roman"/>
        </w:rPr>
        <w:t>.</w:t>
      </w:r>
    </w:p>
    <w:p w14:paraId="7AEDF227" w14:textId="025707E0"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execução desenvolvida dessa maneira carece de regularidade subjetiva, uma vez que comprometida a validade e essência da estrutura processual como um todo.</w:t>
      </w:r>
    </w:p>
    <w:p w14:paraId="7AC89088" w14:textId="5FD5CAC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E não se pode dizer que essa regularidade seria restrita, única e exclusivamente, em relação aos coexecutados falecidos, sem irradiar efeitos sobre os demais devedores.</w:t>
      </w:r>
    </w:p>
    <w:p w14:paraId="391A76D7" w14:textId="27D038AA"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Em litisconsórcio passivo, sobretudo quando a execução se desenvolve unitariamente em fase dos devedores trazidos ao feito pela desconsideração da personalidade jurídica, a regularidade subjetiva do polo passivo não se presta a fracionamentos conforme conveniências práticas, ao contrário, constitui elemento estrutural e indissociável da própria validade do processo de execução.</w:t>
      </w:r>
    </w:p>
    <w:p w14:paraId="149EC138" w14:textId="7A1AA779"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lastRenderedPageBreak/>
        <w:t xml:space="preserve">Inadmissível que um processo subjetivamente irregular quanto à parte e seus integrantes produza, sem mácula, atos expropriatórios aos demais, como se a higidez da execução pudesse ser segmentada artificialmente, </w:t>
      </w:r>
      <w:proofErr w:type="spellStart"/>
      <w:r w:rsidRPr="005319F8">
        <w:rPr>
          <w:rFonts w:ascii="Times New Roman" w:hAnsi="Times New Roman" w:cs="Times New Roman"/>
          <w:i/>
          <w:iCs/>
        </w:rPr>
        <w:t>concessa</w:t>
      </w:r>
      <w:proofErr w:type="spellEnd"/>
      <w:r w:rsidRPr="005319F8">
        <w:rPr>
          <w:rFonts w:ascii="Times New Roman" w:hAnsi="Times New Roman" w:cs="Times New Roman"/>
          <w:i/>
          <w:iCs/>
        </w:rPr>
        <w:t xml:space="preserve"> </w:t>
      </w:r>
      <w:proofErr w:type="spellStart"/>
      <w:r w:rsidRPr="005319F8">
        <w:rPr>
          <w:rFonts w:ascii="Times New Roman" w:hAnsi="Times New Roman" w:cs="Times New Roman"/>
          <w:i/>
          <w:iCs/>
        </w:rPr>
        <w:t>maxima</w:t>
      </w:r>
      <w:proofErr w:type="spellEnd"/>
      <w:r w:rsidRPr="005319F8">
        <w:rPr>
          <w:rFonts w:ascii="Times New Roman" w:hAnsi="Times New Roman" w:cs="Times New Roman"/>
          <w:i/>
          <w:iCs/>
        </w:rPr>
        <w:t xml:space="preserve"> </w:t>
      </w:r>
      <w:proofErr w:type="spellStart"/>
      <w:r w:rsidRPr="005319F8">
        <w:rPr>
          <w:rFonts w:ascii="Times New Roman" w:hAnsi="Times New Roman" w:cs="Times New Roman"/>
          <w:i/>
          <w:iCs/>
        </w:rPr>
        <w:t>venia</w:t>
      </w:r>
      <w:proofErr w:type="spellEnd"/>
      <w:r w:rsidRPr="005319F8">
        <w:rPr>
          <w:rFonts w:ascii="Times New Roman" w:hAnsi="Times New Roman" w:cs="Times New Roman"/>
        </w:rPr>
        <w:t>.</w:t>
      </w:r>
    </w:p>
    <w:p w14:paraId="769BD6E2" w14:textId="6B97C55D"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Por isso a irregularidade não se apresenta como simples vício formal, mas como nulidade absoluta, porquanto incidente sobre pressupostos principiológicos e processuais de validade, cognoscível de ofício, insuscetível de preclusão e apta a contaminar todos os atos executivos subsequentes praticados em contexto de desenvolvimento processual irregular, </w:t>
      </w:r>
      <w:r w:rsidRPr="005319F8">
        <w:rPr>
          <w:rFonts w:ascii="Times New Roman" w:hAnsi="Times New Roman" w:cs="Times New Roman"/>
          <w:i/>
          <w:iCs/>
        </w:rPr>
        <w:t xml:space="preserve">data </w:t>
      </w:r>
      <w:proofErr w:type="spellStart"/>
      <w:r w:rsidRPr="005319F8">
        <w:rPr>
          <w:rFonts w:ascii="Times New Roman" w:hAnsi="Times New Roman" w:cs="Times New Roman"/>
          <w:i/>
          <w:iCs/>
        </w:rPr>
        <w:t>venia</w:t>
      </w:r>
      <w:proofErr w:type="spellEnd"/>
      <w:r w:rsidRPr="005319F8">
        <w:rPr>
          <w:rFonts w:ascii="Times New Roman" w:hAnsi="Times New Roman" w:cs="Times New Roman"/>
        </w:rPr>
        <w:t>.</w:t>
      </w:r>
    </w:p>
    <w:p w14:paraId="5DBCDFAE" w14:textId="747AC26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Visando proporcionar ao jurisdicionado garantias constitucionais, assim os legisladores instituíram de forma expressa na Constituição Federal, </w:t>
      </w:r>
      <w:r w:rsidRPr="005319F8">
        <w:rPr>
          <w:rFonts w:ascii="Times New Roman" w:hAnsi="Times New Roman" w:cs="Times New Roman"/>
          <w:i/>
          <w:iCs/>
        </w:rPr>
        <w:t>ad litteris</w:t>
      </w:r>
      <w:r w:rsidRPr="005319F8">
        <w:rPr>
          <w:rFonts w:ascii="Times New Roman" w:hAnsi="Times New Roman" w:cs="Times New Roman"/>
        </w:rPr>
        <w:t>:</w:t>
      </w:r>
    </w:p>
    <w:p w14:paraId="31DE0AE0"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 xml:space="preserve">CF, art. </w:t>
      </w:r>
      <w:proofErr w:type="gramStart"/>
      <w:r w:rsidRPr="005319F8">
        <w:rPr>
          <w:rFonts w:ascii="Times New Roman" w:hAnsi="Times New Roman" w:cs="Times New Roman"/>
          <w:i/>
          <w:iCs/>
        </w:rPr>
        <w:t>5º...</w:t>
      </w:r>
      <w:proofErr w:type="gramEnd"/>
      <w:r w:rsidRPr="005319F8">
        <w:rPr>
          <w:rFonts w:ascii="Times New Roman" w:hAnsi="Times New Roman" w:cs="Times New Roman"/>
          <w:i/>
          <w:iCs/>
        </w:rPr>
        <w:t xml:space="preserve"> LIV - ninguém será privado da liberdade ou de seus bens sem o devido processo legal; </w:t>
      </w:r>
    </w:p>
    <w:p w14:paraId="2E540619" w14:textId="77777777"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i/>
          <w:iCs/>
        </w:rPr>
        <w:t xml:space="preserve">LV- </w:t>
      </w:r>
      <w:proofErr w:type="gramStart"/>
      <w:r w:rsidRPr="005319F8">
        <w:rPr>
          <w:rFonts w:ascii="Times New Roman" w:hAnsi="Times New Roman" w:cs="Times New Roman"/>
          <w:i/>
          <w:iCs/>
        </w:rPr>
        <w:t>aos</w:t>
      </w:r>
      <w:proofErr w:type="gramEnd"/>
      <w:r w:rsidRPr="005319F8">
        <w:rPr>
          <w:rFonts w:ascii="Times New Roman" w:hAnsi="Times New Roman" w:cs="Times New Roman"/>
          <w:i/>
          <w:iCs/>
        </w:rPr>
        <w:t xml:space="preserve"> litigantes, em processo judicial ou administrativo, e aos acusados em geral são assegurados o contraditório e ampla defesa, com os meios e recursos a ela inerentes</w:t>
      </w:r>
      <w:r w:rsidRPr="005319F8">
        <w:rPr>
          <w:rFonts w:ascii="Times New Roman" w:hAnsi="Times New Roman" w:cs="Times New Roman"/>
        </w:rPr>
        <w:t>;</w:t>
      </w:r>
    </w:p>
    <w:p w14:paraId="467C3C72" w14:textId="247FFA14"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Sem quebra de reverência, o devido processo legal, o contraditório e a ampla defesa não se exaurem em fórmulas retóricas.</w:t>
      </w:r>
    </w:p>
    <w:p w14:paraId="2698103A" w14:textId="658A03FF"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E exatamente por isso, a nulidade acima demonstrada projeta-se, inevitavelmente, sobre os atos expropriatórios praticados no curso da fase executiva, notadamente quanto a constrição de valores da ora excipiente levada a efeito via “</w:t>
      </w:r>
      <w:proofErr w:type="spellStart"/>
      <w:r w:rsidRPr="005319F8">
        <w:rPr>
          <w:rFonts w:ascii="Times New Roman" w:hAnsi="Times New Roman" w:cs="Times New Roman"/>
          <w:i/>
          <w:iCs/>
        </w:rPr>
        <w:t>BacenJud</w:t>
      </w:r>
      <w:proofErr w:type="spellEnd"/>
      <w:r w:rsidRPr="005319F8">
        <w:rPr>
          <w:rFonts w:ascii="Times New Roman" w:hAnsi="Times New Roman" w:cs="Times New Roman"/>
          <w:i/>
          <w:iCs/>
        </w:rPr>
        <w:t xml:space="preserve"> 2.0</w:t>
      </w:r>
      <w:r w:rsidRPr="005319F8">
        <w:rPr>
          <w:rFonts w:ascii="Times New Roman" w:hAnsi="Times New Roman" w:cs="Times New Roman"/>
        </w:rPr>
        <w:t xml:space="preserve">” [fls. </w:t>
      </w:r>
      <w:r>
        <w:rPr>
          <w:rFonts w:ascii="Times New Roman" w:hAnsi="Times New Roman" w:cs="Times New Roman"/>
        </w:rPr>
        <w:t>...</w:t>
      </w:r>
      <w:r w:rsidRPr="005319F8">
        <w:rPr>
          <w:rFonts w:ascii="Times New Roman" w:hAnsi="Times New Roman" w:cs="Times New Roman"/>
        </w:rPr>
        <w:t>].</w:t>
      </w:r>
    </w:p>
    <w:p w14:paraId="200D9ADF" w14:textId="7AC82A9F"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Não se pode reputar válida a constrição patrimonial praticada em processo que já se encontrava subjetivamente comprometido por ausência de regularização do polo passivo!</w:t>
      </w:r>
    </w:p>
    <w:p w14:paraId="7105F260" w14:textId="6C17FF8F"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atividade executiva -sobretudo quando direcionada à constrição patrimonial- é submetida à estrita observância dos pressupostos de desenvolvimento válido e regular da relação jurídica processual, sendo incompatível com o ordenamento jurídico a prática de atos de natureza expropriatória em contexto demarcado por vício de irregularidade subjetiva do polo passivo, afrontando aos princípios do contraditório e ampla defesa.</w:t>
      </w:r>
    </w:p>
    <w:p w14:paraId="300D57D9" w14:textId="6FB3FD1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E mais, a ausência de substituição processual das partes falecidas comprometeu a existência jurídica da relação processual em sua dimensão subjetiva, afetando em especial a exigibilidade do título executivo em relação aos litisconsortes passivos, inviabilizando o prosseguimento do feito executivo e, consequentemente, impedindo a prática de atos constritivos. </w:t>
      </w:r>
    </w:p>
    <w:p w14:paraId="33FF2502" w14:textId="67007992"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Inexistia execução válida e estruturada capaz de sustentar a constrição patrimonial realizada.</w:t>
      </w:r>
    </w:p>
    <w:p w14:paraId="307738BC" w14:textId="1844D4BF"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Nem se cogite que a constrição recaiu apenas sobre a esfera patrimonial da ora excipiente, de modo que eventual irregularidade concernente aos falecidos não lhe aproveitaria. Este raciocínio incorre em grave reducionismo, vez que o ponto não é saber sobre “</w:t>
      </w:r>
      <w:r w:rsidRPr="005319F8">
        <w:rPr>
          <w:rFonts w:ascii="Times New Roman" w:hAnsi="Times New Roman" w:cs="Times New Roman"/>
          <w:i/>
          <w:iCs/>
        </w:rPr>
        <w:t>quem</w:t>
      </w:r>
      <w:r w:rsidRPr="005319F8">
        <w:rPr>
          <w:rFonts w:ascii="Times New Roman" w:hAnsi="Times New Roman" w:cs="Times New Roman"/>
        </w:rPr>
        <w:t>” recaiu o bloqueio, mas sim indagar “</w:t>
      </w:r>
      <w:r w:rsidRPr="005319F8">
        <w:rPr>
          <w:rFonts w:ascii="Times New Roman" w:hAnsi="Times New Roman" w:cs="Times New Roman"/>
          <w:i/>
          <w:iCs/>
        </w:rPr>
        <w:t>se</w:t>
      </w:r>
      <w:r w:rsidRPr="005319F8">
        <w:rPr>
          <w:rFonts w:ascii="Times New Roman" w:hAnsi="Times New Roman" w:cs="Times New Roman"/>
        </w:rPr>
        <w:t xml:space="preserve">” o processo que deu suporte ao bloqueio estava juridicamente apto a produzi-lo. </w:t>
      </w:r>
    </w:p>
    <w:p w14:paraId="28874AAC" w14:textId="23A25CC9"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lastRenderedPageBreak/>
        <w:t xml:space="preserve">A resposta é absolutamente negativa, pois o defeito processual não se encontra no ato de apreensão patrimonial isoladamente considerado, mas na ausência dos pressupostos que poderiam legitimá-lo, </w:t>
      </w:r>
      <w:proofErr w:type="spellStart"/>
      <w:r w:rsidRPr="005319F8">
        <w:rPr>
          <w:rFonts w:ascii="Times New Roman" w:hAnsi="Times New Roman" w:cs="Times New Roman"/>
          <w:i/>
          <w:iCs/>
        </w:rPr>
        <w:t>concessa</w:t>
      </w:r>
      <w:proofErr w:type="spellEnd"/>
      <w:r w:rsidRPr="005319F8">
        <w:rPr>
          <w:rFonts w:ascii="Times New Roman" w:hAnsi="Times New Roman" w:cs="Times New Roman"/>
          <w:i/>
          <w:iCs/>
        </w:rPr>
        <w:t xml:space="preserve"> </w:t>
      </w:r>
      <w:proofErr w:type="spellStart"/>
      <w:r w:rsidRPr="005319F8">
        <w:rPr>
          <w:rFonts w:ascii="Times New Roman" w:hAnsi="Times New Roman" w:cs="Times New Roman"/>
          <w:i/>
          <w:iCs/>
        </w:rPr>
        <w:t>venia</w:t>
      </w:r>
      <w:proofErr w:type="spellEnd"/>
      <w:r w:rsidRPr="005319F8">
        <w:rPr>
          <w:rFonts w:ascii="Times New Roman" w:hAnsi="Times New Roman" w:cs="Times New Roman"/>
        </w:rPr>
        <w:t>.</w:t>
      </w:r>
    </w:p>
    <w:p w14:paraId="1C04AF9D" w14:textId="26CE43BE"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Não se trata de examinar especificamente a diligência “</w:t>
      </w:r>
      <w:proofErr w:type="spellStart"/>
      <w:r w:rsidRPr="005319F8">
        <w:rPr>
          <w:rFonts w:ascii="Times New Roman" w:hAnsi="Times New Roman" w:cs="Times New Roman"/>
          <w:i/>
          <w:iCs/>
        </w:rPr>
        <w:t>BacenJud</w:t>
      </w:r>
      <w:proofErr w:type="spellEnd"/>
      <w:r w:rsidRPr="005319F8">
        <w:rPr>
          <w:rFonts w:ascii="Times New Roman" w:hAnsi="Times New Roman" w:cs="Times New Roman"/>
          <w:i/>
          <w:iCs/>
        </w:rPr>
        <w:t xml:space="preserve"> 2.0</w:t>
      </w:r>
      <w:r w:rsidRPr="005319F8">
        <w:rPr>
          <w:rFonts w:ascii="Times New Roman" w:hAnsi="Times New Roman" w:cs="Times New Roman"/>
        </w:rPr>
        <w:t>” em si mesma, mas essencialmente o processo que lhe serviu de matriz. Se a matriz é inválida, também o é o ato que dela emerge, assim como na “</w:t>
      </w:r>
      <w:r w:rsidRPr="005319F8">
        <w:rPr>
          <w:rFonts w:ascii="Times New Roman" w:hAnsi="Times New Roman" w:cs="Times New Roman"/>
          <w:i/>
          <w:iCs/>
        </w:rPr>
        <w:t>teoria dos frutos da árvore envenenada</w:t>
      </w:r>
      <w:r w:rsidRPr="005319F8">
        <w:rPr>
          <w:rFonts w:ascii="Times New Roman" w:hAnsi="Times New Roman" w:cs="Times New Roman"/>
        </w:rPr>
        <w:t>” adotada na esfera criminal.</w:t>
      </w:r>
    </w:p>
    <w:p w14:paraId="6035B032" w14:textId="520996C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Portanto, diante da falta de regularização processual, evidentemente todo e qualquer ato subsequente à irregularidade estrutural padecem de contaminação derivada.</w:t>
      </w:r>
    </w:p>
    <w:p w14:paraId="5C65DD75" w14:textId="77777777" w:rsidR="005319F8" w:rsidRDefault="005319F8" w:rsidP="005319F8">
      <w:pPr>
        <w:ind w:right="-568"/>
        <w:jc w:val="both"/>
        <w:rPr>
          <w:rFonts w:ascii="Times New Roman" w:hAnsi="Times New Roman" w:cs="Times New Roman"/>
        </w:rPr>
      </w:pPr>
      <w:r w:rsidRPr="005319F8">
        <w:rPr>
          <w:rFonts w:ascii="Times New Roman" w:hAnsi="Times New Roman" w:cs="Times New Roman"/>
        </w:rPr>
        <w:t>Com efeito, a nulidade da marcha executiva em razão de inexistente regularização da representação dos coexecutados não se exaure na invalidação abstrata do procedimento, mas incidente concretamente sobre atos de expropriação praticados e sobre seus resultados materiais.</w:t>
      </w:r>
    </w:p>
    <w:p w14:paraId="78887241" w14:textId="45796008"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Se houve constrição patrimonial indevida, não poderia haver sua estabilização. Se houve bloqueio judicial sem suporte processual válido, não pode o sistema jurídico tolerar que seus efeitos permaneçam hígidos. Se porventura houve levantamento de valores em favor da parte exequente, tal levantamento não pode subsistir, por derivar de ato originariamente nulo.</w:t>
      </w:r>
    </w:p>
    <w:p w14:paraId="3F07B743" w14:textId="4AEDC77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Admitir o contrário significaria prestigiar resultado material obtido à margem da legalidade processual, o que vulneraria não apenas o devido processo legal, mas também a própria ideia de jurisdição legítima.</w:t>
      </w:r>
    </w:p>
    <w:p w14:paraId="11774D1A" w14:textId="1F091025"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A ordem jurídica não pode chancelar expropriação patrimonial fundada em processo estruturalmente comprometido. E, se não pode chancelá-la, deve desfazê-la.</w:t>
      </w:r>
    </w:p>
    <w:p w14:paraId="58290269" w14:textId="28FFD05C"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Daí porque a consequência juridicamente adequada é a recomposição do status quo ante, com a invalidação dos atos de constrição e de todos os efeitos patrimoniais deles decorrentes, tendo em vista que no caso dos autos:</w:t>
      </w:r>
    </w:p>
    <w:p w14:paraId="384E59E0" w14:textId="48DB52C1"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os</w:t>
      </w:r>
      <w:proofErr w:type="gramEnd"/>
      <w:r w:rsidRPr="005319F8">
        <w:rPr>
          <w:rFonts w:ascii="Times New Roman" w:hAnsi="Times New Roman" w:cs="Times New Roman"/>
        </w:rPr>
        <w:t xml:space="preserve"> coautores promoveram a demanda [fls. </w:t>
      </w:r>
      <w:r>
        <w:rPr>
          <w:rFonts w:ascii="Times New Roman" w:hAnsi="Times New Roman" w:cs="Times New Roman"/>
        </w:rPr>
        <w:t>...</w:t>
      </w:r>
      <w:r w:rsidRPr="005319F8">
        <w:rPr>
          <w:rFonts w:ascii="Times New Roman" w:hAnsi="Times New Roman" w:cs="Times New Roman"/>
        </w:rPr>
        <w:t>];</w:t>
      </w:r>
    </w:p>
    <w:p w14:paraId="30DAB726" w14:textId="567AF52D"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sobreveio</w:t>
      </w:r>
      <w:proofErr w:type="gramEnd"/>
      <w:r w:rsidRPr="005319F8">
        <w:rPr>
          <w:rFonts w:ascii="Times New Roman" w:hAnsi="Times New Roman" w:cs="Times New Roman"/>
        </w:rPr>
        <w:t xml:space="preserve"> o falecimento de vários coexecutados;</w:t>
      </w:r>
    </w:p>
    <w:p w14:paraId="51B0FF4D" w14:textId="3B9BB333"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não</w:t>
      </w:r>
      <w:proofErr w:type="gramEnd"/>
      <w:r w:rsidRPr="005319F8">
        <w:rPr>
          <w:rFonts w:ascii="Times New Roman" w:hAnsi="Times New Roman" w:cs="Times New Roman"/>
        </w:rPr>
        <w:t xml:space="preserve"> houve a indispensável substituição processual [CPC, art. 110];</w:t>
      </w:r>
    </w:p>
    <w:p w14:paraId="0E3F064A" w14:textId="4B3262C0"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o</w:t>
      </w:r>
      <w:proofErr w:type="gramEnd"/>
      <w:r w:rsidRPr="005319F8">
        <w:rPr>
          <w:rFonts w:ascii="Times New Roman" w:hAnsi="Times New Roman" w:cs="Times New Roman"/>
        </w:rPr>
        <w:t xml:space="preserve"> processo não foi regularmente suspenso [CPC, art. 313, I];</w:t>
      </w:r>
    </w:p>
    <w:p w14:paraId="22E10C24" w14:textId="64614FC4"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a</w:t>
      </w:r>
      <w:proofErr w:type="gramEnd"/>
      <w:r w:rsidRPr="005319F8">
        <w:rPr>
          <w:rFonts w:ascii="Times New Roman" w:hAnsi="Times New Roman" w:cs="Times New Roman"/>
        </w:rPr>
        <w:t xml:space="preserve"> execução prosseguiu mesmo sem regularização processual;</w:t>
      </w:r>
    </w:p>
    <w:p w14:paraId="2E9B90F4" w14:textId="693EF717"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praticou-se</w:t>
      </w:r>
      <w:proofErr w:type="gramEnd"/>
      <w:r w:rsidRPr="005319F8">
        <w:rPr>
          <w:rFonts w:ascii="Times New Roman" w:hAnsi="Times New Roman" w:cs="Times New Roman"/>
        </w:rPr>
        <w:t xml:space="preserve"> ato de gravidade máxima, inclusive constrição de valores;</w:t>
      </w:r>
    </w:p>
    <w:p w14:paraId="2114AC3F" w14:textId="4409EF96" w:rsidR="005319F8" w:rsidRPr="005319F8" w:rsidRDefault="005319F8" w:rsidP="005319F8">
      <w:pPr>
        <w:ind w:right="-568"/>
        <w:jc w:val="both"/>
        <w:rPr>
          <w:rFonts w:ascii="Times New Roman" w:hAnsi="Times New Roman" w:cs="Times New Roman"/>
        </w:rPr>
      </w:pPr>
      <w:r>
        <w:rPr>
          <w:rFonts w:ascii="Segoe UI Symbol" w:hAnsi="Segoe UI Symbol" w:cs="Segoe UI Symbol"/>
        </w:rPr>
        <w:t xml:space="preserve">- </w:t>
      </w:r>
      <w:proofErr w:type="gramStart"/>
      <w:r w:rsidRPr="005319F8">
        <w:rPr>
          <w:rFonts w:ascii="Times New Roman" w:hAnsi="Times New Roman" w:cs="Times New Roman"/>
        </w:rPr>
        <w:t>os</w:t>
      </w:r>
      <w:proofErr w:type="gramEnd"/>
      <w:r w:rsidRPr="005319F8">
        <w:rPr>
          <w:rFonts w:ascii="Times New Roman" w:hAnsi="Times New Roman" w:cs="Times New Roman"/>
        </w:rPr>
        <w:t xml:space="preserve"> atos expropriatórios [</w:t>
      </w:r>
      <w:proofErr w:type="spellStart"/>
      <w:r w:rsidRPr="005319F8">
        <w:rPr>
          <w:rFonts w:ascii="Times New Roman" w:hAnsi="Times New Roman" w:cs="Times New Roman"/>
        </w:rPr>
        <w:t>BacenJud</w:t>
      </w:r>
      <w:proofErr w:type="spellEnd"/>
      <w:r w:rsidRPr="005319F8">
        <w:rPr>
          <w:rFonts w:ascii="Times New Roman" w:hAnsi="Times New Roman" w:cs="Times New Roman"/>
        </w:rPr>
        <w:t xml:space="preserve"> e recentemente determinadas várias </w:t>
      </w:r>
      <w:r w:rsidRPr="005319F8">
        <w:rPr>
          <w:rFonts w:ascii="Times New Roman" w:hAnsi="Times New Roman" w:cs="Times New Roman"/>
        </w:rPr>
        <w:tab/>
        <w:t xml:space="preserve">diligências no r. interlocutório de fls. </w:t>
      </w:r>
      <w:r>
        <w:rPr>
          <w:rFonts w:ascii="Times New Roman" w:hAnsi="Times New Roman" w:cs="Times New Roman"/>
        </w:rPr>
        <w:t>...</w:t>
      </w:r>
      <w:r w:rsidRPr="005319F8">
        <w:rPr>
          <w:rFonts w:ascii="Times New Roman" w:hAnsi="Times New Roman" w:cs="Times New Roman"/>
        </w:rPr>
        <w:t>] se desenvolveram em contexto</w:t>
      </w:r>
      <w:r>
        <w:rPr>
          <w:rFonts w:ascii="Times New Roman" w:hAnsi="Times New Roman" w:cs="Times New Roman"/>
        </w:rPr>
        <w:t xml:space="preserve"> </w:t>
      </w:r>
      <w:r w:rsidRPr="005319F8">
        <w:rPr>
          <w:rFonts w:ascii="Times New Roman" w:hAnsi="Times New Roman" w:cs="Times New Roman"/>
        </w:rPr>
        <w:t>de manifesta irregularidade subjetiva do processo.</w:t>
      </w:r>
    </w:p>
    <w:p w14:paraId="4D4A2F39" w14:textId="4C391EDD"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lastRenderedPageBreak/>
        <w:t>Esse encadeamento de fatos não autoriza senão uma conclusão: a execução, tal como desenvolvida, encontra-se maculada por nulidade absoluta, apta a atingir os atos constritivos e seus efeitos subsequentes.</w:t>
      </w:r>
    </w:p>
    <w:p w14:paraId="22C83202" w14:textId="4661E82A"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O art. 803 do Código de Processo Civil, embora prescreva em capítulo específico que a execução é nula quando não observados os pressupostos legais que legitimam o desenvolvimento, exprime ideia de alcance geral e plenamente aplicável ao cumprimento de sentença por força imperativa do art. 771, </w:t>
      </w:r>
      <w:r w:rsidRPr="005319F8">
        <w:rPr>
          <w:rFonts w:ascii="Times New Roman" w:hAnsi="Times New Roman" w:cs="Times New Roman"/>
          <w:i/>
          <w:iCs/>
        </w:rPr>
        <w:t xml:space="preserve">caput </w:t>
      </w:r>
      <w:r w:rsidRPr="005319F8">
        <w:rPr>
          <w:rFonts w:ascii="Times New Roman" w:hAnsi="Times New Roman" w:cs="Times New Roman"/>
        </w:rPr>
        <w:t xml:space="preserve">do mesmo diploma legal, </w:t>
      </w:r>
      <w:proofErr w:type="spellStart"/>
      <w:r w:rsidRPr="005319F8">
        <w:rPr>
          <w:rFonts w:ascii="Times New Roman" w:hAnsi="Times New Roman" w:cs="Times New Roman"/>
          <w:i/>
          <w:iCs/>
        </w:rPr>
        <w:t>expressis</w:t>
      </w:r>
      <w:proofErr w:type="spellEnd"/>
      <w:r w:rsidRPr="005319F8">
        <w:rPr>
          <w:rFonts w:ascii="Times New Roman" w:hAnsi="Times New Roman" w:cs="Times New Roman"/>
          <w:i/>
          <w:iCs/>
        </w:rPr>
        <w:t xml:space="preserve"> </w:t>
      </w:r>
      <w:proofErr w:type="spellStart"/>
      <w:r w:rsidRPr="005319F8">
        <w:rPr>
          <w:rFonts w:ascii="Times New Roman" w:hAnsi="Times New Roman" w:cs="Times New Roman"/>
          <w:i/>
          <w:iCs/>
        </w:rPr>
        <w:t>verbis</w:t>
      </w:r>
      <w:proofErr w:type="spellEnd"/>
      <w:r w:rsidRPr="005319F8">
        <w:rPr>
          <w:rFonts w:ascii="Times New Roman" w:hAnsi="Times New Roman" w:cs="Times New Roman"/>
        </w:rPr>
        <w:t>:</w:t>
      </w:r>
    </w:p>
    <w:p w14:paraId="4ADD90E9" w14:textId="79F18D65" w:rsidR="005319F8" w:rsidRPr="005319F8" w:rsidRDefault="005319F8" w:rsidP="005319F8">
      <w:pPr>
        <w:ind w:right="-568"/>
        <w:jc w:val="both"/>
        <w:rPr>
          <w:rFonts w:ascii="Times New Roman" w:hAnsi="Times New Roman" w:cs="Times New Roman"/>
          <w:i/>
          <w:iCs/>
        </w:rPr>
      </w:pPr>
      <w:r>
        <w:rPr>
          <w:rFonts w:ascii="Times New Roman" w:hAnsi="Times New Roman" w:cs="Times New Roman"/>
        </w:rPr>
        <w:t>“</w:t>
      </w:r>
      <w:r w:rsidRPr="005319F8">
        <w:rPr>
          <w:rFonts w:ascii="Times New Roman" w:hAnsi="Times New Roman" w:cs="Times New Roman"/>
          <w:i/>
          <w:iCs/>
        </w:rPr>
        <w:t>LIVRO II</w:t>
      </w:r>
    </w:p>
    <w:p w14:paraId="310D172F"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DO PROCESSO DE EXECUÇÃO</w:t>
      </w:r>
    </w:p>
    <w:p w14:paraId="5E3F2610"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TÍTULO I</w:t>
      </w:r>
    </w:p>
    <w:p w14:paraId="37A4124C"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DA EXECUÇÃO EM GERAL</w:t>
      </w:r>
    </w:p>
    <w:p w14:paraId="2C5EC953"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CAPÍTULO I</w:t>
      </w:r>
    </w:p>
    <w:p w14:paraId="4B5E3537"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DISPOSIÇÕES GERAIS</w:t>
      </w:r>
    </w:p>
    <w:p w14:paraId="782C646E"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CPC, art. 771. Este Livro regula o procedimento da execução fundada em título extrajudicial, e suas disposições aplicam-se, também, no que couber, aos procedimentos especiais de execução, aos atos executivos realizados no procedimento de cumprimento de sentença, bem como aos efeitos de atos ou fatos processuais a que a lei atribuir força executiva.</w:t>
      </w:r>
    </w:p>
    <w:p w14:paraId="118970E3" w14:textId="42CA426B"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Parágrafo único. Aplicam-se subsidiariamente à execução as disposições do Livro I da Parte Especial.</w:t>
      </w:r>
    </w:p>
    <w:p w14:paraId="60BC7700" w14:textId="77777777" w:rsidR="005319F8" w:rsidRPr="005319F8" w:rsidRDefault="005319F8" w:rsidP="005319F8">
      <w:pPr>
        <w:ind w:right="-568"/>
        <w:jc w:val="both"/>
        <w:rPr>
          <w:rFonts w:ascii="Times New Roman" w:hAnsi="Times New Roman" w:cs="Times New Roman"/>
          <w:i/>
          <w:iCs/>
        </w:rPr>
      </w:pPr>
      <w:r w:rsidRPr="005319F8">
        <w:rPr>
          <w:rFonts w:ascii="Times New Roman" w:hAnsi="Times New Roman" w:cs="Times New Roman"/>
          <w:i/>
          <w:iCs/>
        </w:rPr>
        <w:t>CPC, art. 803. É nula a execução se:</w:t>
      </w:r>
    </w:p>
    <w:p w14:paraId="392E203B" w14:textId="77777777"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i/>
          <w:iCs/>
        </w:rPr>
        <w:t xml:space="preserve">I - </w:t>
      </w:r>
      <w:proofErr w:type="gramStart"/>
      <w:r w:rsidRPr="005319F8">
        <w:rPr>
          <w:rFonts w:ascii="Times New Roman" w:hAnsi="Times New Roman" w:cs="Times New Roman"/>
          <w:i/>
          <w:iCs/>
        </w:rPr>
        <w:t>o</w:t>
      </w:r>
      <w:proofErr w:type="gramEnd"/>
      <w:r w:rsidRPr="005319F8">
        <w:rPr>
          <w:rFonts w:ascii="Times New Roman" w:hAnsi="Times New Roman" w:cs="Times New Roman"/>
          <w:i/>
          <w:iCs/>
        </w:rPr>
        <w:t xml:space="preserve"> título executivo extrajudicial não corresponder a obrigação certa, líquida e exigível</w:t>
      </w:r>
      <w:r w:rsidRPr="005319F8">
        <w:rPr>
          <w:rFonts w:ascii="Times New Roman" w:hAnsi="Times New Roman" w:cs="Times New Roman"/>
        </w:rPr>
        <w:t>;</w:t>
      </w:r>
    </w:p>
    <w:p w14:paraId="799D840F" w14:textId="6462DDE8"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Lapidar, nesse sentido, é a orientação do egrégio TRIBUNAL DE JUSTIÇA DE MINAS GERAIS, no ponto:</w:t>
      </w:r>
    </w:p>
    <w:p w14:paraId="6E46D8DE" w14:textId="2A23D31A" w:rsidR="005319F8" w:rsidRPr="005319F8" w:rsidRDefault="005319F8" w:rsidP="005319F8">
      <w:pPr>
        <w:ind w:right="-568"/>
        <w:jc w:val="both"/>
        <w:rPr>
          <w:rFonts w:ascii="Times New Roman" w:hAnsi="Times New Roman" w:cs="Times New Roman"/>
        </w:rPr>
      </w:pPr>
      <w:r>
        <w:rPr>
          <w:rFonts w:ascii="Times New Roman" w:hAnsi="Times New Roman" w:cs="Times New Roman"/>
        </w:rPr>
        <w:t>“</w:t>
      </w:r>
      <w:r w:rsidRPr="00F353E3">
        <w:rPr>
          <w:rFonts w:ascii="Times New Roman" w:hAnsi="Times New Roman" w:cs="Times New Roman"/>
          <w:i/>
          <w:iCs/>
        </w:rPr>
        <w:t>Dúvidas não há quanto ao falecimento da parte ré e quanto à temporalidade do evento, vale dizer, é inconteste que, ao momento da prolação da sentença e, consequentemente, do acórdão que ensejou o cumprimento de sentença que se pretende suspender, já havia ocorrido o falecimento da parte. Não houve a necessária e indispensável substituição processual, tendo a falecida permanecido na relação processual como se viva estivesse, o que gera a nulidade de todos os atos processuais subsequentes...</w:t>
      </w:r>
      <w:proofErr w:type="spellStart"/>
      <w:r w:rsidRPr="00F353E3">
        <w:rPr>
          <w:rFonts w:ascii="Times New Roman" w:hAnsi="Times New Roman" w:cs="Times New Roman"/>
          <w:i/>
          <w:iCs/>
        </w:rPr>
        <w:t>omissis</w:t>
      </w:r>
      <w:proofErr w:type="spellEnd"/>
      <w:r w:rsidRPr="005319F8">
        <w:rPr>
          <w:rFonts w:ascii="Times New Roman" w:hAnsi="Times New Roman" w:cs="Times New Roman"/>
        </w:rPr>
        <w:t>...</w:t>
      </w:r>
      <w:r w:rsidR="00F353E3">
        <w:rPr>
          <w:rFonts w:ascii="Times New Roman" w:hAnsi="Times New Roman" w:cs="Times New Roman"/>
        </w:rPr>
        <w:t xml:space="preserve">”   </w:t>
      </w:r>
      <w:r w:rsidRPr="005319F8">
        <w:rPr>
          <w:rFonts w:ascii="Times New Roman" w:hAnsi="Times New Roman" w:cs="Times New Roman"/>
        </w:rPr>
        <w:t xml:space="preserve">[TJMG, Agravo de Instrumento n. 1.0000.20.538271-6/001, Relator Desembargador Armando Freire, 1ª Câmara Cível, </w:t>
      </w:r>
      <w:proofErr w:type="spellStart"/>
      <w:r w:rsidRPr="005319F8">
        <w:rPr>
          <w:rFonts w:ascii="Times New Roman" w:hAnsi="Times New Roman" w:cs="Times New Roman"/>
        </w:rPr>
        <w:t>DJe</w:t>
      </w:r>
      <w:proofErr w:type="spellEnd"/>
      <w:r w:rsidRPr="005319F8">
        <w:rPr>
          <w:rFonts w:ascii="Times New Roman" w:hAnsi="Times New Roman" w:cs="Times New Roman"/>
        </w:rPr>
        <w:t xml:space="preserve"> 05.05.2021]</w:t>
      </w:r>
    </w:p>
    <w:p w14:paraId="610F8CD7" w14:textId="7E8018B7"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Além disso, esse cenário de permanência de vício processual revela, com segurança, a superveniente ausência de pressupostos de constituição e desenvolvimento válido e regular do </w:t>
      </w:r>
      <w:r w:rsidRPr="005319F8">
        <w:rPr>
          <w:rFonts w:ascii="Times New Roman" w:hAnsi="Times New Roman" w:cs="Times New Roman"/>
        </w:rPr>
        <w:lastRenderedPageBreak/>
        <w:t>processo, autorizando a extinção do feito acaso não corrigida a representação das partes falecidas, por constituir verdadeira condição da ação [CPC, art. 485, IV]</w:t>
      </w:r>
      <w:r w:rsidR="00F353E3">
        <w:rPr>
          <w:rStyle w:val="Refdenotaderodap"/>
          <w:rFonts w:ascii="Times New Roman" w:hAnsi="Times New Roman" w:cs="Times New Roman"/>
        </w:rPr>
        <w:footnoteReference w:id="5"/>
      </w:r>
      <w:r w:rsidRPr="005319F8">
        <w:rPr>
          <w:rFonts w:ascii="Times New Roman" w:hAnsi="Times New Roman" w:cs="Times New Roman"/>
        </w:rPr>
        <w:t>.</w:t>
      </w:r>
    </w:p>
    <w:p w14:paraId="4F454779" w14:textId="11868A8C"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Não se está diante de vício lateral, de pequena monta, superável por pragmatismo decisório, como exaustivamente sustentado alhures. Estar-se-á frente ao comprometimento estrutural da validade do processo executivo, incompatível com a lógica processual legal [CPC, </w:t>
      </w:r>
      <w:proofErr w:type="spellStart"/>
      <w:r w:rsidRPr="005319F8">
        <w:rPr>
          <w:rFonts w:ascii="Times New Roman" w:hAnsi="Times New Roman" w:cs="Times New Roman"/>
        </w:rPr>
        <w:t>arts</w:t>
      </w:r>
      <w:proofErr w:type="spellEnd"/>
      <w:r w:rsidRPr="005319F8">
        <w:rPr>
          <w:rFonts w:ascii="Times New Roman" w:hAnsi="Times New Roman" w:cs="Times New Roman"/>
        </w:rPr>
        <w:t>. 110, 313, I e 803, I] e com as garantias constitucionais do devido processo legal, do contraditório e da ampla defesa [CF, art. 5º, LIV e LV].</w:t>
      </w:r>
    </w:p>
    <w:p w14:paraId="507DED1D" w14:textId="717DCF22"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 xml:space="preserve">Em arremate, cumpre registar que a execução não apenas avançou quando não podia avançar, como expropriou quando já não podia expropriar. E isso, </w:t>
      </w:r>
      <w:r w:rsidRPr="00F353E3">
        <w:rPr>
          <w:rFonts w:ascii="Times New Roman" w:hAnsi="Times New Roman" w:cs="Times New Roman"/>
          <w:i/>
          <w:iCs/>
        </w:rPr>
        <w:t xml:space="preserve">data </w:t>
      </w:r>
      <w:proofErr w:type="spellStart"/>
      <w:r w:rsidRPr="00F353E3">
        <w:rPr>
          <w:rFonts w:ascii="Times New Roman" w:hAnsi="Times New Roman" w:cs="Times New Roman"/>
          <w:i/>
          <w:iCs/>
        </w:rPr>
        <w:t>maxima</w:t>
      </w:r>
      <w:proofErr w:type="spellEnd"/>
      <w:r w:rsidRPr="00F353E3">
        <w:rPr>
          <w:rFonts w:ascii="Times New Roman" w:hAnsi="Times New Roman" w:cs="Times New Roman"/>
          <w:i/>
          <w:iCs/>
        </w:rPr>
        <w:t xml:space="preserve"> </w:t>
      </w:r>
      <w:proofErr w:type="spellStart"/>
      <w:r w:rsidRPr="00F353E3">
        <w:rPr>
          <w:rFonts w:ascii="Times New Roman" w:hAnsi="Times New Roman" w:cs="Times New Roman"/>
          <w:i/>
          <w:iCs/>
        </w:rPr>
        <w:t>venia</w:t>
      </w:r>
      <w:proofErr w:type="spellEnd"/>
      <w:r w:rsidRPr="005319F8">
        <w:rPr>
          <w:rFonts w:ascii="Times New Roman" w:hAnsi="Times New Roman" w:cs="Times New Roman"/>
        </w:rPr>
        <w:t>, o ordenamento jurídico não tolera.</w:t>
      </w:r>
    </w:p>
    <w:p w14:paraId="456CD0BA" w14:textId="0E30004D" w:rsidR="005319F8" w:rsidRPr="00F353E3" w:rsidRDefault="005319F8" w:rsidP="005319F8">
      <w:pPr>
        <w:ind w:right="-568"/>
        <w:jc w:val="both"/>
        <w:rPr>
          <w:rFonts w:ascii="Times New Roman" w:hAnsi="Times New Roman" w:cs="Times New Roman"/>
          <w:b/>
          <w:bCs/>
        </w:rPr>
      </w:pPr>
      <w:r w:rsidRPr="00F353E3">
        <w:rPr>
          <w:rFonts w:ascii="Times New Roman" w:hAnsi="Times New Roman" w:cs="Times New Roman"/>
          <w:b/>
          <w:bCs/>
        </w:rPr>
        <w:t>IV-</w:t>
      </w:r>
      <w:r w:rsidR="00F353E3" w:rsidRPr="00F353E3">
        <w:rPr>
          <w:rFonts w:ascii="Times New Roman" w:hAnsi="Times New Roman" w:cs="Times New Roman"/>
          <w:b/>
          <w:bCs/>
        </w:rPr>
        <w:t xml:space="preserve"> </w:t>
      </w:r>
      <w:r w:rsidRPr="00F353E3">
        <w:rPr>
          <w:rFonts w:ascii="Times New Roman" w:hAnsi="Times New Roman" w:cs="Times New Roman"/>
          <w:b/>
          <w:bCs/>
        </w:rPr>
        <w:t>PEDIDOS</w:t>
      </w:r>
    </w:p>
    <w:p w14:paraId="28F27DA6" w14:textId="1F1D73CB" w:rsidR="005319F8" w:rsidRPr="005319F8" w:rsidRDefault="005319F8" w:rsidP="005319F8">
      <w:pPr>
        <w:ind w:right="-568"/>
        <w:jc w:val="both"/>
        <w:rPr>
          <w:rFonts w:ascii="Times New Roman" w:hAnsi="Times New Roman" w:cs="Times New Roman"/>
        </w:rPr>
      </w:pPr>
      <w:proofErr w:type="spellStart"/>
      <w:r w:rsidRPr="00F353E3">
        <w:rPr>
          <w:rFonts w:ascii="Times New Roman" w:hAnsi="Times New Roman" w:cs="Times New Roman"/>
          <w:b/>
          <w:bCs/>
          <w:i/>
          <w:iCs/>
        </w:rPr>
        <w:t>Ex</w:t>
      </w:r>
      <w:proofErr w:type="spellEnd"/>
      <w:r w:rsidRPr="00F353E3">
        <w:rPr>
          <w:rFonts w:ascii="Times New Roman" w:hAnsi="Times New Roman" w:cs="Times New Roman"/>
          <w:b/>
          <w:bCs/>
          <w:i/>
          <w:iCs/>
        </w:rPr>
        <w:t xml:space="preserve"> positis</w:t>
      </w:r>
      <w:r w:rsidRPr="005319F8">
        <w:rPr>
          <w:rFonts w:ascii="Times New Roman" w:hAnsi="Times New Roman" w:cs="Times New Roman"/>
        </w:rPr>
        <w:t>, a ora peticionária requer:</w:t>
      </w:r>
    </w:p>
    <w:p w14:paraId="7ED9CD96" w14:textId="5527407E" w:rsidR="005319F8" w:rsidRPr="005319F8" w:rsidRDefault="00F353E3" w:rsidP="005319F8">
      <w:pPr>
        <w:ind w:right="-568"/>
        <w:jc w:val="both"/>
        <w:rPr>
          <w:rFonts w:ascii="Times New Roman" w:hAnsi="Times New Roman" w:cs="Times New Roman"/>
        </w:rPr>
      </w:pPr>
      <w:r w:rsidRPr="00F353E3">
        <w:rPr>
          <w:rFonts w:ascii="Times New Roman" w:hAnsi="Times New Roman" w:cs="Times New Roman"/>
        </w:rPr>
        <w:t>a)</w:t>
      </w:r>
      <w:r>
        <w:rPr>
          <w:rFonts w:ascii="Times New Roman" w:hAnsi="Times New Roman" w:cs="Times New Roman"/>
        </w:rPr>
        <w:t xml:space="preserve"> </w:t>
      </w:r>
      <w:r w:rsidR="005319F8" w:rsidRPr="00F353E3">
        <w:rPr>
          <w:rFonts w:ascii="Times New Roman" w:hAnsi="Times New Roman" w:cs="Times New Roman"/>
        </w:rPr>
        <w:t xml:space="preserve">seja acolhida a presente exceção de </w:t>
      </w:r>
      <w:proofErr w:type="spellStart"/>
      <w:r w:rsidR="005319F8" w:rsidRPr="00F353E3">
        <w:rPr>
          <w:rFonts w:ascii="Times New Roman" w:hAnsi="Times New Roman" w:cs="Times New Roman"/>
        </w:rPr>
        <w:t>pré</w:t>
      </w:r>
      <w:proofErr w:type="spellEnd"/>
      <w:r w:rsidR="005319F8" w:rsidRPr="00F353E3">
        <w:rPr>
          <w:rFonts w:ascii="Times New Roman" w:hAnsi="Times New Roman" w:cs="Times New Roman"/>
        </w:rPr>
        <w:t xml:space="preserve">-executividade, por versar sobre matéria de ordem pública, cognoscível de ofício e demonstrada por prova pré-constituída, a fim de reconhecer a nulidade absoluta da execução desde o falecimento da parte </w:t>
      </w:r>
      <w:r>
        <w:rPr>
          <w:rFonts w:ascii="Times New Roman" w:hAnsi="Times New Roman" w:cs="Times New Roman"/>
        </w:rPr>
        <w:t>...</w:t>
      </w:r>
      <w:r w:rsidR="005319F8" w:rsidRPr="00F353E3">
        <w:rPr>
          <w:rFonts w:ascii="Times New Roman" w:hAnsi="Times New Roman" w:cs="Times New Roman"/>
        </w:rPr>
        <w:t>, ocorrido em 02.02.2009 [fls. 569], em virtude da ausência de regularização da representação dos litisconsortes passivos [CPC, art. 110 e 313, I];</w:t>
      </w:r>
    </w:p>
    <w:p w14:paraId="1461FB54" w14:textId="7E0A5FB1"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b)</w:t>
      </w:r>
      <w:r w:rsidR="00F353E3">
        <w:rPr>
          <w:rFonts w:ascii="Times New Roman" w:hAnsi="Times New Roman" w:cs="Times New Roman"/>
        </w:rPr>
        <w:t xml:space="preserve"> </w:t>
      </w:r>
      <w:r w:rsidRPr="005319F8">
        <w:rPr>
          <w:rFonts w:ascii="Times New Roman" w:hAnsi="Times New Roman" w:cs="Times New Roman"/>
        </w:rPr>
        <w:t>por consequência, seja reconhecida a nulidade dos atos executivos de natureza expropriatória, notadamente da constrição de ativos realizadas através do extinto “</w:t>
      </w:r>
      <w:proofErr w:type="spellStart"/>
      <w:r w:rsidRPr="00F353E3">
        <w:rPr>
          <w:rFonts w:ascii="Times New Roman" w:hAnsi="Times New Roman" w:cs="Times New Roman"/>
          <w:i/>
          <w:iCs/>
        </w:rPr>
        <w:t>BacenJud</w:t>
      </w:r>
      <w:proofErr w:type="spellEnd"/>
      <w:r w:rsidRPr="00F353E3">
        <w:rPr>
          <w:rFonts w:ascii="Times New Roman" w:hAnsi="Times New Roman" w:cs="Times New Roman"/>
          <w:i/>
          <w:iCs/>
        </w:rPr>
        <w:t xml:space="preserve"> 2.0</w:t>
      </w:r>
      <w:r w:rsidRPr="005319F8">
        <w:rPr>
          <w:rFonts w:ascii="Times New Roman" w:hAnsi="Times New Roman" w:cs="Times New Roman"/>
        </w:rPr>
        <w:t xml:space="preserve">” [fls. </w:t>
      </w:r>
      <w:r w:rsidR="00F353E3">
        <w:rPr>
          <w:rFonts w:ascii="Times New Roman" w:hAnsi="Times New Roman" w:cs="Times New Roman"/>
        </w:rPr>
        <w:t>...</w:t>
      </w:r>
      <w:r w:rsidRPr="005319F8">
        <w:rPr>
          <w:rFonts w:ascii="Times New Roman" w:hAnsi="Times New Roman" w:cs="Times New Roman"/>
        </w:rPr>
        <w:t>];</w:t>
      </w:r>
    </w:p>
    <w:p w14:paraId="4F41E7C8" w14:textId="6D6B2F06"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c)</w:t>
      </w:r>
      <w:r w:rsidR="00F353E3">
        <w:rPr>
          <w:rFonts w:ascii="Times New Roman" w:hAnsi="Times New Roman" w:cs="Times New Roman"/>
        </w:rPr>
        <w:t xml:space="preserve"> </w:t>
      </w:r>
      <w:r w:rsidRPr="005319F8">
        <w:rPr>
          <w:rFonts w:ascii="Times New Roman" w:hAnsi="Times New Roman" w:cs="Times New Roman"/>
        </w:rPr>
        <w:t xml:space="preserve">seja desconstituída eventual diligência expropriatória praticada na forma determinada na r. decisão interlocutória de fls. </w:t>
      </w:r>
      <w:r w:rsidR="00F353E3">
        <w:rPr>
          <w:rFonts w:ascii="Times New Roman" w:hAnsi="Times New Roman" w:cs="Times New Roman"/>
        </w:rPr>
        <w:t>...</w:t>
      </w:r>
      <w:r w:rsidRPr="005319F8">
        <w:rPr>
          <w:rFonts w:ascii="Times New Roman" w:hAnsi="Times New Roman" w:cs="Times New Roman"/>
        </w:rPr>
        <w:t>, em especial “</w:t>
      </w:r>
      <w:proofErr w:type="spellStart"/>
      <w:r w:rsidRPr="00F353E3">
        <w:rPr>
          <w:rFonts w:ascii="Times New Roman" w:hAnsi="Times New Roman" w:cs="Times New Roman"/>
          <w:i/>
          <w:iCs/>
        </w:rPr>
        <w:t>Sisbajud</w:t>
      </w:r>
      <w:proofErr w:type="spellEnd"/>
      <w:r w:rsidRPr="005319F8">
        <w:rPr>
          <w:rFonts w:ascii="Times New Roman" w:hAnsi="Times New Roman" w:cs="Times New Roman"/>
        </w:rPr>
        <w:t>”, “</w:t>
      </w:r>
      <w:proofErr w:type="spellStart"/>
      <w:r w:rsidRPr="00F353E3">
        <w:rPr>
          <w:rFonts w:ascii="Times New Roman" w:hAnsi="Times New Roman" w:cs="Times New Roman"/>
          <w:i/>
          <w:iCs/>
        </w:rPr>
        <w:t>Renajud</w:t>
      </w:r>
      <w:proofErr w:type="spellEnd"/>
      <w:r w:rsidRPr="005319F8">
        <w:rPr>
          <w:rFonts w:ascii="Times New Roman" w:hAnsi="Times New Roman" w:cs="Times New Roman"/>
        </w:rPr>
        <w:t>”, “</w:t>
      </w:r>
      <w:proofErr w:type="spellStart"/>
      <w:r w:rsidRPr="00F353E3">
        <w:rPr>
          <w:rFonts w:ascii="Times New Roman" w:hAnsi="Times New Roman" w:cs="Times New Roman"/>
          <w:i/>
          <w:iCs/>
        </w:rPr>
        <w:t>Infojud</w:t>
      </w:r>
      <w:proofErr w:type="spellEnd"/>
      <w:r w:rsidRPr="005319F8">
        <w:rPr>
          <w:rFonts w:ascii="Times New Roman" w:hAnsi="Times New Roman" w:cs="Times New Roman"/>
        </w:rPr>
        <w:t>” e “</w:t>
      </w:r>
      <w:proofErr w:type="spellStart"/>
      <w:r w:rsidRPr="00F353E3">
        <w:rPr>
          <w:rFonts w:ascii="Times New Roman" w:hAnsi="Times New Roman" w:cs="Times New Roman"/>
          <w:i/>
          <w:iCs/>
        </w:rPr>
        <w:t>Arisp</w:t>
      </w:r>
      <w:proofErr w:type="spellEnd"/>
      <w:r w:rsidRPr="005319F8">
        <w:rPr>
          <w:rFonts w:ascii="Times New Roman" w:hAnsi="Times New Roman" w:cs="Times New Roman"/>
        </w:rPr>
        <w:t>”;</w:t>
      </w:r>
    </w:p>
    <w:p w14:paraId="12E982DE" w14:textId="4E924590"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d)</w:t>
      </w:r>
      <w:r w:rsidR="00F353E3">
        <w:rPr>
          <w:rFonts w:ascii="Times New Roman" w:hAnsi="Times New Roman" w:cs="Times New Roman"/>
        </w:rPr>
        <w:t xml:space="preserve"> </w:t>
      </w:r>
      <w:r w:rsidRPr="005319F8">
        <w:rPr>
          <w:rFonts w:ascii="Times New Roman" w:hAnsi="Times New Roman" w:cs="Times New Roman"/>
        </w:rPr>
        <w:t>seja por imposição da lei suspenso o processo e determinado à exequente que se proceda à regularização do polo passivo litisconsorcial, sob pena de extinção do processo sem resolução do mérito em decorrência da ausência de pressupostos de desenvolvimento de constituição e de desenvolvimento válido e regular do processo [CPC, art. 485, IV];</w:t>
      </w:r>
    </w:p>
    <w:p w14:paraId="234E4396" w14:textId="3EA2EAF5" w:rsidR="005319F8" w:rsidRPr="005319F8" w:rsidRDefault="005319F8" w:rsidP="005319F8">
      <w:pPr>
        <w:ind w:right="-568"/>
        <w:jc w:val="both"/>
        <w:rPr>
          <w:rFonts w:ascii="Times New Roman" w:hAnsi="Times New Roman" w:cs="Times New Roman"/>
        </w:rPr>
      </w:pPr>
      <w:r w:rsidRPr="005319F8">
        <w:rPr>
          <w:rFonts w:ascii="Times New Roman" w:hAnsi="Times New Roman" w:cs="Times New Roman"/>
        </w:rPr>
        <w:t>e)</w:t>
      </w:r>
      <w:r w:rsidR="00F353E3">
        <w:rPr>
          <w:rFonts w:ascii="Times New Roman" w:hAnsi="Times New Roman" w:cs="Times New Roman"/>
        </w:rPr>
        <w:t xml:space="preserve"> </w:t>
      </w:r>
      <w:r w:rsidRPr="005319F8">
        <w:rPr>
          <w:rFonts w:ascii="Times New Roman" w:hAnsi="Times New Roman" w:cs="Times New Roman"/>
        </w:rPr>
        <w:t>a intimação da exequente para, querendo, manifestar-se no prazo legal.</w:t>
      </w:r>
    </w:p>
    <w:p w14:paraId="45BA1FCC" w14:textId="00A3C99A" w:rsidR="005319F8" w:rsidRPr="005319F8" w:rsidRDefault="005319F8" w:rsidP="00F353E3">
      <w:pPr>
        <w:spacing w:after="0" w:line="240" w:lineRule="auto"/>
        <w:ind w:right="-567"/>
        <w:jc w:val="center"/>
        <w:rPr>
          <w:rFonts w:ascii="Times New Roman" w:hAnsi="Times New Roman" w:cs="Times New Roman"/>
        </w:rPr>
      </w:pPr>
      <w:r w:rsidRPr="005319F8">
        <w:rPr>
          <w:rFonts w:ascii="Times New Roman" w:hAnsi="Times New Roman" w:cs="Times New Roman"/>
        </w:rPr>
        <w:t>P</w:t>
      </w:r>
      <w:r w:rsidR="00F353E3">
        <w:rPr>
          <w:rFonts w:ascii="Times New Roman" w:hAnsi="Times New Roman" w:cs="Times New Roman"/>
        </w:rPr>
        <w:t>ede</w:t>
      </w:r>
      <w:r w:rsidRPr="005319F8">
        <w:rPr>
          <w:rFonts w:ascii="Times New Roman" w:hAnsi="Times New Roman" w:cs="Times New Roman"/>
        </w:rPr>
        <w:t xml:space="preserve"> Deferimento.</w:t>
      </w:r>
    </w:p>
    <w:p w14:paraId="665BDBEA" w14:textId="64EA7BD8" w:rsidR="005319F8" w:rsidRDefault="00F353E3" w:rsidP="00F353E3">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5279E86F" w14:textId="0C26FFD5" w:rsidR="00F353E3" w:rsidRPr="005319F8" w:rsidRDefault="00F353E3" w:rsidP="00F353E3">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F353E3" w:rsidRPr="005319F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E8165" w14:textId="77777777" w:rsidR="00F80A45" w:rsidRDefault="00F80A45" w:rsidP="005319F8">
      <w:pPr>
        <w:spacing w:after="0" w:line="240" w:lineRule="auto"/>
      </w:pPr>
      <w:r>
        <w:separator/>
      </w:r>
    </w:p>
  </w:endnote>
  <w:endnote w:type="continuationSeparator" w:id="0">
    <w:p w14:paraId="0513F96E" w14:textId="77777777" w:rsidR="00F80A45" w:rsidRDefault="00F80A45" w:rsidP="00531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325AA" w14:textId="77777777" w:rsidR="00F80A45" w:rsidRDefault="00F80A45" w:rsidP="005319F8">
      <w:pPr>
        <w:spacing w:after="0" w:line="240" w:lineRule="auto"/>
      </w:pPr>
      <w:r>
        <w:separator/>
      </w:r>
    </w:p>
  </w:footnote>
  <w:footnote w:type="continuationSeparator" w:id="0">
    <w:p w14:paraId="5ACD41F0" w14:textId="77777777" w:rsidR="00F80A45" w:rsidRDefault="00F80A45" w:rsidP="005319F8">
      <w:pPr>
        <w:spacing w:after="0" w:line="240" w:lineRule="auto"/>
      </w:pPr>
      <w:r>
        <w:continuationSeparator/>
      </w:r>
    </w:p>
  </w:footnote>
  <w:footnote w:id="1">
    <w:p w14:paraId="45A5D50B" w14:textId="689246EA" w:rsidR="00F353E3" w:rsidRPr="00F353E3" w:rsidRDefault="00F353E3" w:rsidP="00F353E3">
      <w:pPr>
        <w:pStyle w:val="Textodenotaderodap"/>
        <w:ind w:right="-568"/>
        <w:jc w:val="both"/>
        <w:rPr>
          <w:rFonts w:ascii="Times New Roman" w:hAnsi="Times New Roman" w:cs="Times New Roman"/>
        </w:rPr>
      </w:pPr>
      <w:r w:rsidRPr="00F353E3">
        <w:rPr>
          <w:rStyle w:val="Refdenotaderodap"/>
          <w:rFonts w:ascii="Times New Roman" w:hAnsi="Times New Roman" w:cs="Times New Roman"/>
        </w:rPr>
        <w:footnoteRef/>
      </w:r>
      <w:r w:rsidRPr="00F353E3">
        <w:rPr>
          <w:rFonts w:ascii="Times New Roman" w:hAnsi="Times New Roman" w:cs="Times New Roman"/>
        </w:rPr>
        <w:t xml:space="preserve"> </w:t>
      </w:r>
      <w:r w:rsidRPr="00F353E3">
        <w:rPr>
          <w:rFonts w:ascii="Times New Roman" w:hAnsi="Times New Roman" w:cs="Times New Roman"/>
        </w:rPr>
        <w:t xml:space="preserve">Nesse sentido: TJMG, Agravo de Instrumento n. 1.0000.22.250686-7/001, Relator Desembargador Fausto Bawden de Castro Silva, 9ª Câmara Cível, </w:t>
      </w:r>
      <w:proofErr w:type="spellStart"/>
      <w:r w:rsidRPr="00F353E3">
        <w:rPr>
          <w:rFonts w:ascii="Times New Roman" w:hAnsi="Times New Roman" w:cs="Times New Roman"/>
        </w:rPr>
        <w:t>DJe</w:t>
      </w:r>
      <w:proofErr w:type="spellEnd"/>
      <w:r w:rsidRPr="00F353E3">
        <w:rPr>
          <w:rFonts w:ascii="Times New Roman" w:hAnsi="Times New Roman" w:cs="Times New Roman"/>
        </w:rPr>
        <w:t xml:space="preserve"> 27.04.2023.</w:t>
      </w:r>
    </w:p>
  </w:footnote>
  <w:footnote w:id="2">
    <w:p w14:paraId="41CF1EC6" w14:textId="7E5265FB" w:rsidR="00F353E3" w:rsidRPr="00F353E3" w:rsidRDefault="00F353E3" w:rsidP="00F353E3">
      <w:pPr>
        <w:pStyle w:val="Textodenotaderodap"/>
        <w:ind w:right="-568"/>
        <w:jc w:val="both"/>
        <w:rPr>
          <w:rFonts w:ascii="Times New Roman" w:hAnsi="Times New Roman" w:cs="Times New Roman"/>
        </w:rPr>
      </w:pPr>
      <w:r w:rsidRPr="00F353E3">
        <w:rPr>
          <w:rStyle w:val="Refdenotaderodap"/>
          <w:rFonts w:ascii="Times New Roman" w:hAnsi="Times New Roman" w:cs="Times New Roman"/>
        </w:rPr>
        <w:footnoteRef/>
      </w:r>
      <w:r w:rsidRPr="00F353E3">
        <w:rPr>
          <w:rFonts w:ascii="Times New Roman" w:hAnsi="Times New Roman" w:cs="Times New Roman"/>
        </w:rPr>
        <w:t xml:space="preserve"> </w:t>
      </w:r>
      <w:r w:rsidRPr="00F353E3">
        <w:rPr>
          <w:rFonts w:ascii="Times New Roman" w:hAnsi="Times New Roman" w:cs="Times New Roman"/>
        </w:rPr>
        <w:t xml:space="preserve">  NERY JÚNIOR, Nelson. Código de Processo Civil Comentado [livro </w:t>
      </w:r>
      <w:proofErr w:type="gramStart"/>
      <w:r w:rsidRPr="00F353E3">
        <w:rPr>
          <w:rFonts w:ascii="Times New Roman" w:hAnsi="Times New Roman" w:cs="Times New Roman"/>
        </w:rPr>
        <w:t>eletrônico]/</w:t>
      </w:r>
      <w:proofErr w:type="gramEnd"/>
      <w:r w:rsidRPr="00F353E3">
        <w:rPr>
          <w:rFonts w:ascii="Times New Roman" w:hAnsi="Times New Roman" w:cs="Times New Roman"/>
        </w:rPr>
        <w:t>Nelson Nery Júnior e Rosa Maria de Andrade Nery. 3. Ed. – São Paulo: Thomson Reuters Brasil, 2018, págs. 1894/1895.</w:t>
      </w:r>
    </w:p>
  </w:footnote>
  <w:footnote w:id="3">
    <w:p w14:paraId="2BC72A5A" w14:textId="605CB895" w:rsidR="00F353E3" w:rsidRPr="00F353E3" w:rsidRDefault="00F353E3" w:rsidP="00F353E3">
      <w:pPr>
        <w:pStyle w:val="Textodenotaderodap"/>
        <w:ind w:right="-568"/>
        <w:jc w:val="both"/>
        <w:rPr>
          <w:rFonts w:ascii="Times New Roman" w:hAnsi="Times New Roman" w:cs="Times New Roman"/>
        </w:rPr>
      </w:pPr>
      <w:r w:rsidRPr="00F353E3">
        <w:rPr>
          <w:rStyle w:val="Refdenotaderodap"/>
          <w:rFonts w:ascii="Times New Roman" w:hAnsi="Times New Roman" w:cs="Times New Roman"/>
        </w:rPr>
        <w:footnoteRef/>
      </w:r>
      <w:r w:rsidRPr="00F353E3">
        <w:rPr>
          <w:rFonts w:ascii="Times New Roman" w:hAnsi="Times New Roman" w:cs="Times New Roman"/>
        </w:rPr>
        <w:t xml:space="preserve"> </w:t>
      </w:r>
      <w:r w:rsidRPr="00F353E3">
        <w:rPr>
          <w:rFonts w:ascii="Times New Roman" w:hAnsi="Times New Roman" w:cs="Times New Roman"/>
        </w:rPr>
        <w:t>Constatado o falecimento da parte executada, está correta a suspensão do processo com a intimação da parte exequente para que providencie a citação do espólio ou dos herdeiros...</w:t>
      </w:r>
      <w:proofErr w:type="spellStart"/>
      <w:r w:rsidRPr="00F353E3">
        <w:rPr>
          <w:rFonts w:ascii="Times New Roman" w:hAnsi="Times New Roman" w:cs="Times New Roman"/>
        </w:rPr>
        <w:t>omissis</w:t>
      </w:r>
      <w:proofErr w:type="spellEnd"/>
      <w:r w:rsidRPr="00F353E3">
        <w:rPr>
          <w:rFonts w:ascii="Times New Roman" w:hAnsi="Times New Roman" w:cs="Times New Roman"/>
        </w:rPr>
        <w:t xml:space="preserve">... [TJMG, Agravo de Instrumento n. 1.0000.24.259658-3/003, Relator Desembargador Luiz Carlos Gomes da Mata, 14ª Câmara Cível, </w:t>
      </w:r>
      <w:proofErr w:type="spellStart"/>
      <w:r w:rsidRPr="00F353E3">
        <w:rPr>
          <w:rFonts w:ascii="Times New Roman" w:hAnsi="Times New Roman" w:cs="Times New Roman"/>
        </w:rPr>
        <w:t>DJe</w:t>
      </w:r>
      <w:proofErr w:type="spellEnd"/>
      <w:r w:rsidRPr="00F353E3">
        <w:rPr>
          <w:rFonts w:ascii="Times New Roman" w:hAnsi="Times New Roman" w:cs="Times New Roman"/>
        </w:rPr>
        <w:t xml:space="preserve"> 09.04.2026].</w:t>
      </w:r>
    </w:p>
  </w:footnote>
  <w:footnote w:id="4">
    <w:p w14:paraId="7732E8D1" w14:textId="1AF6F705" w:rsidR="00F353E3" w:rsidRPr="00F353E3" w:rsidRDefault="00F353E3" w:rsidP="00F353E3">
      <w:pPr>
        <w:pStyle w:val="Textodenotaderodap"/>
        <w:ind w:right="-568"/>
        <w:jc w:val="both"/>
        <w:rPr>
          <w:rFonts w:ascii="Times New Roman" w:hAnsi="Times New Roman" w:cs="Times New Roman"/>
        </w:rPr>
      </w:pPr>
      <w:r w:rsidRPr="00F353E3">
        <w:rPr>
          <w:rStyle w:val="Refdenotaderodap"/>
          <w:rFonts w:ascii="Times New Roman" w:hAnsi="Times New Roman" w:cs="Times New Roman"/>
        </w:rPr>
        <w:footnoteRef/>
      </w:r>
      <w:r w:rsidRPr="00F353E3">
        <w:rPr>
          <w:rFonts w:ascii="Times New Roman" w:hAnsi="Times New Roman" w:cs="Times New Roman"/>
        </w:rPr>
        <w:t xml:space="preserve"> </w:t>
      </w:r>
      <w:r w:rsidRPr="00F353E3">
        <w:rPr>
          <w:rFonts w:ascii="Times New Roman" w:hAnsi="Times New Roman" w:cs="Times New Roman"/>
        </w:rPr>
        <w:t>1. O falecimento de uma das partes no curso do processo impõe a suspensão obrigatória do feito para a regularização da sucessão processual, sob pena de nulidade da sentença. 2. A ausência de habilitação formal dos sucessores ou do espólio, após o óbito da parte, configura violação ao devido processo legal e aos artigos 110 e 313 do Código de Processo Civil...</w:t>
      </w:r>
      <w:proofErr w:type="spellStart"/>
      <w:r w:rsidRPr="00F353E3">
        <w:rPr>
          <w:rFonts w:ascii="Times New Roman" w:hAnsi="Times New Roman" w:cs="Times New Roman"/>
        </w:rPr>
        <w:t>omissis</w:t>
      </w:r>
      <w:proofErr w:type="spellEnd"/>
      <w:r w:rsidRPr="00F353E3">
        <w:rPr>
          <w:rFonts w:ascii="Times New Roman" w:hAnsi="Times New Roman" w:cs="Times New Roman"/>
        </w:rPr>
        <w:t xml:space="preserve">... [TJMG, Apelação Cível n. 1.0000.25.396431-6/001, Relator Desembargador Mauro pena Rocha, </w:t>
      </w:r>
      <w:proofErr w:type="spellStart"/>
      <w:r w:rsidRPr="00F353E3">
        <w:rPr>
          <w:rFonts w:ascii="Times New Roman" w:hAnsi="Times New Roman" w:cs="Times New Roman"/>
        </w:rPr>
        <w:t>DJe</w:t>
      </w:r>
      <w:proofErr w:type="spellEnd"/>
      <w:r w:rsidRPr="00F353E3">
        <w:rPr>
          <w:rFonts w:ascii="Times New Roman" w:hAnsi="Times New Roman" w:cs="Times New Roman"/>
        </w:rPr>
        <w:t xml:space="preserve"> 09.04.2026].</w:t>
      </w:r>
    </w:p>
  </w:footnote>
  <w:footnote w:id="5">
    <w:p w14:paraId="13411926" w14:textId="5242CAA7" w:rsidR="00F353E3" w:rsidRPr="00F353E3" w:rsidRDefault="00F353E3" w:rsidP="00F353E3">
      <w:pPr>
        <w:pStyle w:val="Textodenotaderodap"/>
        <w:ind w:right="-568"/>
        <w:jc w:val="both"/>
        <w:rPr>
          <w:rFonts w:ascii="Times New Roman" w:hAnsi="Times New Roman" w:cs="Times New Roman"/>
        </w:rPr>
      </w:pPr>
      <w:r w:rsidRPr="00F353E3">
        <w:rPr>
          <w:rStyle w:val="Refdenotaderodap"/>
          <w:rFonts w:ascii="Times New Roman" w:hAnsi="Times New Roman" w:cs="Times New Roman"/>
        </w:rPr>
        <w:footnoteRef/>
      </w:r>
      <w:r w:rsidRPr="00F353E3">
        <w:rPr>
          <w:rFonts w:ascii="Times New Roman" w:hAnsi="Times New Roman" w:cs="Times New Roman"/>
        </w:rPr>
        <w:t xml:space="preserve"> </w:t>
      </w:r>
      <w:r w:rsidRPr="00F353E3">
        <w:rPr>
          <w:rFonts w:ascii="Times New Roman" w:hAnsi="Times New Roman" w:cs="Times New Roman"/>
        </w:rPr>
        <w:t xml:space="preserve">CPC, art. 485. O juiz não resolverá o mérito </w:t>
      </w:r>
      <w:proofErr w:type="gramStart"/>
      <w:r w:rsidRPr="00F353E3">
        <w:rPr>
          <w:rFonts w:ascii="Times New Roman" w:hAnsi="Times New Roman" w:cs="Times New Roman"/>
        </w:rPr>
        <w:t>quando:...</w:t>
      </w:r>
      <w:proofErr w:type="gramEnd"/>
      <w:r w:rsidRPr="00F353E3">
        <w:rPr>
          <w:rFonts w:ascii="Times New Roman" w:hAnsi="Times New Roman" w:cs="Times New Roman"/>
        </w:rPr>
        <w:t>IV- verificar a ausência de pressupostos de constituição e de desenvolvimento válido e regular do processo;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A669B"/>
    <w:multiLevelType w:val="hybridMultilevel"/>
    <w:tmpl w:val="CA24751C"/>
    <w:lvl w:ilvl="0" w:tplc="675CC13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A757D90"/>
    <w:multiLevelType w:val="hybridMultilevel"/>
    <w:tmpl w:val="CACEDB5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1774185">
    <w:abstractNumId w:val="0"/>
  </w:num>
  <w:num w:numId="2" w16cid:durableId="503595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9F8"/>
    <w:rsid w:val="005319F8"/>
    <w:rsid w:val="006B7D7A"/>
    <w:rsid w:val="00F353E3"/>
    <w:rsid w:val="00F80A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61AC"/>
  <w15:chartTrackingRefBased/>
  <w15:docId w15:val="{40199066-2242-486E-84E7-7F8FAC01F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319F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319F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319F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319F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319F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319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319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319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319F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319F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319F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319F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319F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319F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319F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319F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319F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319F8"/>
    <w:rPr>
      <w:rFonts w:eastAsiaTheme="majorEastAsia" w:cstheme="majorBidi"/>
      <w:color w:val="272727" w:themeColor="text1" w:themeTint="D8"/>
    </w:rPr>
  </w:style>
  <w:style w:type="paragraph" w:styleId="Ttulo">
    <w:name w:val="Title"/>
    <w:basedOn w:val="Normal"/>
    <w:next w:val="Normal"/>
    <w:link w:val="TtuloChar"/>
    <w:uiPriority w:val="10"/>
    <w:qFormat/>
    <w:rsid w:val="005319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319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319F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319F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319F8"/>
    <w:pPr>
      <w:spacing w:before="160"/>
      <w:jc w:val="center"/>
    </w:pPr>
    <w:rPr>
      <w:i/>
      <w:iCs/>
      <w:color w:val="404040" w:themeColor="text1" w:themeTint="BF"/>
    </w:rPr>
  </w:style>
  <w:style w:type="character" w:customStyle="1" w:styleId="CitaoChar">
    <w:name w:val="Citação Char"/>
    <w:basedOn w:val="Fontepargpadro"/>
    <w:link w:val="Citao"/>
    <w:uiPriority w:val="29"/>
    <w:rsid w:val="005319F8"/>
    <w:rPr>
      <w:i/>
      <w:iCs/>
      <w:color w:val="404040" w:themeColor="text1" w:themeTint="BF"/>
    </w:rPr>
  </w:style>
  <w:style w:type="paragraph" w:styleId="PargrafodaLista">
    <w:name w:val="List Paragraph"/>
    <w:basedOn w:val="Normal"/>
    <w:uiPriority w:val="34"/>
    <w:qFormat/>
    <w:rsid w:val="005319F8"/>
    <w:pPr>
      <w:ind w:left="720"/>
      <w:contextualSpacing/>
    </w:pPr>
  </w:style>
  <w:style w:type="character" w:styleId="nfaseIntensa">
    <w:name w:val="Intense Emphasis"/>
    <w:basedOn w:val="Fontepargpadro"/>
    <w:uiPriority w:val="21"/>
    <w:qFormat/>
    <w:rsid w:val="005319F8"/>
    <w:rPr>
      <w:i/>
      <w:iCs/>
      <w:color w:val="2F5496" w:themeColor="accent1" w:themeShade="BF"/>
    </w:rPr>
  </w:style>
  <w:style w:type="paragraph" w:styleId="CitaoIntensa">
    <w:name w:val="Intense Quote"/>
    <w:basedOn w:val="Normal"/>
    <w:next w:val="Normal"/>
    <w:link w:val="CitaoIntensaChar"/>
    <w:uiPriority w:val="30"/>
    <w:qFormat/>
    <w:rsid w:val="005319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319F8"/>
    <w:rPr>
      <w:i/>
      <w:iCs/>
      <w:color w:val="2F5496" w:themeColor="accent1" w:themeShade="BF"/>
    </w:rPr>
  </w:style>
  <w:style w:type="character" w:styleId="RefernciaIntensa">
    <w:name w:val="Intense Reference"/>
    <w:basedOn w:val="Fontepargpadro"/>
    <w:uiPriority w:val="32"/>
    <w:qFormat/>
    <w:rsid w:val="005319F8"/>
    <w:rPr>
      <w:b/>
      <w:bCs/>
      <w:smallCaps/>
      <w:color w:val="2F5496" w:themeColor="accent1" w:themeShade="BF"/>
      <w:spacing w:val="5"/>
    </w:rPr>
  </w:style>
  <w:style w:type="paragraph" w:styleId="Textodenotaderodap">
    <w:name w:val="footnote text"/>
    <w:basedOn w:val="Normal"/>
    <w:link w:val="TextodenotaderodapChar"/>
    <w:uiPriority w:val="99"/>
    <w:unhideWhenUsed/>
    <w:rsid w:val="00F353E3"/>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F353E3"/>
    <w:rPr>
      <w:sz w:val="20"/>
      <w:szCs w:val="20"/>
    </w:rPr>
  </w:style>
  <w:style w:type="character" w:styleId="Refdenotaderodap">
    <w:name w:val="footnote reference"/>
    <w:basedOn w:val="Fontepargpadro"/>
    <w:uiPriority w:val="99"/>
    <w:unhideWhenUsed/>
    <w:rsid w:val="00F353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AB41F-DBFC-405C-A7D6-B03F8FF17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3148</Words>
  <Characters>17000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2026-09-22T18:20:00Z</dcterms:created>
  <dcterms:modified xsi:type="dcterms:W3CDTF">2026-09-22T18:37:00Z</dcterms:modified>
</cp:coreProperties>
</file>