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EF87BA" w14:textId="77777777" w:rsidR="00141CE6" w:rsidRPr="00141CE6" w:rsidRDefault="00141CE6" w:rsidP="00141CE6">
      <w:pPr>
        <w:spacing w:after="0" w:line="240" w:lineRule="auto"/>
        <w:ind w:right="-567"/>
        <w:jc w:val="center"/>
        <w:rPr>
          <w:rFonts w:ascii="Arial Black" w:hAnsi="Arial Black" w:cs="Times New Roman"/>
        </w:rPr>
      </w:pPr>
      <w:r w:rsidRPr="00141CE6">
        <w:rPr>
          <w:rFonts w:ascii="Arial Black" w:hAnsi="Arial Black" w:cs="Times New Roman"/>
        </w:rPr>
        <w:t>MODELO DE PETIÇÃO</w:t>
      </w:r>
    </w:p>
    <w:p w14:paraId="7C36A888" w14:textId="77777777" w:rsidR="00141CE6" w:rsidRPr="00141CE6" w:rsidRDefault="00141CE6" w:rsidP="00141CE6">
      <w:pPr>
        <w:spacing w:after="0" w:line="240" w:lineRule="auto"/>
        <w:ind w:right="-567"/>
        <w:jc w:val="center"/>
        <w:rPr>
          <w:rFonts w:ascii="Arial Black" w:hAnsi="Arial Black" w:cs="Times New Roman"/>
        </w:rPr>
      </w:pPr>
      <w:r w:rsidRPr="00141CE6">
        <w:rPr>
          <w:rFonts w:ascii="Arial Black" w:hAnsi="Arial Black" w:cs="Times New Roman"/>
        </w:rPr>
        <w:t>CUMPRIMENTO DE SENTENÇA. LEILÃO JUDICIAL ELETRÔNICO.</w:t>
      </w:r>
    </w:p>
    <w:p w14:paraId="57EC71ED" w14:textId="77777777" w:rsidR="00141CE6" w:rsidRPr="00141CE6" w:rsidRDefault="00141CE6" w:rsidP="00141CE6">
      <w:pPr>
        <w:spacing w:after="0" w:line="240" w:lineRule="auto"/>
        <w:ind w:right="-567"/>
        <w:jc w:val="center"/>
        <w:rPr>
          <w:rFonts w:ascii="Arial Black" w:hAnsi="Arial Black" w:cs="Times New Roman"/>
        </w:rPr>
      </w:pPr>
      <w:r w:rsidRPr="00141CE6">
        <w:rPr>
          <w:rFonts w:ascii="Arial Black" w:hAnsi="Arial Black" w:cs="Times New Roman"/>
        </w:rPr>
        <w:t>MODELO COMPLETO. PETIÇÃO</w:t>
      </w:r>
    </w:p>
    <w:p w14:paraId="24DB6924" w14:textId="77777777" w:rsidR="00141CE6" w:rsidRPr="00141CE6" w:rsidRDefault="00141CE6" w:rsidP="00141CE6">
      <w:pPr>
        <w:spacing w:after="0" w:line="240" w:lineRule="auto"/>
        <w:ind w:right="-567"/>
        <w:jc w:val="right"/>
        <w:rPr>
          <w:rFonts w:ascii="Arial Black" w:hAnsi="Arial Black" w:cs="Times New Roman"/>
        </w:rPr>
      </w:pPr>
      <w:proofErr w:type="spellStart"/>
      <w:r w:rsidRPr="00141CE6">
        <w:rPr>
          <w:rFonts w:ascii="Arial Black" w:hAnsi="Arial Black" w:cs="Times New Roman"/>
        </w:rPr>
        <w:t>Rénan</w:t>
      </w:r>
      <w:proofErr w:type="spellEnd"/>
      <w:r w:rsidRPr="00141CE6">
        <w:rPr>
          <w:rFonts w:ascii="Arial Black" w:hAnsi="Arial Black" w:cs="Times New Roman"/>
        </w:rPr>
        <w:t xml:space="preserve"> </w:t>
      </w:r>
      <w:proofErr w:type="spellStart"/>
      <w:r w:rsidRPr="00141CE6">
        <w:rPr>
          <w:rFonts w:ascii="Arial Black" w:hAnsi="Arial Black" w:cs="Times New Roman"/>
        </w:rPr>
        <w:t>Kfuri</w:t>
      </w:r>
      <w:proofErr w:type="spellEnd"/>
      <w:r w:rsidRPr="00141CE6">
        <w:rPr>
          <w:rFonts w:ascii="Arial Black" w:hAnsi="Arial Black" w:cs="Times New Roman"/>
        </w:rPr>
        <w:t xml:space="preserve"> Lopes</w:t>
      </w:r>
    </w:p>
    <w:p w14:paraId="6684C5EF" w14:textId="77777777" w:rsidR="00141CE6" w:rsidRPr="00141CE6" w:rsidRDefault="00141CE6" w:rsidP="00141CE6">
      <w:pPr>
        <w:ind w:right="-568"/>
        <w:jc w:val="both"/>
        <w:rPr>
          <w:rFonts w:ascii="Times New Roman" w:hAnsi="Times New Roman" w:cs="Times New Roman"/>
        </w:rPr>
      </w:pPr>
    </w:p>
    <w:p w14:paraId="55CAB309" w14:textId="5BC02518" w:rsidR="00141CE6" w:rsidRDefault="00141CE6" w:rsidP="00141CE6">
      <w:pPr>
        <w:ind w:right="-568"/>
        <w:jc w:val="both"/>
        <w:rPr>
          <w:rFonts w:ascii="Times New Roman" w:hAnsi="Times New Roman" w:cs="Times New Roman"/>
        </w:rPr>
      </w:pPr>
      <w:r w:rsidRPr="00141CE6">
        <w:rPr>
          <w:rFonts w:ascii="Times New Roman" w:hAnsi="Times New Roman" w:cs="Times New Roman"/>
        </w:rPr>
        <w:t>E</w:t>
      </w:r>
      <w:r>
        <w:rPr>
          <w:rFonts w:ascii="Times New Roman" w:hAnsi="Times New Roman" w:cs="Times New Roman"/>
        </w:rPr>
        <w:t>xmo. Sr. Juiz de Direito da ... Vara Cível da Comarca de ...</w:t>
      </w:r>
    </w:p>
    <w:p w14:paraId="50E175FA" w14:textId="29FD83BC" w:rsidR="00141CE6" w:rsidRPr="00141CE6" w:rsidRDefault="00141CE6" w:rsidP="00141CE6">
      <w:pPr>
        <w:ind w:right="-568"/>
        <w:jc w:val="both"/>
        <w:rPr>
          <w:rFonts w:ascii="Times New Roman" w:hAnsi="Times New Roman" w:cs="Times New Roman"/>
        </w:rPr>
      </w:pPr>
      <w:proofErr w:type="spellStart"/>
      <w:r w:rsidRPr="00141CE6">
        <w:rPr>
          <w:rFonts w:ascii="Times New Roman" w:hAnsi="Times New Roman" w:cs="Times New Roman"/>
        </w:rPr>
        <w:t>PJe</w:t>
      </w:r>
      <w:proofErr w:type="spellEnd"/>
      <w:r w:rsidRPr="00141CE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...</w:t>
      </w:r>
    </w:p>
    <w:p w14:paraId="7477CD03" w14:textId="77777777" w:rsidR="00141CE6" w:rsidRPr="00141CE6" w:rsidRDefault="00141CE6" w:rsidP="00141CE6">
      <w:pPr>
        <w:ind w:right="-568"/>
        <w:jc w:val="both"/>
        <w:rPr>
          <w:rFonts w:ascii="Times New Roman" w:hAnsi="Times New Roman" w:cs="Times New Roman"/>
        </w:rPr>
      </w:pPr>
      <w:r w:rsidRPr="00141CE6">
        <w:rPr>
          <w:rFonts w:ascii="Times New Roman" w:hAnsi="Times New Roman" w:cs="Times New Roman"/>
        </w:rPr>
        <w:t>Cumprimento de Sentença</w:t>
      </w:r>
    </w:p>
    <w:p w14:paraId="322D4FCB" w14:textId="77777777" w:rsidR="00141CE6" w:rsidRPr="00141CE6" w:rsidRDefault="00141CE6" w:rsidP="00141CE6">
      <w:pPr>
        <w:ind w:right="-568"/>
        <w:jc w:val="both"/>
        <w:rPr>
          <w:rFonts w:ascii="Times New Roman" w:hAnsi="Times New Roman" w:cs="Times New Roman"/>
        </w:rPr>
      </w:pPr>
      <w:r w:rsidRPr="00141CE6">
        <w:rPr>
          <w:rFonts w:ascii="Times New Roman" w:hAnsi="Times New Roman" w:cs="Times New Roman"/>
        </w:rPr>
        <w:t>- REQUERIMENTO DE DESIGNAÇÃO DE LEILÃO ELETRÔNICO -</w:t>
      </w:r>
    </w:p>
    <w:p w14:paraId="63E386B8" w14:textId="254ED99A" w:rsidR="00141CE6" w:rsidRPr="00141CE6" w:rsidRDefault="00141CE6" w:rsidP="00141CE6">
      <w:pPr>
        <w:ind w:right="-568"/>
        <w:jc w:val="both"/>
        <w:rPr>
          <w:rFonts w:ascii="Times New Roman" w:hAnsi="Times New Roman" w:cs="Times New Roman"/>
        </w:rPr>
      </w:pPr>
      <w:r w:rsidRPr="00141CE6">
        <w:rPr>
          <w:rFonts w:ascii="Times New Roman" w:hAnsi="Times New Roman" w:cs="Times New Roman"/>
        </w:rPr>
        <w:t xml:space="preserve">CONDOMÍNIO DO EDIFÍCIO </w:t>
      </w:r>
      <w:r>
        <w:rPr>
          <w:rFonts w:ascii="Times New Roman" w:hAnsi="Times New Roman" w:cs="Times New Roman"/>
        </w:rPr>
        <w:t>...</w:t>
      </w:r>
      <w:r w:rsidRPr="00141CE6">
        <w:rPr>
          <w:rFonts w:ascii="Times New Roman" w:hAnsi="Times New Roman" w:cs="Times New Roman"/>
        </w:rPr>
        <w:t xml:space="preserve">, exequente, por seus advogados </w:t>
      </w:r>
      <w:r w:rsidRPr="00141CE6">
        <w:rPr>
          <w:rFonts w:ascii="Times New Roman" w:hAnsi="Times New Roman" w:cs="Times New Roman"/>
          <w:i/>
          <w:iCs/>
        </w:rPr>
        <w:t>in fine</w:t>
      </w:r>
      <w:r w:rsidRPr="00141CE6">
        <w:rPr>
          <w:rFonts w:ascii="Times New Roman" w:hAnsi="Times New Roman" w:cs="Times New Roman"/>
        </w:rPr>
        <w:t xml:space="preserve"> assinados, nos autos do cumprimento de sentença epigrafado, que contende contra </w:t>
      </w:r>
      <w:r>
        <w:rPr>
          <w:rFonts w:ascii="Times New Roman" w:hAnsi="Times New Roman" w:cs="Times New Roman"/>
        </w:rPr>
        <w:t>...</w:t>
      </w:r>
      <w:r w:rsidRPr="00141CE6">
        <w:rPr>
          <w:rFonts w:ascii="Times New Roman" w:hAnsi="Times New Roman" w:cs="Times New Roman"/>
        </w:rPr>
        <w:t>, executado, vem, respeitosamente, aduzir o que se segue:</w:t>
      </w:r>
    </w:p>
    <w:p w14:paraId="2AB425C6" w14:textId="77777777" w:rsidR="00141CE6" w:rsidRPr="00141CE6" w:rsidRDefault="00141CE6" w:rsidP="00141CE6">
      <w:pPr>
        <w:ind w:right="-568"/>
        <w:jc w:val="both"/>
        <w:rPr>
          <w:rFonts w:ascii="Times New Roman" w:hAnsi="Times New Roman" w:cs="Times New Roman"/>
          <w:b/>
          <w:bCs/>
        </w:rPr>
      </w:pPr>
      <w:r w:rsidRPr="00141CE6">
        <w:rPr>
          <w:rFonts w:ascii="Times New Roman" w:hAnsi="Times New Roman" w:cs="Times New Roman"/>
          <w:b/>
          <w:bCs/>
        </w:rPr>
        <w:t xml:space="preserve"> 1. DA PENHORA E AVALIAÇÃO DOS BENS</w:t>
      </w:r>
    </w:p>
    <w:p w14:paraId="6936EB18" w14:textId="36DBDBF9" w:rsidR="00141CE6" w:rsidRPr="00141CE6" w:rsidRDefault="00141CE6" w:rsidP="00141CE6">
      <w:pPr>
        <w:ind w:right="-568"/>
        <w:jc w:val="both"/>
        <w:rPr>
          <w:rFonts w:ascii="Times New Roman" w:hAnsi="Times New Roman" w:cs="Times New Roman"/>
        </w:rPr>
      </w:pPr>
      <w:r w:rsidRPr="00141CE6">
        <w:rPr>
          <w:rFonts w:ascii="Times New Roman" w:hAnsi="Times New Roman" w:cs="Times New Roman"/>
        </w:rPr>
        <w:t xml:space="preserve">Conforme consta dos autos, foram penhorados bens imóveis de propriedade do executado, consistentes nas salas nº </w:t>
      </w:r>
      <w:r>
        <w:rPr>
          <w:rFonts w:ascii="Times New Roman" w:hAnsi="Times New Roman" w:cs="Times New Roman"/>
        </w:rPr>
        <w:t>...</w:t>
      </w:r>
      <w:r w:rsidRPr="00141CE6">
        <w:rPr>
          <w:rFonts w:ascii="Times New Roman" w:hAnsi="Times New Roman" w:cs="Times New Roman"/>
        </w:rPr>
        <w:t xml:space="preserve"> e nº </w:t>
      </w:r>
      <w:r>
        <w:rPr>
          <w:rFonts w:ascii="Times New Roman" w:hAnsi="Times New Roman" w:cs="Times New Roman"/>
        </w:rPr>
        <w:t>...</w:t>
      </w:r>
      <w:r w:rsidRPr="00141CE6">
        <w:rPr>
          <w:rFonts w:ascii="Times New Roman" w:hAnsi="Times New Roman" w:cs="Times New Roman"/>
        </w:rPr>
        <w:t xml:space="preserve">, integrantes do Condomínio do Edifício </w:t>
      </w:r>
      <w:r>
        <w:rPr>
          <w:rFonts w:ascii="Times New Roman" w:hAnsi="Times New Roman" w:cs="Times New Roman"/>
        </w:rPr>
        <w:t>...</w:t>
      </w:r>
      <w:r w:rsidRPr="00141CE6">
        <w:rPr>
          <w:rFonts w:ascii="Times New Roman" w:hAnsi="Times New Roman" w:cs="Times New Roman"/>
        </w:rPr>
        <w:t>, conforme “</w:t>
      </w:r>
      <w:r>
        <w:rPr>
          <w:rFonts w:ascii="Times New Roman" w:hAnsi="Times New Roman" w:cs="Times New Roman"/>
        </w:rPr>
        <w:t>...</w:t>
      </w:r>
      <w:r w:rsidRPr="00141CE6">
        <w:rPr>
          <w:rFonts w:ascii="Times New Roman" w:hAnsi="Times New Roman" w:cs="Times New Roman"/>
        </w:rPr>
        <w:t xml:space="preserve">” [Id </w:t>
      </w:r>
      <w:r>
        <w:rPr>
          <w:rFonts w:ascii="Times New Roman" w:hAnsi="Times New Roman" w:cs="Times New Roman"/>
        </w:rPr>
        <w:t>...</w:t>
      </w:r>
      <w:r w:rsidRPr="00141CE6">
        <w:rPr>
          <w:rFonts w:ascii="Times New Roman" w:hAnsi="Times New Roman" w:cs="Times New Roman"/>
        </w:rPr>
        <w:t>] e respectivas “</w:t>
      </w:r>
      <w:r>
        <w:rPr>
          <w:rFonts w:ascii="Times New Roman" w:hAnsi="Times New Roman" w:cs="Times New Roman"/>
        </w:rPr>
        <w:t>...</w:t>
      </w:r>
      <w:r w:rsidRPr="00141CE6">
        <w:rPr>
          <w:rFonts w:ascii="Times New Roman" w:hAnsi="Times New Roman" w:cs="Times New Roman"/>
        </w:rPr>
        <w:t xml:space="preserve">” [Id </w:t>
      </w:r>
      <w:r>
        <w:rPr>
          <w:rFonts w:ascii="Times New Roman" w:hAnsi="Times New Roman" w:cs="Times New Roman"/>
        </w:rPr>
        <w:t>...</w:t>
      </w:r>
      <w:r w:rsidRPr="00141CE6">
        <w:rPr>
          <w:rFonts w:ascii="Times New Roman" w:hAnsi="Times New Roman" w:cs="Times New Roman"/>
        </w:rPr>
        <w:t>] juntadas aos autos.</w:t>
      </w:r>
    </w:p>
    <w:p w14:paraId="5E77032E" w14:textId="5F504DE4" w:rsidR="00141CE6" w:rsidRPr="00141CE6" w:rsidRDefault="00141CE6" w:rsidP="00141CE6">
      <w:pPr>
        <w:ind w:right="-568"/>
        <w:jc w:val="both"/>
        <w:rPr>
          <w:rFonts w:ascii="Times New Roman" w:hAnsi="Times New Roman" w:cs="Times New Roman"/>
        </w:rPr>
      </w:pPr>
      <w:r w:rsidRPr="00141CE6">
        <w:rPr>
          <w:rFonts w:ascii="Times New Roman" w:hAnsi="Times New Roman" w:cs="Times New Roman"/>
        </w:rPr>
        <w:t xml:space="preserve">Referidos bens foram devidamente avaliados por Oficiais de Justiça, atendendo-se ao disposto no art. 870 do Código de Processo Civil, encontrando-se, portanto, aptos à alienação judicial [Ids </w:t>
      </w:r>
      <w:r>
        <w:rPr>
          <w:rFonts w:ascii="Times New Roman" w:hAnsi="Times New Roman" w:cs="Times New Roman"/>
        </w:rPr>
        <w:t>...</w:t>
      </w:r>
      <w:r w:rsidRPr="00141CE6">
        <w:rPr>
          <w:rFonts w:ascii="Times New Roman" w:hAnsi="Times New Roman" w:cs="Times New Roman"/>
        </w:rPr>
        <w:t>].</w:t>
      </w:r>
    </w:p>
    <w:p w14:paraId="50AB5EC3" w14:textId="26C91678" w:rsidR="00141CE6" w:rsidRPr="00141CE6" w:rsidRDefault="00141CE6" w:rsidP="00141CE6">
      <w:pPr>
        <w:ind w:right="-568"/>
        <w:jc w:val="both"/>
        <w:rPr>
          <w:rFonts w:ascii="Times New Roman" w:hAnsi="Times New Roman" w:cs="Times New Roman"/>
        </w:rPr>
      </w:pPr>
      <w:r w:rsidRPr="00141CE6">
        <w:rPr>
          <w:rFonts w:ascii="Times New Roman" w:hAnsi="Times New Roman" w:cs="Times New Roman"/>
        </w:rPr>
        <w:t>Dessa forma, estando regularmente formalizadas a penhora e a avaliação, mostra-se cabível o prosseguimento do feito com a alienação judicial dos bens, visando à satisfação do crédito exequendo.</w:t>
      </w:r>
    </w:p>
    <w:p w14:paraId="3AAD7EC1" w14:textId="0B6FCFFD" w:rsidR="00141CE6" w:rsidRPr="00141CE6" w:rsidRDefault="00141CE6" w:rsidP="00141CE6">
      <w:pPr>
        <w:ind w:right="-568"/>
        <w:jc w:val="both"/>
        <w:rPr>
          <w:rFonts w:ascii="Times New Roman" w:hAnsi="Times New Roman" w:cs="Times New Roman"/>
          <w:b/>
          <w:bCs/>
        </w:rPr>
      </w:pPr>
      <w:r w:rsidRPr="00141CE6">
        <w:rPr>
          <w:rFonts w:ascii="Times New Roman" w:hAnsi="Times New Roman" w:cs="Times New Roman"/>
          <w:b/>
          <w:bCs/>
        </w:rPr>
        <w:t>2. DA ALIENAÇÃO JUDICIAL POR MEIO DE LEILÃO ELETRÔNICO</w:t>
      </w:r>
    </w:p>
    <w:p w14:paraId="56BA42BC" w14:textId="5B8AE0F2" w:rsidR="00141CE6" w:rsidRPr="00141CE6" w:rsidRDefault="00141CE6" w:rsidP="00141CE6">
      <w:pPr>
        <w:ind w:right="-568"/>
        <w:jc w:val="both"/>
        <w:rPr>
          <w:rFonts w:ascii="Times New Roman" w:hAnsi="Times New Roman" w:cs="Times New Roman"/>
        </w:rPr>
      </w:pPr>
      <w:r w:rsidRPr="00141CE6">
        <w:rPr>
          <w:rFonts w:ascii="Times New Roman" w:hAnsi="Times New Roman" w:cs="Times New Roman"/>
        </w:rPr>
        <w:t>Nos termos do art. 879 do CPC, a alienação judicial de bens penhorados poderá ocorrer por iniciativa particular ou por leilão judicial.</w:t>
      </w:r>
    </w:p>
    <w:p w14:paraId="69CF2522" w14:textId="79E47B0D" w:rsidR="00141CE6" w:rsidRPr="00141CE6" w:rsidRDefault="00141CE6" w:rsidP="00141CE6">
      <w:pPr>
        <w:ind w:right="-568"/>
        <w:jc w:val="both"/>
        <w:rPr>
          <w:rFonts w:ascii="Times New Roman" w:hAnsi="Times New Roman" w:cs="Times New Roman"/>
        </w:rPr>
      </w:pPr>
      <w:r w:rsidRPr="00141CE6">
        <w:rPr>
          <w:rFonts w:ascii="Times New Roman" w:hAnsi="Times New Roman" w:cs="Times New Roman"/>
        </w:rPr>
        <w:t>O art. 881 do CPC estabelece que a alienação far-se-á por leilão judicial, preferencialmente por meio eletrônico, forma esta que tem sido amplamente adotada pelo Poder Judiciário por conferir maior publicidade, competitividade e transparência ao ato expropriatório.</w:t>
      </w:r>
    </w:p>
    <w:p w14:paraId="3B2BD5ED" w14:textId="4D51AB71" w:rsidR="00141CE6" w:rsidRPr="00141CE6" w:rsidRDefault="00141CE6" w:rsidP="00141CE6">
      <w:pPr>
        <w:ind w:right="-568"/>
        <w:jc w:val="both"/>
        <w:rPr>
          <w:rFonts w:ascii="Times New Roman" w:hAnsi="Times New Roman" w:cs="Times New Roman"/>
        </w:rPr>
      </w:pPr>
      <w:r w:rsidRPr="00141CE6">
        <w:rPr>
          <w:rFonts w:ascii="Times New Roman" w:hAnsi="Times New Roman" w:cs="Times New Roman"/>
        </w:rPr>
        <w:t>Ademais, o art. 882 do CPC autoriza expressamente a realização do leilão em ambiente eletrônico, por intermédio de leiloeiro público devidamente credenciado, observadas as formalidades legais.</w:t>
      </w:r>
    </w:p>
    <w:p w14:paraId="10D9C197" w14:textId="31062AC3" w:rsidR="00141CE6" w:rsidRPr="00141CE6" w:rsidRDefault="00141CE6" w:rsidP="00141CE6">
      <w:pPr>
        <w:ind w:right="-568"/>
        <w:jc w:val="both"/>
        <w:rPr>
          <w:rFonts w:ascii="Times New Roman" w:hAnsi="Times New Roman" w:cs="Times New Roman"/>
        </w:rPr>
      </w:pPr>
      <w:r w:rsidRPr="00141CE6">
        <w:rPr>
          <w:rFonts w:ascii="Times New Roman" w:hAnsi="Times New Roman" w:cs="Times New Roman"/>
        </w:rPr>
        <w:t>Assim, considerando que não houve pagamento voluntário do débito, e tendo sido penhorados e avaliados os bens do executado, requer o exequente o prosseguimento da execução mediante designação de leilão judicial eletrônico.</w:t>
      </w:r>
    </w:p>
    <w:p w14:paraId="04573299" w14:textId="77777777" w:rsidR="00141CE6" w:rsidRDefault="00141CE6" w:rsidP="00141CE6">
      <w:pPr>
        <w:ind w:right="-568"/>
        <w:jc w:val="both"/>
        <w:rPr>
          <w:rFonts w:ascii="Times New Roman" w:hAnsi="Times New Roman" w:cs="Times New Roman"/>
          <w:b/>
          <w:bCs/>
        </w:rPr>
      </w:pPr>
      <w:r w:rsidRPr="00141CE6">
        <w:rPr>
          <w:rFonts w:ascii="Times New Roman" w:hAnsi="Times New Roman" w:cs="Times New Roman"/>
        </w:rPr>
        <w:t xml:space="preserve"> </w:t>
      </w:r>
      <w:r w:rsidRPr="00141CE6">
        <w:rPr>
          <w:rFonts w:ascii="Times New Roman" w:hAnsi="Times New Roman" w:cs="Times New Roman"/>
          <w:b/>
          <w:bCs/>
        </w:rPr>
        <w:t>3. DAS CONDIÇÕES DO LEILÃO</w:t>
      </w:r>
    </w:p>
    <w:p w14:paraId="3449AB21" w14:textId="16DBABB6" w:rsidR="00141CE6" w:rsidRPr="00141CE6" w:rsidRDefault="00141CE6" w:rsidP="00141CE6">
      <w:pPr>
        <w:ind w:right="-568"/>
        <w:jc w:val="both"/>
        <w:rPr>
          <w:rFonts w:ascii="Times New Roman" w:hAnsi="Times New Roman" w:cs="Times New Roman"/>
          <w:b/>
          <w:bCs/>
        </w:rPr>
      </w:pPr>
      <w:r w:rsidRPr="00141CE6">
        <w:rPr>
          <w:rFonts w:ascii="Times New Roman" w:hAnsi="Times New Roman" w:cs="Times New Roman"/>
        </w:rPr>
        <w:lastRenderedPageBreak/>
        <w:t>Nos termos da sistemática prevista no Código de Processo Civil, o leilão haverá de ser realizado em duas praças, observando-se as seguintes condições:</w:t>
      </w:r>
    </w:p>
    <w:p w14:paraId="0936D1BB" w14:textId="77777777" w:rsidR="00141CE6" w:rsidRPr="00141CE6" w:rsidRDefault="00141CE6" w:rsidP="00141CE6">
      <w:pPr>
        <w:ind w:right="-568"/>
        <w:jc w:val="both"/>
        <w:rPr>
          <w:rFonts w:ascii="Times New Roman" w:hAnsi="Times New Roman" w:cs="Times New Roman"/>
        </w:rPr>
      </w:pPr>
      <w:r w:rsidRPr="00141CE6">
        <w:rPr>
          <w:rFonts w:ascii="Times New Roman" w:hAnsi="Times New Roman" w:cs="Times New Roman"/>
        </w:rPr>
        <w:t>1º leilão: pelo valor das avaliações dos bens;</w:t>
      </w:r>
    </w:p>
    <w:p w14:paraId="1718A404" w14:textId="77777777" w:rsidR="00141CE6" w:rsidRPr="00141CE6" w:rsidRDefault="00141CE6" w:rsidP="00141CE6">
      <w:pPr>
        <w:ind w:right="-568"/>
        <w:jc w:val="both"/>
        <w:rPr>
          <w:rFonts w:ascii="Times New Roman" w:hAnsi="Times New Roman" w:cs="Times New Roman"/>
        </w:rPr>
      </w:pPr>
      <w:r w:rsidRPr="00141CE6">
        <w:rPr>
          <w:rFonts w:ascii="Times New Roman" w:hAnsi="Times New Roman" w:cs="Times New Roman"/>
        </w:rPr>
        <w:t>2º leilão: não havendo arrematação no primeiro, pelo valor mínimo de 50% [cinquenta por cento] da avaliação, desde que não caracterizado preço vil, conforme dispõe o art. 891 do CPC.</w:t>
      </w:r>
    </w:p>
    <w:p w14:paraId="10F8C335" w14:textId="56389C47" w:rsidR="00141CE6" w:rsidRPr="00141CE6" w:rsidRDefault="00141CE6" w:rsidP="00141CE6">
      <w:pPr>
        <w:ind w:right="-568"/>
        <w:jc w:val="both"/>
        <w:rPr>
          <w:rFonts w:ascii="Times New Roman" w:hAnsi="Times New Roman" w:cs="Times New Roman"/>
        </w:rPr>
      </w:pPr>
      <w:r w:rsidRPr="00141CE6">
        <w:rPr>
          <w:rFonts w:ascii="Times New Roman" w:hAnsi="Times New Roman" w:cs="Times New Roman"/>
        </w:rPr>
        <w:t>Haverá de ser expedido o competente edital de leilão, contendo todas as informações exigidas pelo art. 886 do CPC, inclusive descrição dos bens, valor da avaliação, local, data e condições da alienação.</w:t>
      </w:r>
    </w:p>
    <w:p w14:paraId="326593B5" w14:textId="77777777" w:rsidR="00141CE6" w:rsidRPr="00141CE6" w:rsidRDefault="00141CE6" w:rsidP="00141CE6">
      <w:pPr>
        <w:ind w:right="-568"/>
        <w:jc w:val="both"/>
        <w:rPr>
          <w:rFonts w:ascii="Times New Roman" w:hAnsi="Times New Roman" w:cs="Times New Roman"/>
          <w:b/>
          <w:bCs/>
        </w:rPr>
      </w:pPr>
      <w:r w:rsidRPr="00141CE6">
        <w:rPr>
          <w:rFonts w:ascii="Times New Roman" w:hAnsi="Times New Roman" w:cs="Times New Roman"/>
        </w:rPr>
        <w:t xml:space="preserve"> </w:t>
      </w:r>
      <w:r w:rsidRPr="00141CE6">
        <w:rPr>
          <w:rFonts w:ascii="Times New Roman" w:hAnsi="Times New Roman" w:cs="Times New Roman"/>
          <w:b/>
          <w:bCs/>
        </w:rPr>
        <w:t>4. DA NECESSÁRIA INTIMAÇÃO DO EXECUTADO</w:t>
      </w:r>
    </w:p>
    <w:p w14:paraId="7DE05D38" w14:textId="77EB7E30" w:rsidR="00141CE6" w:rsidRPr="00141CE6" w:rsidRDefault="00141CE6" w:rsidP="00141CE6">
      <w:pPr>
        <w:ind w:right="-568"/>
        <w:jc w:val="both"/>
        <w:rPr>
          <w:rFonts w:ascii="Times New Roman" w:hAnsi="Times New Roman" w:cs="Times New Roman"/>
        </w:rPr>
      </w:pPr>
      <w:r w:rsidRPr="00141CE6">
        <w:rPr>
          <w:rFonts w:ascii="Times New Roman" w:hAnsi="Times New Roman" w:cs="Times New Roman"/>
        </w:rPr>
        <w:t xml:space="preserve">Nos termos do art. 889, inciso I, do CPC, deverão ser intimados o executado acerca da realização do leilão e sua esposa </w:t>
      </w:r>
      <w:r>
        <w:rPr>
          <w:rFonts w:ascii="Times New Roman" w:hAnsi="Times New Roman" w:cs="Times New Roman"/>
        </w:rPr>
        <w:t>...</w:t>
      </w:r>
      <w:r w:rsidRPr="00141CE6">
        <w:rPr>
          <w:rFonts w:ascii="Times New Roman" w:hAnsi="Times New Roman" w:cs="Times New Roman"/>
        </w:rPr>
        <w:t>, casados sob o regime de comunhão de bens, garantindo-se a observância do contraditório e do devido processo legal.</w:t>
      </w:r>
    </w:p>
    <w:p w14:paraId="3FE6A551" w14:textId="2054F7DE" w:rsidR="00141CE6" w:rsidRPr="00141CE6" w:rsidRDefault="00141CE6" w:rsidP="00141CE6">
      <w:pPr>
        <w:ind w:right="-568"/>
        <w:jc w:val="both"/>
        <w:rPr>
          <w:rFonts w:ascii="Times New Roman" w:hAnsi="Times New Roman" w:cs="Times New Roman"/>
          <w:b/>
          <w:bCs/>
        </w:rPr>
      </w:pPr>
      <w:r w:rsidRPr="00141CE6">
        <w:rPr>
          <w:rFonts w:ascii="Times New Roman" w:hAnsi="Times New Roman" w:cs="Times New Roman"/>
          <w:b/>
          <w:bCs/>
        </w:rPr>
        <w:t>5. DA ATUALIZAÇÃO DO DÉBITO</w:t>
      </w:r>
    </w:p>
    <w:p w14:paraId="25CBDF3E" w14:textId="35940E0E" w:rsidR="00141CE6" w:rsidRPr="00141CE6" w:rsidRDefault="00141CE6" w:rsidP="00141CE6">
      <w:pPr>
        <w:ind w:right="-568"/>
        <w:jc w:val="both"/>
        <w:rPr>
          <w:rFonts w:ascii="Times New Roman" w:hAnsi="Times New Roman" w:cs="Times New Roman"/>
        </w:rPr>
      </w:pPr>
      <w:r w:rsidRPr="00141CE6">
        <w:rPr>
          <w:rFonts w:ascii="Times New Roman" w:hAnsi="Times New Roman" w:cs="Times New Roman"/>
        </w:rPr>
        <w:t>Considerando que o feito se encontra em fase de expropriação, proceder-se-á à atualização do débito exequendo, com a apresentação de memória discriminada e atualizada do crédito, antes da realização do leilão, de modo que conste do edital o valor atualizado da dívida, nos termos do art. 798, inciso I, alínea “</w:t>
      </w:r>
      <w:r w:rsidRPr="00141CE6">
        <w:rPr>
          <w:rFonts w:ascii="Times New Roman" w:hAnsi="Times New Roman" w:cs="Times New Roman"/>
          <w:i/>
          <w:iCs/>
        </w:rPr>
        <w:t>b</w:t>
      </w:r>
      <w:r w:rsidRPr="00141CE6">
        <w:rPr>
          <w:rFonts w:ascii="Times New Roman" w:hAnsi="Times New Roman" w:cs="Times New Roman"/>
        </w:rPr>
        <w:t>”, do CPC.</w:t>
      </w:r>
    </w:p>
    <w:p w14:paraId="19401F46" w14:textId="77777777" w:rsidR="00141CE6" w:rsidRPr="00141CE6" w:rsidRDefault="00141CE6" w:rsidP="00141CE6">
      <w:pPr>
        <w:ind w:right="-568"/>
        <w:jc w:val="both"/>
        <w:rPr>
          <w:rFonts w:ascii="Times New Roman" w:hAnsi="Times New Roman" w:cs="Times New Roman"/>
          <w:b/>
          <w:bCs/>
        </w:rPr>
      </w:pPr>
      <w:r w:rsidRPr="00141CE6">
        <w:rPr>
          <w:rFonts w:ascii="Times New Roman" w:hAnsi="Times New Roman" w:cs="Times New Roman"/>
        </w:rPr>
        <w:t xml:space="preserve"> </w:t>
      </w:r>
      <w:r w:rsidRPr="00141CE6">
        <w:rPr>
          <w:rFonts w:ascii="Times New Roman" w:hAnsi="Times New Roman" w:cs="Times New Roman"/>
          <w:b/>
          <w:bCs/>
        </w:rPr>
        <w:t>6. DA PREFERÊNCIA DO CRÉDITO CONDOMINIAL E RESERVA DO PRODUTO DA ARREMATAÇÃO</w:t>
      </w:r>
    </w:p>
    <w:p w14:paraId="4BFC7A6C" w14:textId="33F12F8C" w:rsidR="00141CE6" w:rsidRPr="00141CE6" w:rsidRDefault="00141CE6" w:rsidP="00141CE6">
      <w:pPr>
        <w:ind w:right="-568"/>
        <w:jc w:val="both"/>
        <w:rPr>
          <w:rFonts w:ascii="Times New Roman" w:hAnsi="Times New Roman" w:cs="Times New Roman"/>
        </w:rPr>
      </w:pPr>
      <w:r w:rsidRPr="00141CE6">
        <w:rPr>
          <w:rFonts w:ascii="Times New Roman" w:hAnsi="Times New Roman" w:cs="Times New Roman"/>
        </w:rPr>
        <w:t xml:space="preserve">Importa destacar que o crédito condominial possui natureza </w:t>
      </w:r>
      <w:proofErr w:type="spellStart"/>
      <w:r w:rsidRPr="00141CE6">
        <w:rPr>
          <w:rFonts w:ascii="Times New Roman" w:hAnsi="Times New Roman" w:cs="Times New Roman"/>
          <w:i/>
          <w:iCs/>
        </w:rPr>
        <w:t>propter</w:t>
      </w:r>
      <w:proofErr w:type="spellEnd"/>
      <w:r w:rsidRPr="00141CE6">
        <w:rPr>
          <w:rFonts w:ascii="Times New Roman" w:hAnsi="Times New Roman" w:cs="Times New Roman"/>
          <w:i/>
          <w:iCs/>
        </w:rPr>
        <w:t xml:space="preserve"> rem</w:t>
      </w:r>
      <w:r w:rsidRPr="00141CE6">
        <w:rPr>
          <w:rFonts w:ascii="Times New Roman" w:hAnsi="Times New Roman" w:cs="Times New Roman"/>
        </w:rPr>
        <w:t xml:space="preserve">, vinculando-se diretamente ao imóvel, sendo reconhecido pela jurisprudência como crédito dotado de privilégio especial, como amplamente esclarecido na petição do Id </w:t>
      </w:r>
      <w:r>
        <w:rPr>
          <w:rFonts w:ascii="Times New Roman" w:hAnsi="Times New Roman" w:cs="Times New Roman"/>
        </w:rPr>
        <w:t>...</w:t>
      </w:r>
    </w:p>
    <w:p w14:paraId="5CA3D284" w14:textId="46B9DD82" w:rsidR="00141CE6" w:rsidRPr="00141CE6" w:rsidRDefault="00141CE6" w:rsidP="00141CE6">
      <w:pPr>
        <w:ind w:right="-568"/>
        <w:jc w:val="both"/>
        <w:rPr>
          <w:rFonts w:ascii="Times New Roman" w:hAnsi="Times New Roman" w:cs="Times New Roman"/>
        </w:rPr>
      </w:pPr>
      <w:r w:rsidRPr="00141CE6">
        <w:rPr>
          <w:rFonts w:ascii="Times New Roman" w:hAnsi="Times New Roman" w:cs="Times New Roman"/>
        </w:rPr>
        <w:t>Nesse sentido, o art. 1.345 do Código Civil estabelece que o adquirente do imóvel responde pelos débitos condominiais, justamente em razão da natureza da obrigação.</w:t>
      </w:r>
    </w:p>
    <w:p w14:paraId="213C2757" w14:textId="6373A149" w:rsidR="00141CE6" w:rsidRPr="00141CE6" w:rsidRDefault="00141CE6" w:rsidP="00141CE6">
      <w:pPr>
        <w:ind w:right="-568"/>
        <w:jc w:val="both"/>
        <w:rPr>
          <w:rFonts w:ascii="Times New Roman" w:hAnsi="Times New Roman" w:cs="Times New Roman"/>
        </w:rPr>
      </w:pPr>
      <w:r w:rsidRPr="00141CE6">
        <w:rPr>
          <w:rFonts w:ascii="Times New Roman" w:hAnsi="Times New Roman" w:cs="Times New Roman"/>
        </w:rPr>
        <w:t>Assim, eventual produto da arrematação deverá prioritariamente satisfazer o crédito condominial, razão pela qual será reservado, do produto da alienação judicial, valor suficiente para a quitação do débito executado, acrescido de encargos legais e custas processuais, resguardando a efetividade da execução e a satisfação do crédito do condomínio.</w:t>
      </w:r>
    </w:p>
    <w:p w14:paraId="6DDF2A51" w14:textId="65FF5E49" w:rsidR="00141CE6" w:rsidRPr="00141CE6" w:rsidRDefault="00141CE6" w:rsidP="00141CE6">
      <w:pPr>
        <w:ind w:right="-568"/>
        <w:jc w:val="both"/>
        <w:rPr>
          <w:rFonts w:ascii="Times New Roman" w:hAnsi="Times New Roman" w:cs="Times New Roman"/>
          <w:b/>
          <w:bCs/>
        </w:rPr>
      </w:pPr>
      <w:r w:rsidRPr="00141CE6">
        <w:rPr>
          <w:rFonts w:ascii="Times New Roman" w:hAnsi="Times New Roman" w:cs="Times New Roman"/>
          <w:b/>
          <w:bCs/>
        </w:rPr>
        <w:t>7. PEDIDOS</w:t>
      </w:r>
    </w:p>
    <w:p w14:paraId="3405A3EA" w14:textId="21A31E6D" w:rsidR="00141CE6" w:rsidRPr="00141CE6" w:rsidRDefault="00141CE6" w:rsidP="00141CE6">
      <w:pPr>
        <w:ind w:right="-568"/>
        <w:jc w:val="both"/>
        <w:rPr>
          <w:rFonts w:ascii="Times New Roman" w:hAnsi="Times New Roman" w:cs="Times New Roman"/>
        </w:rPr>
      </w:pPr>
      <w:proofErr w:type="spellStart"/>
      <w:r w:rsidRPr="00141CE6">
        <w:rPr>
          <w:rFonts w:ascii="Times New Roman" w:hAnsi="Times New Roman" w:cs="Times New Roman"/>
          <w:b/>
          <w:bCs/>
          <w:i/>
          <w:iCs/>
        </w:rPr>
        <w:t>Ex</w:t>
      </w:r>
      <w:proofErr w:type="spellEnd"/>
      <w:r w:rsidRPr="00141CE6">
        <w:rPr>
          <w:rFonts w:ascii="Times New Roman" w:hAnsi="Times New Roman" w:cs="Times New Roman"/>
          <w:b/>
          <w:bCs/>
          <w:i/>
          <w:iCs/>
        </w:rPr>
        <w:t xml:space="preserve"> positi</w:t>
      </w:r>
      <w:r>
        <w:rPr>
          <w:rFonts w:ascii="Times New Roman" w:hAnsi="Times New Roman" w:cs="Times New Roman"/>
          <w:b/>
          <w:bCs/>
          <w:i/>
          <w:iCs/>
        </w:rPr>
        <w:t>s</w:t>
      </w:r>
      <w:r w:rsidRPr="00141CE6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  <w:b/>
          <w:bCs/>
          <w:i/>
          <w:iCs/>
        </w:rPr>
        <w:t xml:space="preserve"> </w:t>
      </w:r>
      <w:r w:rsidRPr="00141CE6">
        <w:rPr>
          <w:rFonts w:ascii="Times New Roman" w:hAnsi="Times New Roman" w:cs="Times New Roman"/>
        </w:rPr>
        <w:t>o exequente requer:</w:t>
      </w:r>
    </w:p>
    <w:p w14:paraId="576E0BD1" w14:textId="787A21BA" w:rsidR="00141CE6" w:rsidRPr="00141CE6" w:rsidRDefault="00141CE6" w:rsidP="00141CE6">
      <w:pPr>
        <w:ind w:right="-568"/>
        <w:jc w:val="both"/>
        <w:rPr>
          <w:rFonts w:ascii="Times New Roman" w:hAnsi="Times New Roman" w:cs="Times New Roman"/>
        </w:rPr>
      </w:pPr>
      <w:r w:rsidRPr="00141CE6">
        <w:rPr>
          <w:rFonts w:ascii="Times New Roman" w:hAnsi="Times New Roman" w:cs="Times New Roman"/>
        </w:rPr>
        <w:t xml:space="preserve">a) seja designado leilão judicial eletrônico dos imóveis penhorados, consistentes nas salas nº </w:t>
      </w:r>
      <w:r>
        <w:rPr>
          <w:rFonts w:ascii="Times New Roman" w:hAnsi="Times New Roman" w:cs="Times New Roman"/>
        </w:rPr>
        <w:t>...</w:t>
      </w:r>
      <w:r w:rsidRPr="00141CE6">
        <w:rPr>
          <w:rFonts w:ascii="Times New Roman" w:hAnsi="Times New Roman" w:cs="Times New Roman"/>
        </w:rPr>
        <w:t xml:space="preserve"> e nº </w:t>
      </w:r>
      <w:r>
        <w:rPr>
          <w:rFonts w:ascii="Times New Roman" w:hAnsi="Times New Roman" w:cs="Times New Roman"/>
        </w:rPr>
        <w:t>...</w:t>
      </w:r>
      <w:r w:rsidRPr="00141CE6">
        <w:rPr>
          <w:rFonts w:ascii="Times New Roman" w:hAnsi="Times New Roman" w:cs="Times New Roman"/>
        </w:rPr>
        <w:t>, conforme Termo de Penhora e Matrículas juntadas aos autos:</w:t>
      </w:r>
    </w:p>
    <w:p w14:paraId="2353B966" w14:textId="31923813" w:rsidR="00141CE6" w:rsidRPr="00141CE6" w:rsidRDefault="00141CE6" w:rsidP="00141CE6">
      <w:pPr>
        <w:ind w:right="-56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141CE6">
        <w:rPr>
          <w:rFonts w:ascii="Times New Roman" w:hAnsi="Times New Roman" w:cs="Times New Roman"/>
        </w:rPr>
        <w:t xml:space="preserve">SALA N. </w:t>
      </w:r>
      <w:r>
        <w:rPr>
          <w:rFonts w:ascii="Times New Roman" w:hAnsi="Times New Roman" w:cs="Times New Roman"/>
        </w:rPr>
        <w:t>...</w:t>
      </w:r>
      <w:r w:rsidRPr="00141CE6">
        <w:rPr>
          <w:rFonts w:ascii="Times New Roman" w:hAnsi="Times New Roman" w:cs="Times New Roman"/>
        </w:rPr>
        <w:t xml:space="preserve">, do EDIFÍCIO </w:t>
      </w:r>
      <w:r>
        <w:rPr>
          <w:rFonts w:ascii="Times New Roman" w:hAnsi="Times New Roman" w:cs="Times New Roman"/>
        </w:rPr>
        <w:t>...</w:t>
      </w:r>
      <w:r w:rsidRPr="00141CE6">
        <w:rPr>
          <w:rFonts w:ascii="Times New Roman" w:hAnsi="Times New Roman" w:cs="Times New Roman"/>
        </w:rPr>
        <w:t xml:space="preserve">, à Av. </w:t>
      </w:r>
      <w:r>
        <w:rPr>
          <w:rFonts w:ascii="Times New Roman" w:hAnsi="Times New Roman" w:cs="Times New Roman"/>
        </w:rPr>
        <w:t>..., n. ...</w:t>
      </w:r>
      <w:r w:rsidRPr="00141CE6">
        <w:rPr>
          <w:rFonts w:ascii="Times New Roman" w:hAnsi="Times New Roman" w:cs="Times New Roman"/>
        </w:rPr>
        <w:t xml:space="preserve">, e seu terreno ideal </w:t>
      </w:r>
      <w:r>
        <w:rPr>
          <w:rFonts w:ascii="Times New Roman" w:hAnsi="Times New Roman" w:cs="Times New Roman"/>
        </w:rPr>
        <w:t>...</w:t>
      </w:r>
      <w:r w:rsidRPr="00141CE6">
        <w:rPr>
          <w:rFonts w:ascii="Times New Roman" w:hAnsi="Times New Roman" w:cs="Times New Roman"/>
        </w:rPr>
        <w:t xml:space="preserve">, dos lotes </w:t>
      </w:r>
      <w:r>
        <w:rPr>
          <w:rFonts w:ascii="Times New Roman" w:hAnsi="Times New Roman" w:cs="Times New Roman"/>
        </w:rPr>
        <w:t>...</w:t>
      </w:r>
      <w:r w:rsidRPr="00141CE6">
        <w:rPr>
          <w:rFonts w:ascii="Times New Roman" w:hAnsi="Times New Roman" w:cs="Times New Roman"/>
        </w:rPr>
        <w:t xml:space="preserve"> e </w:t>
      </w:r>
      <w:r>
        <w:rPr>
          <w:rFonts w:ascii="Times New Roman" w:hAnsi="Times New Roman" w:cs="Times New Roman"/>
        </w:rPr>
        <w:t>...</w:t>
      </w:r>
      <w:r w:rsidRPr="00141CE6">
        <w:rPr>
          <w:rFonts w:ascii="Times New Roman" w:hAnsi="Times New Roman" w:cs="Times New Roman"/>
        </w:rPr>
        <w:t xml:space="preserve">, do quarteirão </w:t>
      </w:r>
      <w:r>
        <w:rPr>
          <w:rFonts w:ascii="Times New Roman" w:hAnsi="Times New Roman" w:cs="Times New Roman"/>
        </w:rPr>
        <w:t>...</w:t>
      </w:r>
      <w:r w:rsidRPr="00141CE6">
        <w:rPr>
          <w:rFonts w:ascii="Times New Roman" w:hAnsi="Times New Roman" w:cs="Times New Roman"/>
        </w:rPr>
        <w:t xml:space="preserve">, da </w:t>
      </w:r>
      <w:r>
        <w:rPr>
          <w:rFonts w:ascii="Times New Roman" w:hAnsi="Times New Roman" w:cs="Times New Roman"/>
        </w:rPr>
        <w:t>...</w:t>
      </w:r>
      <w:r w:rsidRPr="00141CE6">
        <w:rPr>
          <w:rFonts w:ascii="Times New Roman" w:hAnsi="Times New Roman" w:cs="Times New Roman"/>
        </w:rPr>
        <w:t xml:space="preserve">ª seção urbana. Cabe a unidade o direito de uso de uma vaga na garagem do prédio conforme consta da Convenção de Condomínio registrada sob o n. </w:t>
      </w:r>
      <w:r>
        <w:rPr>
          <w:rFonts w:ascii="Times New Roman" w:hAnsi="Times New Roman" w:cs="Times New Roman"/>
        </w:rPr>
        <w:t>...</w:t>
      </w:r>
      <w:r w:rsidRPr="00141CE6">
        <w:rPr>
          <w:rFonts w:ascii="Times New Roman" w:hAnsi="Times New Roman" w:cs="Times New Roman"/>
        </w:rPr>
        <w:t xml:space="preserve">, Livro </w:t>
      </w:r>
      <w:r>
        <w:rPr>
          <w:rFonts w:ascii="Times New Roman" w:hAnsi="Times New Roman" w:cs="Times New Roman"/>
        </w:rPr>
        <w:t>...</w:t>
      </w:r>
      <w:r w:rsidRPr="00141CE6">
        <w:rPr>
          <w:rFonts w:ascii="Times New Roman" w:hAnsi="Times New Roman" w:cs="Times New Roman"/>
        </w:rPr>
        <w:t xml:space="preserve">- Registro </w:t>
      </w:r>
      <w:r w:rsidRPr="00141CE6">
        <w:rPr>
          <w:rFonts w:ascii="Times New Roman" w:hAnsi="Times New Roman" w:cs="Times New Roman"/>
        </w:rPr>
        <w:lastRenderedPageBreak/>
        <w:t xml:space="preserve">Auxiliar, registrada na matrícula </w:t>
      </w:r>
      <w:r>
        <w:rPr>
          <w:rFonts w:ascii="Times New Roman" w:hAnsi="Times New Roman" w:cs="Times New Roman"/>
        </w:rPr>
        <w:t>...</w:t>
      </w:r>
      <w:r w:rsidRPr="00141CE6">
        <w:rPr>
          <w:rFonts w:ascii="Times New Roman" w:hAnsi="Times New Roman" w:cs="Times New Roman"/>
        </w:rPr>
        <w:t xml:space="preserve"> perante o Cartório do </w:t>
      </w:r>
      <w:r>
        <w:rPr>
          <w:rFonts w:ascii="Times New Roman" w:hAnsi="Times New Roman" w:cs="Times New Roman"/>
        </w:rPr>
        <w:t>...</w:t>
      </w:r>
      <w:r w:rsidRPr="00141CE6">
        <w:rPr>
          <w:rFonts w:ascii="Times New Roman" w:hAnsi="Times New Roman" w:cs="Times New Roman"/>
        </w:rPr>
        <w:t xml:space="preserve">º Ofício de Registro de Imóveis de </w:t>
      </w:r>
      <w:r>
        <w:rPr>
          <w:rFonts w:ascii="Times New Roman" w:hAnsi="Times New Roman" w:cs="Times New Roman"/>
        </w:rPr>
        <w:t>...</w:t>
      </w:r>
      <w:r w:rsidRPr="00141CE6">
        <w:rPr>
          <w:rFonts w:ascii="Times New Roman" w:hAnsi="Times New Roman" w:cs="Times New Roman"/>
        </w:rPr>
        <w:t>;</w:t>
      </w:r>
    </w:p>
    <w:p w14:paraId="2E3A1FE8" w14:textId="77777777" w:rsidR="002B6548" w:rsidRPr="00141CE6" w:rsidRDefault="002B6548" w:rsidP="002B6548">
      <w:pPr>
        <w:ind w:right="-56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141CE6">
        <w:rPr>
          <w:rFonts w:ascii="Times New Roman" w:hAnsi="Times New Roman" w:cs="Times New Roman"/>
        </w:rPr>
        <w:t xml:space="preserve">SALA N. </w:t>
      </w:r>
      <w:r>
        <w:rPr>
          <w:rFonts w:ascii="Times New Roman" w:hAnsi="Times New Roman" w:cs="Times New Roman"/>
        </w:rPr>
        <w:t>...</w:t>
      </w:r>
      <w:r w:rsidRPr="00141CE6">
        <w:rPr>
          <w:rFonts w:ascii="Times New Roman" w:hAnsi="Times New Roman" w:cs="Times New Roman"/>
        </w:rPr>
        <w:t xml:space="preserve">, do EDIFÍCIO </w:t>
      </w:r>
      <w:r>
        <w:rPr>
          <w:rFonts w:ascii="Times New Roman" w:hAnsi="Times New Roman" w:cs="Times New Roman"/>
        </w:rPr>
        <w:t>...</w:t>
      </w:r>
      <w:r w:rsidRPr="00141CE6">
        <w:rPr>
          <w:rFonts w:ascii="Times New Roman" w:hAnsi="Times New Roman" w:cs="Times New Roman"/>
        </w:rPr>
        <w:t xml:space="preserve">, à Av. </w:t>
      </w:r>
      <w:r>
        <w:rPr>
          <w:rFonts w:ascii="Times New Roman" w:hAnsi="Times New Roman" w:cs="Times New Roman"/>
        </w:rPr>
        <w:t>..., n. ...</w:t>
      </w:r>
      <w:r w:rsidRPr="00141CE6">
        <w:rPr>
          <w:rFonts w:ascii="Times New Roman" w:hAnsi="Times New Roman" w:cs="Times New Roman"/>
        </w:rPr>
        <w:t xml:space="preserve">, e seu terreno ideal </w:t>
      </w:r>
      <w:r>
        <w:rPr>
          <w:rFonts w:ascii="Times New Roman" w:hAnsi="Times New Roman" w:cs="Times New Roman"/>
        </w:rPr>
        <w:t>...</w:t>
      </w:r>
      <w:r w:rsidRPr="00141CE6">
        <w:rPr>
          <w:rFonts w:ascii="Times New Roman" w:hAnsi="Times New Roman" w:cs="Times New Roman"/>
        </w:rPr>
        <w:t xml:space="preserve">, dos lotes </w:t>
      </w:r>
      <w:r>
        <w:rPr>
          <w:rFonts w:ascii="Times New Roman" w:hAnsi="Times New Roman" w:cs="Times New Roman"/>
        </w:rPr>
        <w:t>...</w:t>
      </w:r>
      <w:r w:rsidRPr="00141CE6">
        <w:rPr>
          <w:rFonts w:ascii="Times New Roman" w:hAnsi="Times New Roman" w:cs="Times New Roman"/>
        </w:rPr>
        <w:t xml:space="preserve"> e </w:t>
      </w:r>
      <w:r>
        <w:rPr>
          <w:rFonts w:ascii="Times New Roman" w:hAnsi="Times New Roman" w:cs="Times New Roman"/>
        </w:rPr>
        <w:t>...</w:t>
      </w:r>
      <w:r w:rsidRPr="00141CE6">
        <w:rPr>
          <w:rFonts w:ascii="Times New Roman" w:hAnsi="Times New Roman" w:cs="Times New Roman"/>
        </w:rPr>
        <w:t xml:space="preserve">, do quarteirão </w:t>
      </w:r>
      <w:r>
        <w:rPr>
          <w:rFonts w:ascii="Times New Roman" w:hAnsi="Times New Roman" w:cs="Times New Roman"/>
        </w:rPr>
        <w:t>...</w:t>
      </w:r>
      <w:r w:rsidRPr="00141CE6">
        <w:rPr>
          <w:rFonts w:ascii="Times New Roman" w:hAnsi="Times New Roman" w:cs="Times New Roman"/>
        </w:rPr>
        <w:t xml:space="preserve">, da </w:t>
      </w:r>
      <w:r>
        <w:rPr>
          <w:rFonts w:ascii="Times New Roman" w:hAnsi="Times New Roman" w:cs="Times New Roman"/>
        </w:rPr>
        <w:t>...</w:t>
      </w:r>
      <w:r w:rsidRPr="00141CE6">
        <w:rPr>
          <w:rFonts w:ascii="Times New Roman" w:hAnsi="Times New Roman" w:cs="Times New Roman"/>
        </w:rPr>
        <w:t xml:space="preserve">ª seção urbana. Cabe a unidade o direito de uso de uma vaga na garagem do prédio conforme consta da Convenção de Condomínio registrada sob o n. </w:t>
      </w:r>
      <w:r>
        <w:rPr>
          <w:rFonts w:ascii="Times New Roman" w:hAnsi="Times New Roman" w:cs="Times New Roman"/>
        </w:rPr>
        <w:t>...</w:t>
      </w:r>
      <w:r w:rsidRPr="00141CE6">
        <w:rPr>
          <w:rFonts w:ascii="Times New Roman" w:hAnsi="Times New Roman" w:cs="Times New Roman"/>
        </w:rPr>
        <w:t xml:space="preserve">, Livro </w:t>
      </w:r>
      <w:r>
        <w:rPr>
          <w:rFonts w:ascii="Times New Roman" w:hAnsi="Times New Roman" w:cs="Times New Roman"/>
        </w:rPr>
        <w:t>...</w:t>
      </w:r>
      <w:r w:rsidRPr="00141CE6">
        <w:rPr>
          <w:rFonts w:ascii="Times New Roman" w:hAnsi="Times New Roman" w:cs="Times New Roman"/>
        </w:rPr>
        <w:t xml:space="preserve">- Registro Auxiliar, registrada na matrícula </w:t>
      </w:r>
      <w:r>
        <w:rPr>
          <w:rFonts w:ascii="Times New Roman" w:hAnsi="Times New Roman" w:cs="Times New Roman"/>
        </w:rPr>
        <w:t>...</w:t>
      </w:r>
      <w:r w:rsidRPr="00141CE6">
        <w:rPr>
          <w:rFonts w:ascii="Times New Roman" w:hAnsi="Times New Roman" w:cs="Times New Roman"/>
        </w:rPr>
        <w:t xml:space="preserve"> perante o Cartório do </w:t>
      </w:r>
      <w:r>
        <w:rPr>
          <w:rFonts w:ascii="Times New Roman" w:hAnsi="Times New Roman" w:cs="Times New Roman"/>
        </w:rPr>
        <w:t>...</w:t>
      </w:r>
      <w:r w:rsidRPr="00141CE6">
        <w:rPr>
          <w:rFonts w:ascii="Times New Roman" w:hAnsi="Times New Roman" w:cs="Times New Roman"/>
        </w:rPr>
        <w:t xml:space="preserve">º Ofício de Registro de Imóveis de </w:t>
      </w:r>
      <w:r>
        <w:rPr>
          <w:rFonts w:ascii="Times New Roman" w:hAnsi="Times New Roman" w:cs="Times New Roman"/>
        </w:rPr>
        <w:t>...</w:t>
      </w:r>
      <w:r w:rsidRPr="00141CE6">
        <w:rPr>
          <w:rFonts w:ascii="Times New Roman" w:hAnsi="Times New Roman" w:cs="Times New Roman"/>
        </w:rPr>
        <w:t>;</w:t>
      </w:r>
    </w:p>
    <w:p w14:paraId="75D2CFE7" w14:textId="5C56EAAC" w:rsidR="00141CE6" w:rsidRPr="00141CE6" w:rsidRDefault="00141CE6" w:rsidP="00141CE6">
      <w:pPr>
        <w:ind w:right="-568"/>
        <w:jc w:val="both"/>
        <w:rPr>
          <w:rFonts w:ascii="Times New Roman" w:hAnsi="Times New Roman" w:cs="Times New Roman"/>
        </w:rPr>
      </w:pPr>
      <w:r w:rsidRPr="00141CE6">
        <w:rPr>
          <w:rFonts w:ascii="Times New Roman" w:hAnsi="Times New Roman" w:cs="Times New Roman"/>
        </w:rPr>
        <w:t xml:space="preserve">b) seja nomeado leiloeiro judicial, para realização do leilão por meio de plataforma eletrônica, nos termos dos </w:t>
      </w:r>
      <w:proofErr w:type="spellStart"/>
      <w:r w:rsidRPr="00141CE6">
        <w:rPr>
          <w:rFonts w:ascii="Times New Roman" w:hAnsi="Times New Roman" w:cs="Times New Roman"/>
        </w:rPr>
        <w:t>arts</w:t>
      </w:r>
      <w:proofErr w:type="spellEnd"/>
      <w:r w:rsidRPr="00141CE6">
        <w:rPr>
          <w:rFonts w:ascii="Times New Roman" w:hAnsi="Times New Roman" w:cs="Times New Roman"/>
        </w:rPr>
        <w:t>. 879, 881 e 882 do CPC;</w:t>
      </w:r>
    </w:p>
    <w:p w14:paraId="337EC954" w14:textId="77777777" w:rsidR="00141CE6" w:rsidRPr="00141CE6" w:rsidRDefault="00141CE6" w:rsidP="00141CE6">
      <w:pPr>
        <w:ind w:right="-568"/>
        <w:jc w:val="both"/>
        <w:rPr>
          <w:rFonts w:ascii="Times New Roman" w:hAnsi="Times New Roman" w:cs="Times New Roman"/>
        </w:rPr>
      </w:pPr>
      <w:r w:rsidRPr="00141CE6">
        <w:rPr>
          <w:rFonts w:ascii="Times New Roman" w:hAnsi="Times New Roman" w:cs="Times New Roman"/>
        </w:rPr>
        <w:t>c) que o leilão seja realizado em duas praças, observando-se:</w:t>
      </w:r>
    </w:p>
    <w:p w14:paraId="21FE7176" w14:textId="77777777" w:rsidR="00141CE6" w:rsidRPr="00141CE6" w:rsidRDefault="00141CE6" w:rsidP="00141CE6">
      <w:pPr>
        <w:ind w:right="-568"/>
        <w:jc w:val="both"/>
        <w:rPr>
          <w:rFonts w:ascii="Times New Roman" w:hAnsi="Times New Roman" w:cs="Times New Roman"/>
        </w:rPr>
      </w:pPr>
      <w:r w:rsidRPr="00141CE6">
        <w:rPr>
          <w:rFonts w:ascii="Times New Roman" w:hAnsi="Times New Roman" w:cs="Times New Roman"/>
        </w:rPr>
        <w:t>1º leilão pelo valor da avaliação;</w:t>
      </w:r>
    </w:p>
    <w:p w14:paraId="52DA5E02" w14:textId="0D75B595" w:rsidR="00141CE6" w:rsidRPr="00141CE6" w:rsidRDefault="00141CE6" w:rsidP="00141CE6">
      <w:pPr>
        <w:ind w:right="-568"/>
        <w:jc w:val="both"/>
        <w:rPr>
          <w:rFonts w:ascii="Times New Roman" w:hAnsi="Times New Roman" w:cs="Times New Roman"/>
        </w:rPr>
      </w:pPr>
      <w:r w:rsidRPr="00141CE6">
        <w:rPr>
          <w:rFonts w:ascii="Times New Roman" w:hAnsi="Times New Roman" w:cs="Times New Roman"/>
        </w:rPr>
        <w:t>2º leilão por valor mínimo de 50% da avaliação, desde que não caracterizado preço vil, nos termos do art. 891 do CPC;</w:t>
      </w:r>
    </w:p>
    <w:p w14:paraId="4A7DFBCD" w14:textId="77C3DA96" w:rsidR="00141CE6" w:rsidRPr="00141CE6" w:rsidRDefault="00141CE6" w:rsidP="00141CE6">
      <w:pPr>
        <w:ind w:right="-568"/>
        <w:jc w:val="both"/>
        <w:rPr>
          <w:rFonts w:ascii="Times New Roman" w:hAnsi="Times New Roman" w:cs="Times New Roman"/>
        </w:rPr>
      </w:pPr>
      <w:r w:rsidRPr="00141CE6">
        <w:rPr>
          <w:rFonts w:ascii="Times New Roman" w:hAnsi="Times New Roman" w:cs="Times New Roman"/>
        </w:rPr>
        <w:t>d) a expedição do edital de leilão, na forma do art. 886 do CPC;</w:t>
      </w:r>
    </w:p>
    <w:p w14:paraId="3916661A" w14:textId="42B7E21E" w:rsidR="00141CE6" w:rsidRPr="00141CE6" w:rsidRDefault="00141CE6" w:rsidP="00141CE6">
      <w:pPr>
        <w:ind w:right="-568"/>
        <w:jc w:val="both"/>
        <w:rPr>
          <w:rFonts w:ascii="Times New Roman" w:hAnsi="Times New Roman" w:cs="Times New Roman"/>
        </w:rPr>
      </w:pPr>
      <w:r w:rsidRPr="00141CE6">
        <w:rPr>
          <w:rFonts w:ascii="Times New Roman" w:hAnsi="Times New Roman" w:cs="Times New Roman"/>
        </w:rPr>
        <w:t xml:space="preserve">e) a intimação do executado </w:t>
      </w:r>
      <w:r w:rsidR="002B6548">
        <w:rPr>
          <w:rFonts w:ascii="Times New Roman" w:hAnsi="Times New Roman" w:cs="Times New Roman"/>
        </w:rPr>
        <w:t>...</w:t>
      </w:r>
      <w:r w:rsidRPr="00141CE6">
        <w:rPr>
          <w:rFonts w:ascii="Times New Roman" w:hAnsi="Times New Roman" w:cs="Times New Roman"/>
        </w:rPr>
        <w:t xml:space="preserve"> e sua esposa </w:t>
      </w:r>
      <w:r w:rsidR="002B6548">
        <w:rPr>
          <w:rFonts w:ascii="Times New Roman" w:hAnsi="Times New Roman" w:cs="Times New Roman"/>
        </w:rPr>
        <w:t>...</w:t>
      </w:r>
      <w:r w:rsidRPr="00141CE6">
        <w:rPr>
          <w:rFonts w:ascii="Times New Roman" w:hAnsi="Times New Roman" w:cs="Times New Roman"/>
        </w:rPr>
        <w:t>, acerca da realização do leilão, nos termos do art. 889, I, do CPC;</w:t>
      </w:r>
    </w:p>
    <w:p w14:paraId="60DBAD2A" w14:textId="236A70CB" w:rsidR="00141CE6" w:rsidRPr="00141CE6" w:rsidRDefault="00141CE6" w:rsidP="00141CE6">
      <w:pPr>
        <w:ind w:right="-568"/>
        <w:jc w:val="both"/>
        <w:rPr>
          <w:rFonts w:ascii="Times New Roman" w:hAnsi="Times New Roman" w:cs="Times New Roman"/>
        </w:rPr>
      </w:pPr>
      <w:r w:rsidRPr="00141CE6">
        <w:rPr>
          <w:rFonts w:ascii="Times New Roman" w:hAnsi="Times New Roman" w:cs="Times New Roman"/>
        </w:rPr>
        <w:t>f) seja autorizada a atualização do débito exequendo, com a juntada de memória de cálculo atualizada antes da realização do leilão;</w:t>
      </w:r>
    </w:p>
    <w:p w14:paraId="1C00B9D8" w14:textId="4575D1B2" w:rsidR="00141CE6" w:rsidRPr="00141CE6" w:rsidRDefault="00141CE6" w:rsidP="00141CE6">
      <w:pPr>
        <w:ind w:right="-568"/>
        <w:jc w:val="both"/>
        <w:rPr>
          <w:rFonts w:ascii="Times New Roman" w:hAnsi="Times New Roman" w:cs="Times New Roman"/>
        </w:rPr>
      </w:pPr>
      <w:r w:rsidRPr="00141CE6">
        <w:rPr>
          <w:rFonts w:ascii="Times New Roman" w:hAnsi="Times New Roman" w:cs="Times New Roman"/>
        </w:rPr>
        <w:t xml:space="preserve">g) seja reservado do produto da arrematação valor suficiente para a satisfação do crédito condominial, acrescido de encargos legais, custas e honorários, em razão da natureza </w:t>
      </w:r>
      <w:proofErr w:type="spellStart"/>
      <w:r w:rsidRPr="002B6548">
        <w:rPr>
          <w:rFonts w:ascii="Times New Roman" w:hAnsi="Times New Roman" w:cs="Times New Roman"/>
          <w:i/>
          <w:iCs/>
        </w:rPr>
        <w:t>propter</w:t>
      </w:r>
      <w:proofErr w:type="spellEnd"/>
      <w:r w:rsidRPr="002B6548">
        <w:rPr>
          <w:rFonts w:ascii="Times New Roman" w:hAnsi="Times New Roman" w:cs="Times New Roman"/>
          <w:i/>
          <w:iCs/>
        </w:rPr>
        <w:t xml:space="preserve"> rem </w:t>
      </w:r>
      <w:r w:rsidRPr="00141CE6">
        <w:rPr>
          <w:rFonts w:ascii="Times New Roman" w:hAnsi="Times New Roman" w:cs="Times New Roman"/>
        </w:rPr>
        <w:t>e privilegiada do crédito condominial.</w:t>
      </w:r>
    </w:p>
    <w:p w14:paraId="62E65601" w14:textId="723E2E68" w:rsidR="00141CE6" w:rsidRPr="00141CE6" w:rsidRDefault="00141CE6" w:rsidP="002B6548">
      <w:pPr>
        <w:spacing w:after="0" w:line="240" w:lineRule="auto"/>
        <w:ind w:right="-567"/>
        <w:jc w:val="center"/>
        <w:rPr>
          <w:rFonts w:ascii="Times New Roman" w:hAnsi="Times New Roman" w:cs="Times New Roman"/>
        </w:rPr>
      </w:pPr>
      <w:r w:rsidRPr="00141CE6">
        <w:rPr>
          <w:rFonts w:ascii="Times New Roman" w:hAnsi="Times New Roman" w:cs="Times New Roman"/>
        </w:rPr>
        <w:t>P</w:t>
      </w:r>
      <w:r w:rsidR="002B6548">
        <w:rPr>
          <w:rFonts w:ascii="Times New Roman" w:hAnsi="Times New Roman" w:cs="Times New Roman"/>
        </w:rPr>
        <w:t>ede</w:t>
      </w:r>
      <w:r w:rsidRPr="00141CE6">
        <w:rPr>
          <w:rFonts w:ascii="Times New Roman" w:hAnsi="Times New Roman" w:cs="Times New Roman"/>
        </w:rPr>
        <w:t xml:space="preserve"> Deferimento.</w:t>
      </w:r>
    </w:p>
    <w:p w14:paraId="56760F03" w14:textId="7C9F7162" w:rsidR="00141CE6" w:rsidRDefault="002B6548" w:rsidP="002B6548">
      <w:pPr>
        <w:spacing w:after="0" w:line="240" w:lineRule="auto"/>
        <w:ind w:right="-567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(Local e data)</w:t>
      </w:r>
    </w:p>
    <w:p w14:paraId="6EE23BCE" w14:textId="119817F5" w:rsidR="002B6548" w:rsidRPr="00141CE6" w:rsidRDefault="002B6548" w:rsidP="002B6548">
      <w:pPr>
        <w:spacing w:after="0" w:line="240" w:lineRule="auto"/>
        <w:ind w:right="-567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(Assinatura e OAB dos Advogados)</w:t>
      </w:r>
    </w:p>
    <w:sectPr w:rsidR="002B6548" w:rsidRPr="00141CE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1CE6"/>
    <w:rsid w:val="00141CE6"/>
    <w:rsid w:val="002B6548"/>
    <w:rsid w:val="00E82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D962A0"/>
  <w15:chartTrackingRefBased/>
  <w15:docId w15:val="{39C2F118-0D5F-45C9-8446-2499DE426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141C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141C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141CE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141C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141CE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141C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141C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141C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141C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141CE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141CE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141CE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141CE6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141CE6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141CE6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141CE6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141CE6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141CE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141C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141C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141C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141C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141C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141CE6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141CE6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141CE6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141CE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141CE6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141CE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3</Pages>
  <Words>944</Words>
  <Characters>5103</Characters>
  <Application>Microsoft Office Word</Application>
  <DocSecurity>0</DocSecurity>
  <Lines>42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Christiane Gieseke</dc:creator>
  <cp:keywords/>
  <dc:description/>
  <cp:lastModifiedBy>Christiane Gieseke</cp:lastModifiedBy>
  <cp:revision>1</cp:revision>
  <dcterms:created xsi:type="dcterms:W3CDTF">2026-09-21T16:04:00Z</dcterms:created>
  <dcterms:modified xsi:type="dcterms:W3CDTF">2026-09-21T17:04:00Z</dcterms:modified>
</cp:coreProperties>
</file>