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A1BD2" w14:textId="77777777" w:rsidR="003C18A8" w:rsidRPr="003C18A8" w:rsidRDefault="003C18A8" w:rsidP="003C18A8">
      <w:pPr>
        <w:spacing w:after="0" w:line="240" w:lineRule="auto"/>
        <w:ind w:right="-567"/>
        <w:jc w:val="center"/>
        <w:rPr>
          <w:rFonts w:ascii="Arial Black" w:hAnsi="Arial Black" w:cs="Times New Roman"/>
        </w:rPr>
      </w:pPr>
      <w:r w:rsidRPr="003C18A8">
        <w:rPr>
          <w:rFonts w:ascii="Arial Black" w:hAnsi="Arial Black" w:cs="Times New Roman"/>
        </w:rPr>
        <w:t>MODELO DE PETIÇÃO</w:t>
      </w:r>
    </w:p>
    <w:p w14:paraId="15F44811" w14:textId="1A6CC58B" w:rsidR="003C18A8" w:rsidRPr="003C18A8" w:rsidRDefault="003C18A8" w:rsidP="003C18A8">
      <w:pPr>
        <w:spacing w:after="0" w:line="240" w:lineRule="auto"/>
        <w:ind w:right="-567"/>
        <w:jc w:val="center"/>
        <w:rPr>
          <w:rFonts w:ascii="Arial Black" w:hAnsi="Arial Black" w:cs="Times New Roman"/>
        </w:rPr>
      </w:pPr>
      <w:r w:rsidRPr="003C18A8">
        <w:rPr>
          <w:rFonts w:ascii="Arial Black" w:hAnsi="Arial Black" w:cs="Times New Roman"/>
        </w:rPr>
        <w:t>CUMPRIMENTO DE SENTENÇA.</w:t>
      </w:r>
      <w:r>
        <w:rPr>
          <w:rFonts w:ascii="Arial Black" w:hAnsi="Arial Black" w:cs="Times New Roman"/>
        </w:rPr>
        <w:t xml:space="preserve"> </w:t>
      </w:r>
      <w:r w:rsidRPr="003C18A8">
        <w:rPr>
          <w:rFonts w:ascii="Arial Black" w:hAnsi="Arial Black" w:cs="Times New Roman"/>
        </w:rPr>
        <w:t>LEGITIMIDADE ATIVA DO ESCRITÓRIO DE ADVOCACIA.</w:t>
      </w:r>
      <w:r>
        <w:rPr>
          <w:rFonts w:ascii="Arial Black" w:hAnsi="Arial Black" w:cs="Times New Roman"/>
        </w:rPr>
        <w:t xml:space="preserve"> </w:t>
      </w:r>
      <w:r w:rsidRPr="003C18A8">
        <w:rPr>
          <w:rFonts w:ascii="Arial Black" w:hAnsi="Arial Black" w:cs="Times New Roman"/>
        </w:rPr>
        <w:t>INAPLICABILIDADE DO § 8º DO ART. 85 DO CPC.</w:t>
      </w:r>
      <w:r>
        <w:rPr>
          <w:rFonts w:ascii="Arial Black" w:hAnsi="Arial Black" w:cs="Times New Roman"/>
        </w:rPr>
        <w:t xml:space="preserve"> </w:t>
      </w:r>
      <w:r w:rsidRPr="003C18A8">
        <w:rPr>
          <w:rFonts w:ascii="Arial Black" w:hAnsi="Arial Black" w:cs="Times New Roman"/>
        </w:rPr>
        <w:t>CONDENAÇÃO VALOR CERTO. ART. 85, § 2º DO CPC. APELAÇÃO</w:t>
      </w:r>
    </w:p>
    <w:p w14:paraId="577D81BA" w14:textId="77777777" w:rsidR="003C18A8" w:rsidRPr="003C18A8" w:rsidRDefault="003C18A8" w:rsidP="003C18A8">
      <w:pPr>
        <w:spacing w:after="0" w:line="240" w:lineRule="auto"/>
        <w:ind w:right="-567"/>
        <w:jc w:val="right"/>
        <w:rPr>
          <w:rFonts w:ascii="Arial Black" w:hAnsi="Arial Black" w:cs="Times New Roman"/>
        </w:rPr>
      </w:pPr>
      <w:proofErr w:type="spellStart"/>
      <w:r w:rsidRPr="003C18A8">
        <w:rPr>
          <w:rFonts w:ascii="Arial Black" w:hAnsi="Arial Black" w:cs="Times New Roman"/>
        </w:rPr>
        <w:t>Rénan</w:t>
      </w:r>
      <w:proofErr w:type="spellEnd"/>
      <w:r w:rsidRPr="003C18A8">
        <w:rPr>
          <w:rFonts w:ascii="Arial Black" w:hAnsi="Arial Black" w:cs="Times New Roman"/>
        </w:rPr>
        <w:t xml:space="preserve"> </w:t>
      </w:r>
      <w:proofErr w:type="spellStart"/>
      <w:r w:rsidRPr="003C18A8">
        <w:rPr>
          <w:rFonts w:ascii="Arial Black" w:hAnsi="Arial Black" w:cs="Times New Roman"/>
        </w:rPr>
        <w:t>Kfuri</w:t>
      </w:r>
      <w:proofErr w:type="spellEnd"/>
      <w:r w:rsidRPr="003C18A8">
        <w:rPr>
          <w:rFonts w:ascii="Arial Black" w:hAnsi="Arial Black" w:cs="Times New Roman"/>
        </w:rPr>
        <w:t xml:space="preserve"> Lopes</w:t>
      </w:r>
    </w:p>
    <w:p w14:paraId="04E69657" w14:textId="77777777" w:rsidR="003C18A8" w:rsidRPr="003C18A8" w:rsidRDefault="003C18A8" w:rsidP="003C18A8">
      <w:pPr>
        <w:ind w:right="-568"/>
        <w:jc w:val="both"/>
        <w:rPr>
          <w:rFonts w:ascii="Times New Roman" w:hAnsi="Times New Roman" w:cs="Times New Roman"/>
        </w:rPr>
      </w:pPr>
    </w:p>
    <w:p w14:paraId="7F8D01D1" w14:textId="77777777" w:rsidR="004A5BC7" w:rsidRDefault="003C18A8" w:rsidP="003C18A8">
      <w:pPr>
        <w:ind w:right="-568"/>
        <w:jc w:val="both"/>
        <w:rPr>
          <w:rFonts w:ascii="Times New Roman" w:hAnsi="Times New Roman" w:cs="Times New Roman"/>
        </w:rPr>
      </w:pPr>
      <w:r w:rsidRPr="003C18A8">
        <w:rPr>
          <w:rFonts w:ascii="Times New Roman" w:hAnsi="Times New Roman" w:cs="Times New Roman"/>
        </w:rPr>
        <w:t>E</w:t>
      </w:r>
      <w:r w:rsidR="004A5BC7">
        <w:rPr>
          <w:rFonts w:ascii="Times New Roman" w:hAnsi="Times New Roman" w:cs="Times New Roman"/>
        </w:rPr>
        <w:t>xmo. Sr. Juiz de Direito da ... Vara Cível da Comarca de ...</w:t>
      </w:r>
    </w:p>
    <w:p w14:paraId="06EDE217" w14:textId="0C060196"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Ação de Exigir Contas n. </w:t>
      </w:r>
      <w:r w:rsidR="004A5BC7">
        <w:rPr>
          <w:rFonts w:ascii="Times New Roman" w:hAnsi="Times New Roman" w:cs="Times New Roman"/>
        </w:rPr>
        <w:t>...</w:t>
      </w:r>
    </w:p>
    <w:p w14:paraId="5BE40698" w14:textId="68D24B1B" w:rsidR="003C18A8" w:rsidRPr="003C18A8" w:rsidRDefault="004A5BC7" w:rsidP="003C18A8">
      <w:pPr>
        <w:ind w:right="-568"/>
        <w:jc w:val="both"/>
        <w:rPr>
          <w:rFonts w:ascii="Times New Roman" w:hAnsi="Times New Roman" w:cs="Times New Roman"/>
        </w:rPr>
      </w:pPr>
      <w:r>
        <w:rPr>
          <w:rFonts w:ascii="Times New Roman" w:hAnsi="Times New Roman" w:cs="Times New Roman"/>
        </w:rPr>
        <w:t>...</w:t>
      </w:r>
      <w:r w:rsidR="003C18A8" w:rsidRPr="003C18A8">
        <w:rPr>
          <w:rFonts w:ascii="Times New Roman" w:hAnsi="Times New Roman" w:cs="Times New Roman"/>
        </w:rPr>
        <w:t xml:space="preserve"> ESCRITÓRIO DE ADVOCACIA, CNPJ </w:t>
      </w:r>
      <w:r>
        <w:rPr>
          <w:rFonts w:ascii="Times New Roman" w:hAnsi="Times New Roman" w:cs="Times New Roman"/>
        </w:rPr>
        <w:t>...</w:t>
      </w:r>
      <w:r w:rsidR="003C18A8" w:rsidRPr="003C18A8">
        <w:rPr>
          <w:rFonts w:ascii="Times New Roman" w:hAnsi="Times New Roman" w:cs="Times New Roman"/>
        </w:rPr>
        <w:t xml:space="preserve">, sito à </w:t>
      </w:r>
      <w:r>
        <w:rPr>
          <w:rFonts w:ascii="Times New Roman" w:hAnsi="Times New Roman" w:cs="Times New Roman"/>
        </w:rPr>
        <w:t>...</w:t>
      </w:r>
      <w:r w:rsidR="003C18A8" w:rsidRPr="003C18A8">
        <w:rPr>
          <w:rFonts w:ascii="Times New Roman" w:hAnsi="Times New Roman" w:cs="Times New Roman"/>
        </w:rPr>
        <w:t xml:space="preserve"> n. </w:t>
      </w:r>
      <w:r>
        <w:rPr>
          <w:rFonts w:ascii="Times New Roman" w:hAnsi="Times New Roman" w:cs="Times New Roman"/>
        </w:rPr>
        <w:t>...</w:t>
      </w:r>
      <w:r w:rsidR="003C18A8" w:rsidRPr="003C18A8">
        <w:rPr>
          <w:rFonts w:ascii="Times New Roman" w:hAnsi="Times New Roman" w:cs="Times New Roman"/>
        </w:rPr>
        <w:t xml:space="preserve">, sala </w:t>
      </w:r>
      <w:r>
        <w:rPr>
          <w:rFonts w:ascii="Times New Roman" w:hAnsi="Times New Roman" w:cs="Times New Roman"/>
        </w:rPr>
        <w:t>...</w:t>
      </w:r>
      <w:r w:rsidR="003C18A8" w:rsidRPr="003C18A8">
        <w:rPr>
          <w:rFonts w:ascii="Times New Roman" w:hAnsi="Times New Roman" w:cs="Times New Roman"/>
        </w:rPr>
        <w:t xml:space="preserve">, Bairro </w:t>
      </w:r>
      <w:r>
        <w:rPr>
          <w:rFonts w:ascii="Times New Roman" w:hAnsi="Times New Roman" w:cs="Times New Roman"/>
        </w:rPr>
        <w:t>...</w:t>
      </w:r>
      <w:r w:rsidR="003C18A8" w:rsidRPr="003C18A8">
        <w:rPr>
          <w:rFonts w:ascii="Times New Roman" w:hAnsi="Times New Roman" w:cs="Times New Roman"/>
        </w:rPr>
        <w:t xml:space="preserve">, </w:t>
      </w:r>
      <w:r>
        <w:rPr>
          <w:rFonts w:ascii="Times New Roman" w:hAnsi="Times New Roman" w:cs="Times New Roman"/>
        </w:rPr>
        <w:t>...</w:t>
      </w:r>
      <w:r w:rsidR="003C18A8" w:rsidRPr="003C18A8">
        <w:rPr>
          <w:rFonts w:ascii="Times New Roman" w:hAnsi="Times New Roman" w:cs="Times New Roman"/>
        </w:rPr>
        <w:t xml:space="preserve"> [</w:t>
      </w:r>
      <w:r>
        <w:rPr>
          <w:rFonts w:ascii="Times New Roman" w:hAnsi="Times New Roman" w:cs="Times New Roman"/>
        </w:rPr>
        <w:t>...</w:t>
      </w:r>
      <w:r w:rsidR="003C18A8" w:rsidRPr="003C18A8">
        <w:rPr>
          <w:rFonts w:ascii="Times New Roman" w:hAnsi="Times New Roman" w:cs="Times New Roman"/>
        </w:rPr>
        <w:t xml:space="preserve">], CEP </w:t>
      </w:r>
      <w:r>
        <w:rPr>
          <w:rFonts w:ascii="Times New Roman" w:hAnsi="Times New Roman" w:cs="Times New Roman"/>
        </w:rPr>
        <w:t>...</w:t>
      </w:r>
      <w:r w:rsidR="003C18A8" w:rsidRPr="003C18A8">
        <w:rPr>
          <w:rFonts w:ascii="Times New Roman" w:hAnsi="Times New Roman" w:cs="Times New Roman"/>
        </w:rPr>
        <w:t xml:space="preserve">, representado por seu sócio, Dr. </w:t>
      </w:r>
      <w:r>
        <w:rPr>
          <w:rFonts w:ascii="Times New Roman" w:hAnsi="Times New Roman" w:cs="Times New Roman"/>
        </w:rPr>
        <w:t>...</w:t>
      </w:r>
      <w:r w:rsidR="003C18A8" w:rsidRPr="003C18A8">
        <w:rPr>
          <w:rFonts w:ascii="Times New Roman" w:hAnsi="Times New Roman" w:cs="Times New Roman"/>
        </w:rPr>
        <w:t xml:space="preserve">, CPF </w:t>
      </w:r>
      <w:r>
        <w:rPr>
          <w:rFonts w:ascii="Times New Roman" w:hAnsi="Times New Roman" w:cs="Times New Roman"/>
        </w:rPr>
        <w:t>...</w:t>
      </w:r>
      <w:r w:rsidR="003C18A8" w:rsidRPr="003C18A8">
        <w:rPr>
          <w:rFonts w:ascii="Times New Roman" w:hAnsi="Times New Roman" w:cs="Times New Roman"/>
        </w:rPr>
        <w:t xml:space="preserve"> e advogados </w:t>
      </w:r>
      <w:r w:rsidR="003C18A8" w:rsidRPr="004A5BC7">
        <w:rPr>
          <w:rFonts w:ascii="Times New Roman" w:hAnsi="Times New Roman" w:cs="Times New Roman"/>
          <w:i/>
          <w:iCs/>
        </w:rPr>
        <w:t>in fine</w:t>
      </w:r>
      <w:r w:rsidR="003C18A8" w:rsidRPr="003C18A8">
        <w:rPr>
          <w:rFonts w:ascii="Times New Roman" w:hAnsi="Times New Roman" w:cs="Times New Roman"/>
        </w:rPr>
        <w:t xml:space="preserve"> assinados [doc.</w:t>
      </w:r>
      <w:r>
        <w:rPr>
          <w:rFonts w:ascii="Times New Roman" w:hAnsi="Times New Roman" w:cs="Times New Roman"/>
        </w:rPr>
        <w:t xml:space="preserve"> n. ...</w:t>
      </w:r>
      <w:r w:rsidR="003C18A8" w:rsidRPr="003C18A8">
        <w:rPr>
          <w:rFonts w:ascii="Times New Roman" w:hAnsi="Times New Roman" w:cs="Times New Roman"/>
        </w:rPr>
        <w:t>], vem, respeitosamente, interpor a presente apelação contra a parte da v. sentença que fixou a verba honorária sucumbencial, nos autos da “</w:t>
      </w:r>
      <w:r w:rsidR="003C18A8" w:rsidRPr="004A5BC7">
        <w:rPr>
          <w:rFonts w:ascii="Times New Roman" w:hAnsi="Times New Roman" w:cs="Times New Roman"/>
          <w:i/>
          <w:iCs/>
        </w:rPr>
        <w:t>Ação de Exigir Contas</w:t>
      </w:r>
      <w:r w:rsidR="003C18A8" w:rsidRPr="003C18A8">
        <w:rPr>
          <w:rFonts w:ascii="Times New Roman" w:hAnsi="Times New Roman" w:cs="Times New Roman"/>
        </w:rPr>
        <w:t xml:space="preserve">” epigrafada, promovida por </w:t>
      </w:r>
      <w:r>
        <w:rPr>
          <w:rFonts w:ascii="Times New Roman" w:hAnsi="Times New Roman" w:cs="Times New Roman"/>
        </w:rPr>
        <w:t>...</w:t>
      </w:r>
      <w:r w:rsidR="003C18A8" w:rsidRPr="003C18A8">
        <w:rPr>
          <w:rFonts w:ascii="Times New Roman" w:hAnsi="Times New Roman" w:cs="Times New Roman"/>
        </w:rPr>
        <w:t xml:space="preserve"> e </w:t>
      </w:r>
      <w:r>
        <w:rPr>
          <w:rFonts w:ascii="Times New Roman" w:hAnsi="Times New Roman" w:cs="Times New Roman"/>
        </w:rPr>
        <w:t>...</w:t>
      </w:r>
      <w:r w:rsidR="003C18A8" w:rsidRPr="003C18A8">
        <w:rPr>
          <w:rFonts w:ascii="Times New Roman" w:hAnsi="Times New Roman" w:cs="Times New Roman"/>
        </w:rPr>
        <w:t xml:space="preserve"> contra </w:t>
      </w:r>
      <w:r>
        <w:rPr>
          <w:rFonts w:ascii="Times New Roman" w:hAnsi="Times New Roman" w:cs="Times New Roman"/>
        </w:rPr>
        <w:t>...</w:t>
      </w:r>
      <w:r w:rsidR="003C18A8" w:rsidRPr="003C18A8">
        <w:rPr>
          <w:rFonts w:ascii="Times New Roman" w:hAnsi="Times New Roman" w:cs="Times New Roman"/>
        </w:rPr>
        <w:t>, pelas razões de direito adiante articuladas:</w:t>
      </w:r>
    </w:p>
    <w:p w14:paraId="1296243E" w14:textId="205C612B" w:rsidR="003C18A8" w:rsidRPr="004A5BC7" w:rsidRDefault="004A5BC7" w:rsidP="004A5BC7">
      <w:pPr>
        <w:ind w:right="-568"/>
        <w:jc w:val="both"/>
        <w:rPr>
          <w:rFonts w:ascii="Times New Roman" w:hAnsi="Times New Roman" w:cs="Times New Roman"/>
          <w:b/>
          <w:bCs/>
        </w:rPr>
      </w:pPr>
      <w:r w:rsidRPr="004A5BC7">
        <w:rPr>
          <w:rFonts w:ascii="Times New Roman" w:hAnsi="Times New Roman" w:cs="Times New Roman"/>
          <w:b/>
          <w:bCs/>
        </w:rPr>
        <w:t xml:space="preserve">I- </w:t>
      </w:r>
      <w:r w:rsidR="003C18A8" w:rsidRPr="004A5BC7">
        <w:rPr>
          <w:rFonts w:ascii="Times New Roman" w:hAnsi="Times New Roman" w:cs="Times New Roman"/>
          <w:b/>
          <w:bCs/>
        </w:rPr>
        <w:t>OS FATOS</w:t>
      </w:r>
    </w:p>
    <w:p w14:paraId="03930BE6" w14:textId="57E36CEB"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As autoras são </w:t>
      </w:r>
      <w:proofErr w:type="gramStart"/>
      <w:r w:rsidRPr="003C18A8">
        <w:rPr>
          <w:rFonts w:ascii="Times New Roman" w:hAnsi="Times New Roman" w:cs="Times New Roman"/>
        </w:rPr>
        <w:t>administradora</w:t>
      </w:r>
      <w:proofErr w:type="gramEnd"/>
      <w:r w:rsidRPr="003C18A8">
        <w:rPr>
          <w:rFonts w:ascii="Times New Roman" w:hAnsi="Times New Roman" w:cs="Times New Roman"/>
        </w:rPr>
        <w:t xml:space="preserve"> e sócia [</w:t>
      </w:r>
      <w:r w:rsidR="004A5BC7">
        <w:rPr>
          <w:rFonts w:ascii="Times New Roman" w:hAnsi="Times New Roman" w:cs="Times New Roman"/>
        </w:rPr>
        <w:t>...</w:t>
      </w:r>
      <w:r w:rsidRPr="003C18A8">
        <w:rPr>
          <w:rFonts w:ascii="Times New Roman" w:hAnsi="Times New Roman" w:cs="Times New Roman"/>
        </w:rPr>
        <w:t>] e sócia [</w:t>
      </w:r>
      <w:r w:rsidR="004A5BC7">
        <w:rPr>
          <w:rFonts w:ascii="Times New Roman" w:hAnsi="Times New Roman" w:cs="Times New Roman"/>
        </w:rPr>
        <w:t>...</w:t>
      </w:r>
      <w:r w:rsidRPr="003C18A8">
        <w:rPr>
          <w:rFonts w:ascii="Times New Roman" w:hAnsi="Times New Roman" w:cs="Times New Roman"/>
        </w:rPr>
        <w:t xml:space="preserve">] da sociedade </w:t>
      </w:r>
      <w:r w:rsidR="004A5BC7">
        <w:rPr>
          <w:rFonts w:ascii="Times New Roman" w:hAnsi="Times New Roman" w:cs="Times New Roman"/>
        </w:rPr>
        <w:t>...</w:t>
      </w:r>
      <w:r w:rsidRPr="003C18A8">
        <w:rPr>
          <w:rFonts w:ascii="Times New Roman" w:hAnsi="Times New Roman" w:cs="Times New Roman"/>
        </w:rPr>
        <w:t xml:space="preserve">. [anterior </w:t>
      </w:r>
      <w:r w:rsidR="004A5BC7">
        <w:rPr>
          <w:rFonts w:ascii="Times New Roman" w:hAnsi="Times New Roman" w:cs="Times New Roman"/>
        </w:rPr>
        <w:t>..</w:t>
      </w:r>
      <w:r w:rsidRPr="003C18A8">
        <w:rPr>
          <w:rFonts w:ascii="Times New Roman" w:hAnsi="Times New Roman" w:cs="Times New Roman"/>
        </w:rPr>
        <w:t xml:space="preserve">.] promoveram contra o ex-administrador </w:t>
      </w:r>
      <w:r w:rsidR="004A5BC7">
        <w:rPr>
          <w:rFonts w:ascii="Times New Roman" w:hAnsi="Times New Roman" w:cs="Times New Roman"/>
        </w:rPr>
        <w:t>...</w:t>
      </w:r>
      <w:r w:rsidRPr="003C18A8">
        <w:rPr>
          <w:rFonts w:ascii="Times New Roman" w:hAnsi="Times New Roman" w:cs="Times New Roman"/>
        </w:rPr>
        <w:t xml:space="preserve"> a presente “</w:t>
      </w:r>
      <w:r w:rsidRPr="004A5BC7">
        <w:rPr>
          <w:rFonts w:ascii="Times New Roman" w:hAnsi="Times New Roman" w:cs="Times New Roman"/>
          <w:i/>
          <w:iCs/>
        </w:rPr>
        <w:t>Ação de Exigir Contas</w:t>
      </w:r>
      <w:r w:rsidRPr="003C18A8">
        <w:rPr>
          <w:rFonts w:ascii="Times New Roman" w:hAnsi="Times New Roman" w:cs="Times New Roman"/>
        </w:rPr>
        <w:t xml:space="preserve">” no período apontado na exordial no qual o réu isoladamente atuou nesse cargo no período de </w:t>
      </w:r>
      <w:r w:rsidR="004A5BC7">
        <w:rPr>
          <w:rFonts w:ascii="Times New Roman" w:hAnsi="Times New Roman" w:cs="Times New Roman"/>
        </w:rPr>
        <w:t>...</w:t>
      </w:r>
      <w:r w:rsidRPr="003C18A8">
        <w:rPr>
          <w:rFonts w:ascii="Times New Roman" w:hAnsi="Times New Roman" w:cs="Times New Roman"/>
        </w:rPr>
        <w:t xml:space="preserve"> até </w:t>
      </w:r>
      <w:r w:rsidR="004A5BC7">
        <w:rPr>
          <w:rFonts w:ascii="Times New Roman" w:hAnsi="Times New Roman" w:cs="Times New Roman"/>
        </w:rPr>
        <w:t>...</w:t>
      </w:r>
      <w:r w:rsidRPr="003C18A8">
        <w:rPr>
          <w:rFonts w:ascii="Times New Roman" w:hAnsi="Times New Roman" w:cs="Times New Roman"/>
        </w:rPr>
        <w:t xml:space="preserve">, alegando, em síntese, que o demandado não prestou contas nesse período de sua gestão e houve desvios de recursos da sociedade. </w:t>
      </w:r>
    </w:p>
    <w:p w14:paraId="6E90A3B6" w14:textId="32F1DB8C" w:rsidR="003C18A8" w:rsidRPr="003C18A8" w:rsidRDefault="004A5BC7" w:rsidP="003C18A8">
      <w:pPr>
        <w:ind w:right="-568"/>
        <w:jc w:val="both"/>
        <w:rPr>
          <w:rFonts w:ascii="Times New Roman" w:hAnsi="Times New Roman" w:cs="Times New Roman"/>
        </w:rPr>
      </w:pPr>
      <w:proofErr w:type="gramStart"/>
      <w:r>
        <w:rPr>
          <w:rFonts w:ascii="Times New Roman" w:hAnsi="Times New Roman" w:cs="Times New Roman"/>
        </w:rPr>
        <w:t>.</w:t>
      </w:r>
      <w:r w:rsidR="003C18A8" w:rsidRPr="003C18A8">
        <w:rPr>
          <w:rFonts w:ascii="Times New Roman" w:hAnsi="Times New Roman" w:cs="Times New Roman"/>
        </w:rPr>
        <w:t>Inclusive</w:t>
      </w:r>
      <w:proofErr w:type="gramEnd"/>
      <w:r w:rsidR="003C18A8" w:rsidRPr="003C18A8">
        <w:rPr>
          <w:rFonts w:ascii="Times New Roman" w:hAnsi="Times New Roman" w:cs="Times New Roman"/>
        </w:rPr>
        <w:t xml:space="preserve">, no curso da demanda, sucedeu que o ex-administrador </w:t>
      </w:r>
      <w:r>
        <w:rPr>
          <w:rFonts w:ascii="Times New Roman" w:hAnsi="Times New Roman" w:cs="Times New Roman"/>
        </w:rPr>
        <w:t>...</w:t>
      </w:r>
      <w:r w:rsidR="003C18A8" w:rsidRPr="003C18A8">
        <w:rPr>
          <w:rFonts w:ascii="Times New Roman" w:hAnsi="Times New Roman" w:cs="Times New Roman"/>
        </w:rPr>
        <w:t xml:space="preserve"> foi destituído judicialmente do cargo por má gestão, através de decisões transitadas em julgado originada dos autos n. </w:t>
      </w:r>
      <w:r>
        <w:rPr>
          <w:rFonts w:ascii="Times New Roman" w:hAnsi="Times New Roman" w:cs="Times New Roman"/>
        </w:rPr>
        <w:t>...</w:t>
      </w:r>
      <w:r w:rsidR="003C18A8" w:rsidRPr="003C18A8">
        <w:rPr>
          <w:rFonts w:ascii="Times New Roman" w:hAnsi="Times New Roman" w:cs="Times New Roman"/>
        </w:rPr>
        <w:t xml:space="preserve"> [</w:t>
      </w:r>
      <w:r>
        <w:rPr>
          <w:rFonts w:ascii="Times New Roman" w:hAnsi="Times New Roman" w:cs="Times New Roman"/>
        </w:rPr>
        <w:t>...</w:t>
      </w:r>
      <w:r w:rsidR="003C18A8" w:rsidRPr="003C18A8">
        <w:rPr>
          <w:rFonts w:ascii="Times New Roman" w:hAnsi="Times New Roman" w:cs="Times New Roman"/>
        </w:rPr>
        <w:t xml:space="preserve">ª Vara Cível de </w:t>
      </w:r>
      <w:r>
        <w:rPr>
          <w:rFonts w:ascii="Times New Roman" w:hAnsi="Times New Roman" w:cs="Times New Roman"/>
        </w:rPr>
        <w:t>...</w:t>
      </w:r>
      <w:r w:rsidR="003C18A8" w:rsidRPr="003C18A8">
        <w:rPr>
          <w:rFonts w:ascii="Times New Roman" w:hAnsi="Times New Roman" w:cs="Times New Roman"/>
        </w:rPr>
        <w:t xml:space="preserve">], tendo nomeado em seu lugar a coautora e atual administradora </w:t>
      </w:r>
      <w:r>
        <w:rPr>
          <w:rFonts w:ascii="Times New Roman" w:hAnsi="Times New Roman" w:cs="Times New Roman"/>
        </w:rPr>
        <w:t>...</w:t>
      </w:r>
      <w:r w:rsidR="003C18A8" w:rsidRPr="003C18A8">
        <w:rPr>
          <w:rFonts w:ascii="Times New Roman" w:hAnsi="Times New Roman" w:cs="Times New Roman"/>
        </w:rPr>
        <w:t xml:space="preserve"> [Eventos </w:t>
      </w:r>
      <w:r>
        <w:rPr>
          <w:rFonts w:ascii="Times New Roman" w:hAnsi="Times New Roman" w:cs="Times New Roman"/>
        </w:rPr>
        <w:t>...</w:t>
      </w:r>
      <w:r w:rsidR="003C18A8" w:rsidRPr="003C18A8">
        <w:rPr>
          <w:rFonts w:ascii="Times New Roman" w:hAnsi="Times New Roman" w:cs="Times New Roman"/>
        </w:rPr>
        <w:t>].</w:t>
      </w:r>
    </w:p>
    <w:p w14:paraId="28A95D17" w14:textId="4CB5D009"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O ora apelante, </w:t>
      </w:r>
      <w:r w:rsidR="004A5BC7">
        <w:rPr>
          <w:rFonts w:ascii="Times New Roman" w:hAnsi="Times New Roman" w:cs="Times New Roman"/>
        </w:rPr>
        <w:t>...</w:t>
      </w:r>
      <w:r w:rsidRPr="003C18A8">
        <w:rPr>
          <w:rFonts w:ascii="Times New Roman" w:hAnsi="Times New Roman" w:cs="Times New Roman"/>
        </w:rPr>
        <w:t xml:space="preserve"> - </w:t>
      </w:r>
      <w:r w:rsidR="004A5BC7">
        <w:rPr>
          <w:rFonts w:ascii="Times New Roman" w:hAnsi="Times New Roman" w:cs="Times New Roman"/>
        </w:rPr>
        <w:t>...</w:t>
      </w:r>
      <w:r w:rsidRPr="003C18A8">
        <w:rPr>
          <w:rFonts w:ascii="Times New Roman" w:hAnsi="Times New Roman" w:cs="Times New Roman"/>
        </w:rPr>
        <w:t xml:space="preserve"> ESCRITÓRIO DE ADVOCACIA foi contratado pelas autoras </w:t>
      </w:r>
      <w:r w:rsidR="004A5BC7">
        <w:rPr>
          <w:rFonts w:ascii="Times New Roman" w:hAnsi="Times New Roman" w:cs="Times New Roman"/>
        </w:rPr>
        <w:t>...</w:t>
      </w:r>
      <w:r w:rsidRPr="003C18A8">
        <w:rPr>
          <w:rFonts w:ascii="Times New Roman" w:hAnsi="Times New Roman" w:cs="Times New Roman"/>
        </w:rPr>
        <w:t xml:space="preserve"> e </w:t>
      </w:r>
      <w:r w:rsidR="004A5BC7">
        <w:rPr>
          <w:rFonts w:ascii="Times New Roman" w:hAnsi="Times New Roman" w:cs="Times New Roman"/>
        </w:rPr>
        <w:t>...</w:t>
      </w:r>
      <w:r w:rsidRPr="003C18A8">
        <w:rPr>
          <w:rFonts w:ascii="Times New Roman" w:hAnsi="Times New Roman" w:cs="Times New Roman"/>
        </w:rPr>
        <w:t xml:space="preserve"> em “</w:t>
      </w:r>
      <w:r w:rsidR="004A5BC7">
        <w:rPr>
          <w:rFonts w:ascii="Times New Roman" w:hAnsi="Times New Roman" w:cs="Times New Roman"/>
        </w:rPr>
        <w:t>...</w:t>
      </w:r>
      <w:r w:rsidRPr="003C18A8">
        <w:rPr>
          <w:rFonts w:ascii="Times New Roman" w:hAnsi="Times New Roman" w:cs="Times New Roman"/>
        </w:rPr>
        <w:t xml:space="preserve">” para lhes representar nos presentes autos [Evento </w:t>
      </w:r>
      <w:r w:rsidR="004A5BC7">
        <w:rPr>
          <w:rFonts w:ascii="Times New Roman" w:hAnsi="Times New Roman" w:cs="Times New Roman"/>
        </w:rPr>
        <w:t>....</w:t>
      </w:r>
      <w:r w:rsidRPr="003C18A8">
        <w:rPr>
          <w:rFonts w:ascii="Times New Roman" w:hAnsi="Times New Roman" w:cs="Times New Roman"/>
        </w:rPr>
        <w:t>].</w:t>
      </w:r>
    </w:p>
    <w:p w14:paraId="7B2B90AC" w14:textId="49BED652"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No curso da instrução processual, a sociedade autora atuou intensamente no feito, especialmente na quesitação suplementar para a prova pericial [Evento </w:t>
      </w:r>
      <w:r w:rsidR="004A5BC7">
        <w:rPr>
          <w:rFonts w:ascii="Times New Roman" w:hAnsi="Times New Roman" w:cs="Times New Roman"/>
        </w:rPr>
        <w:t>...</w:t>
      </w:r>
      <w:r w:rsidRPr="003C18A8">
        <w:rPr>
          <w:rFonts w:ascii="Times New Roman" w:hAnsi="Times New Roman" w:cs="Times New Roman"/>
        </w:rPr>
        <w:t xml:space="preserve">], peticionando em várias oportunidades para esclarecimentos e juntada de documentos em atendimento aos pedidos da perícia [Eventos </w:t>
      </w:r>
      <w:r w:rsidR="004A5BC7">
        <w:rPr>
          <w:rFonts w:ascii="Times New Roman" w:hAnsi="Times New Roman" w:cs="Times New Roman"/>
        </w:rPr>
        <w:t>...</w:t>
      </w:r>
      <w:r w:rsidRPr="003C18A8">
        <w:rPr>
          <w:rFonts w:ascii="Times New Roman" w:hAnsi="Times New Roman" w:cs="Times New Roman"/>
        </w:rPr>
        <w:t xml:space="preserve">] e manifestando sobre o laudo pericial apresentado [evento </w:t>
      </w:r>
      <w:r w:rsidR="004A5BC7">
        <w:rPr>
          <w:rFonts w:ascii="Times New Roman" w:hAnsi="Times New Roman" w:cs="Times New Roman"/>
        </w:rPr>
        <w:t>...</w:t>
      </w:r>
      <w:r w:rsidRPr="003C18A8">
        <w:rPr>
          <w:rFonts w:ascii="Times New Roman" w:hAnsi="Times New Roman" w:cs="Times New Roman"/>
        </w:rPr>
        <w:t>], como se depreende dos autos.</w:t>
      </w:r>
    </w:p>
    <w:p w14:paraId="0847AE23" w14:textId="05B3A13E"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Adentrou-se à segunda etapa da presente “</w:t>
      </w:r>
      <w:r w:rsidRPr="004A5BC7">
        <w:rPr>
          <w:rFonts w:ascii="Times New Roman" w:hAnsi="Times New Roman" w:cs="Times New Roman"/>
          <w:i/>
          <w:iCs/>
        </w:rPr>
        <w:t>Ação de Exigir Contas</w:t>
      </w:r>
      <w:r w:rsidRPr="003C18A8">
        <w:rPr>
          <w:rFonts w:ascii="Times New Roman" w:hAnsi="Times New Roman" w:cs="Times New Roman"/>
        </w:rPr>
        <w:t xml:space="preserve">” com a realização de perícia contábil, na qual concluiu que não foram apresentadas as contas de sua administração e nem justificados alguns valores retirados/sacados pelo réu da conta corrente bancária da sociedade </w:t>
      </w:r>
      <w:r w:rsidR="004A5BC7">
        <w:rPr>
          <w:rFonts w:ascii="Times New Roman" w:hAnsi="Times New Roman" w:cs="Times New Roman"/>
        </w:rPr>
        <w:t>..</w:t>
      </w:r>
      <w:r w:rsidRPr="003C18A8">
        <w:rPr>
          <w:rFonts w:ascii="Times New Roman" w:hAnsi="Times New Roman" w:cs="Times New Roman"/>
        </w:rPr>
        <w:t>. no período apontado na exordial, quando era administrada pelo réu.</w:t>
      </w:r>
    </w:p>
    <w:p w14:paraId="5793595C" w14:textId="16CB918D"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A v. sentença, cujo relatório se adota, condenou o réu e apelado </w:t>
      </w:r>
      <w:r w:rsidR="004A5BC7">
        <w:rPr>
          <w:rFonts w:ascii="Times New Roman" w:hAnsi="Times New Roman" w:cs="Times New Roman"/>
        </w:rPr>
        <w:t>...</w:t>
      </w:r>
      <w:r w:rsidRPr="003C18A8">
        <w:rPr>
          <w:rFonts w:ascii="Times New Roman" w:hAnsi="Times New Roman" w:cs="Times New Roman"/>
        </w:rPr>
        <w:t xml:space="preserve">, ex-administrador da sociedade </w:t>
      </w:r>
      <w:r w:rsidR="004A5BC7">
        <w:rPr>
          <w:rFonts w:ascii="Times New Roman" w:hAnsi="Times New Roman" w:cs="Times New Roman"/>
        </w:rPr>
        <w:t>...</w:t>
      </w:r>
      <w:r w:rsidRPr="003C18A8">
        <w:rPr>
          <w:rFonts w:ascii="Times New Roman" w:hAnsi="Times New Roman" w:cs="Times New Roman"/>
        </w:rPr>
        <w:t xml:space="preserve">, para devolver à sociedade, como pedido na inicial, ao valor certo de R$ </w:t>
      </w:r>
      <w:r w:rsidR="004A5BC7">
        <w:rPr>
          <w:rFonts w:ascii="Times New Roman" w:hAnsi="Times New Roman" w:cs="Times New Roman"/>
        </w:rPr>
        <w:t>...</w:t>
      </w:r>
      <w:r w:rsidRPr="003C18A8">
        <w:rPr>
          <w:rFonts w:ascii="Times New Roman" w:hAnsi="Times New Roman" w:cs="Times New Roman"/>
        </w:rPr>
        <w:t xml:space="preserve"> [lançamentos não comprovados] mais R$ </w:t>
      </w:r>
      <w:r w:rsidR="004A5BC7">
        <w:rPr>
          <w:rFonts w:ascii="Times New Roman" w:hAnsi="Times New Roman" w:cs="Times New Roman"/>
        </w:rPr>
        <w:t>...</w:t>
      </w:r>
      <w:r w:rsidRPr="003C18A8">
        <w:rPr>
          <w:rFonts w:ascii="Times New Roman" w:hAnsi="Times New Roman" w:cs="Times New Roman"/>
        </w:rPr>
        <w:t xml:space="preserve"> [lançamentos suspeitos], totalizando a quantia </w:t>
      </w:r>
      <w:r w:rsidRPr="003C18A8">
        <w:rPr>
          <w:rFonts w:ascii="Times New Roman" w:hAnsi="Times New Roman" w:cs="Times New Roman"/>
        </w:rPr>
        <w:lastRenderedPageBreak/>
        <w:t xml:space="preserve">condenatória em R$ </w:t>
      </w:r>
      <w:r w:rsidR="004A5BC7">
        <w:rPr>
          <w:rFonts w:ascii="Times New Roman" w:hAnsi="Times New Roman" w:cs="Times New Roman"/>
        </w:rPr>
        <w:t>...</w:t>
      </w:r>
      <w:r w:rsidRPr="003C18A8">
        <w:rPr>
          <w:rFonts w:ascii="Times New Roman" w:hAnsi="Times New Roman" w:cs="Times New Roman"/>
        </w:rPr>
        <w:t xml:space="preserve"> [</w:t>
      </w:r>
      <w:r w:rsidR="004A5BC7">
        <w:rPr>
          <w:rFonts w:ascii="Times New Roman" w:hAnsi="Times New Roman" w:cs="Times New Roman"/>
        </w:rPr>
        <w:t>...</w:t>
      </w:r>
      <w:r w:rsidRPr="003C18A8">
        <w:rPr>
          <w:rFonts w:ascii="Times New Roman" w:hAnsi="Times New Roman" w:cs="Times New Roman"/>
        </w:rPr>
        <w:t>], corrigidos monetariamente na data da apuração de cada saldo devedor e os juros moratórios desde a citação, calculados conforme fundamentação do decisum.</w:t>
      </w:r>
    </w:p>
    <w:p w14:paraId="5D783030" w14:textId="798B8AB8"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Também foi condenado o réu, ora apelado ao pagamento das despesas processuais e honorários advocatícios sucumbenciais no valor de R$ </w:t>
      </w:r>
      <w:r w:rsidR="004A5BC7">
        <w:rPr>
          <w:rFonts w:ascii="Times New Roman" w:hAnsi="Times New Roman" w:cs="Times New Roman"/>
        </w:rPr>
        <w:t>...</w:t>
      </w:r>
      <w:r w:rsidRPr="003C18A8">
        <w:rPr>
          <w:rFonts w:ascii="Times New Roman" w:hAnsi="Times New Roman" w:cs="Times New Roman"/>
        </w:rPr>
        <w:t xml:space="preserve"> [</w:t>
      </w:r>
      <w:r w:rsidR="004A5BC7">
        <w:rPr>
          <w:rFonts w:ascii="Times New Roman" w:hAnsi="Times New Roman" w:cs="Times New Roman"/>
        </w:rPr>
        <w:t>...</w:t>
      </w:r>
      <w:r w:rsidRPr="003C18A8">
        <w:rPr>
          <w:rFonts w:ascii="Times New Roman" w:hAnsi="Times New Roman" w:cs="Times New Roman"/>
        </w:rPr>
        <w:t>], com esteio no art. 85, § 8º do CPC.</w:t>
      </w:r>
    </w:p>
    <w:p w14:paraId="5B253513" w14:textId="7955B9D7"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A presente irresignação recursal limita-se à majoração da verba honorária recursal, pois na presente ação de exigir de contas na qual sobreveio condenação do réu ao pagamento de valor certo, apurado o saldo devedor na segunda fase do procedimento, a verba honorária devida ao advogado do autor deve ser fixada com base no § 2º do art. 85 do CPC, e não no § 8º do mesmo dispositivo. Isso porque, havendo condenação líquida ou liquidável, existe proveito econômico obtido pela parte vencedora perfeitamente mensurável, de modo que os honorários sucumbenciais devem observar os percentuais de 10% a 20% incidentes sobre o valor da condenação, do proveito econômico obtido.</w:t>
      </w:r>
    </w:p>
    <w:p w14:paraId="0D041B30" w14:textId="425AE83E"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E a apreciação equitativa prevista no § 8º não constitui critério alternativo de livre escolha do julgador, mas via de exceção somente autorizada quando inviável a aplicação dos parâmetros percentuais do § 2º, o que não é o caso da exigir contas com condenação em valor certo, hipótese em que a base de cálculo dos honorários é, portanto, o próprio montante da condenação.</w:t>
      </w:r>
      <w:r w:rsidRPr="003C18A8">
        <w:rPr>
          <w:rFonts w:ascii="Times New Roman" w:hAnsi="Times New Roman" w:cs="Times New Roman"/>
        </w:rPr>
        <w:tab/>
      </w:r>
    </w:p>
    <w:p w14:paraId="7193AAFE" w14:textId="5BBE9A94" w:rsidR="003C18A8" w:rsidRPr="004A5BC7" w:rsidRDefault="003C18A8" w:rsidP="003C18A8">
      <w:pPr>
        <w:ind w:right="-568"/>
        <w:jc w:val="both"/>
        <w:rPr>
          <w:rFonts w:ascii="Times New Roman" w:hAnsi="Times New Roman" w:cs="Times New Roman"/>
          <w:b/>
          <w:bCs/>
        </w:rPr>
      </w:pPr>
      <w:r w:rsidRPr="004A5BC7">
        <w:rPr>
          <w:rFonts w:ascii="Times New Roman" w:hAnsi="Times New Roman" w:cs="Times New Roman"/>
          <w:b/>
          <w:bCs/>
        </w:rPr>
        <w:t>II-</w:t>
      </w:r>
      <w:r w:rsidR="004A5BC7" w:rsidRPr="004A5BC7">
        <w:rPr>
          <w:rFonts w:ascii="Times New Roman" w:hAnsi="Times New Roman" w:cs="Times New Roman"/>
          <w:b/>
          <w:bCs/>
        </w:rPr>
        <w:t xml:space="preserve"> </w:t>
      </w:r>
      <w:r w:rsidRPr="004A5BC7">
        <w:rPr>
          <w:rFonts w:ascii="Times New Roman" w:hAnsi="Times New Roman" w:cs="Times New Roman"/>
          <w:b/>
          <w:bCs/>
        </w:rPr>
        <w:t>A LEGITIMIDADE ATIVA AUTÔNOMA DO ESCRITÓRIO DE ADVOCACIA RECORRENTE</w:t>
      </w:r>
    </w:p>
    <w:p w14:paraId="4913D912" w14:textId="6271D1B1"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Antes de adentrar ao mérito recursal, impende demonstrar a legitimidade de </w:t>
      </w:r>
      <w:r w:rsidR="004A5BC7">
        <w:rPr>
          <w:rFonts w:ascii="Times New Roman" w:hAnsi="Times New Roman" w:cs="Times New Roman"/>
        </w:rPr>
        <w:t xml:space="preserve">... </w:t>
      </w:r>
      <w:r w:rsidRPr="003C18A8">
        <w:rPr>
          <w:rFonts w:ascii="Times New Roman" w:hAnsi="Times New Roman" w:cs="Times New Roman"/>
        </w:rPr>
        <w:t xml:space="preserve">ESCRITÓRIO DE ADVOCACIA para interpor o presente recurso em nome próprio, restrito exclusivamente ao capítulo da r. sentença que fixou os honorários advocatícios sucumbenciais em R$ </w:t>
      </w:r>
      <w:r w:rsidR="004A5BC7">
        <w:rPr>
          <w:rFonts w:ascii="Times New Roman" w:hAnsi="Times New Roman" w:cs="Times New Roman"/>
        </w:rPr>
        <w:t>...</w:t>
      </w:r>
      <w:r w:rsidRPr="003C18A8">
        <w:rPr>
          <w:rFonts w:ascii="Times New Roman" w:hAnsi="Times New Roman" w:cs="Times New Roman"/>
        </w:rPr>
        <w:t xml:space="preserve"> [</w:t>
      </w:r>
      <w:r w:rsidR="004A5BC7">
        <w:rPr>
          <w:rFonts w:ascii="Times New Roman" w:hAnsi="Times New Roman" w:cs="Times New Roman"/>
        </w:rPr>
        <w:t>...</w:t>
      </w:r>
      <w:r w:rsidRPr="003C18A8">
        <w:rPr>
          <w:rFonts w:ascii="Times New Roman" w:hAnsi="Times New Roman" w:cs="Times New Roman"/>
        </w:rPr>
        <w:t xml:space="preserve">], sem que tal iniciativa importe em atuação, no mérito, em nome das autoras/apeladas </w:t>
      </w:r>
      <w:r w:rsidR="004A5BC7">
        <w:rPr>
          <w:rFonts w:ascii="Times New Roman" w:hAnsi="Times New Roman" w:cs="Times New Roman"/>
        </w:rPr>
        <w:t>...</w:t>
      </w:r>
      <w:r w:rsidRPr="003C18A8">
        <w:rPr>
          <w:rFonts w:ascii="Times New Roman" w:hAnsi="Times New Roman" w:cs="Times New Roman"/>
        </w:rPr>
        <w:t xml:space="preserve"> e </w:t>
      </w:r>
      <w:r w:rsidR="004A5BC7">
        <w:rPr>
          <w:rFonts w:ascii="Times New Roman" w:hAnsi="Times New Roman" w:cs="Times New Roman"/>
        </w:rPr>
        <w:t>...</w:t>
      </w:r>
    </w:p>
    <w:p w14:paraId="2C0626EA" w14:textId="15E4E63D"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Os honorários de sucumbência não pertencem à parte, mas ao advogado, constituindo direito próprio e autônomo, na forma do art. 23 da Lei nº 8.906/94- Estatuto da Advocacia e da OAB, </w:t>
      </w:r>
      <w:proofErr w:type="spellStart"/>
      <w:r w:rsidRPr="003C18A8">
        <w:rPr>
          <w:rFonts w:ascii="Times New Roman" w:hAnsi="Times New Roman" w:cs="Times New Roman"/>
        </w:rPr>
        <w:t>verbis</w:t>
      </w:r>
      <w:proofErr w:type="spellEnd"/>
      <w:r w:rsidRPr="003C18A8">
        <w:rPr>
          <w:rFonts w:ascii="Times New Roman" w:hAnsi="Times New Roman" w:cs="Times New Roman"/>
        </w:rPr>
        <w:t>: "</w:t>
      </w:r>
      <w:r w:rsidRPr="004A5BC7">
        <w:rPr>
          <w:rFonts w:ascii="Times New Roman" w:hAnsi="Times New Roman" w:cs="Times New Roman"/>
          <w:i/>
          <w:iCs/>
        </w:rPr>
        <w:t>Os honorários incluídos na condenação, por arbitramento ou sucumbência, pertencem ao advogado, tendo este direito autônomo para executar a sentença nesta parte [...]</w:t>
      </w:r>
      <w:r w:rsidRPr="003C18A8">
        <w:rPr>
          <w:rFonts w:ascii="Times New Roman" w:hAnsi="Times New Roman" w:cs="Times New Roman"/>
        </w:rPr>
        <w:t>". No mesmo sentido, o art. 85, §14, do CPC atribui a essa verba natureza alimentar e a qualifica como direito do advogado, e não da parte.</w:t>
      </w:r>
    </w:p>
    <w:p w14:paraId="0A0892FA" w14:textId="0961790C"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Sendo direito próprio, e não interesse meramente reflexo, a jurisprudência do v. SUPERIOR TRIBUNAL DE JUSTIÇA do colendo TRIBUNAL DE JUSTIÇA DE SANTA </w:t>
      </w:r>
      <w:proofErr w:type="gramStart"/>
      <w:r w:rsidRPr="003C18A8">
        <w:rPr>
          <w:rFonts w:ascii="Times New Roman" w:hAnsi="Times New Roman" w:cs="Times New Roman"/>
        </w:rPr>
        <w:t>CATARINA  reconhecem</w:t>
      </w:r>
      <w:proofErr w:type="gramEnd"/>
      <w:r w:rsidRPr="003C18A8">
        <w:rPr>
          <w:rFonts w:ascii="Times New Roman" w:hAnsi="Times New Roman" w:cs="Times New Roman"/>
        </w:rPr>
        <w:t xml:space="preserve"> legitimidade recursal concorrente entre a parte e o causídico para discutir e postular a majoração dos honorários sucumbenciais, subsistindo o direito do advogado de recorrer ainda que a parte, satisfeita com o resultado do mérito, não tenha interesse em fazê-lo:</w:t>
      </w:r>
    </w:p>
    <w:p w14:paraId="4288BA17" w14:textId="0AA9A3BC" w:rsidR="003C18A8" w:rsidRPr="004A5BC7" w:rsidRDefault="004A5BC7" w:rsidP="003C18A8">
      <w:pPr>
        <w:ind w:right="-568"/>
        <w:jc w:val="both"/>
        <w:rPr>
          <w:rFonts w:ascii="Times New Roman" w:hAnsi="Times New Roman" w:cs="Times New Roman"/>
          <w:i/>
          <w:iCs/>
        </w:rPr>
      </w:pPr>
      <w:r>
        <w:rPr>
          <w:rFonts w:ascii="Times New Roman" w:hAnsi="Times New Roman" w:cs="Times New Roman"/>
        </w:rPr>
        <w:t>“</w:t>
      </w:r>
      <w:r w:rsidR="003C18A8" w:rsidRPr="004A5BC7">
        <w:rPr>
          <w:rFonts w:ascii="Times New Roman" w:hAnsi="Times New Roman" w:cs="Times New Roman"/>
          <w:i/>
          <w:iCs/>
        </w:rPr>
        <w:t xml:space="preserve">Direito processual civil. Recurso especial. Honorários advocatícios sucumbenciais. Substabelecimento sem reserva. Legitimidade recursal. Recurso provido. I. Caso em </w:t>
      </w:r>
      <w:proofErr w:type="gramStart"/>
      <w:r w:rsidR="003C18A8" w:rsidRPr="004A5BC7">
        <w:rPr>
          <w:rFonts w:ascii="Times New Roman" w:hAnsi="Times New Roman" w:cs="Times New Roman"/>
          <w:i/>
          <w:iCs/>
        </w:rPr>
        <w:t xml:space="preserve">exame </w:t>
      </w:r>
      <w:r w:rsidRPr="004A5BC7">
        <w:rPr>
          <w:rFonts w:ascii="Times New Roman" w:hAnsi="Times New Roman" w:cs="Times New Roman"/>
          <w:i/>
          <w:iCs/>
        </w:rPr>
        <w:t xml:space="preserve"> </w:t>
      </w:r>
      <w:r w:rsidR="003C18A8" w:rsidRPr="004A5BC7">
        <w:rPr>
          <w:rFonts w:ascii="Times New Roman" w:hAnsi="Times New Roman" w:cs="Times New Roman"/>
          <w:i/>
          <w:iCs/>
        </w:rPr>
        <w:t>1</w:t>
      </w:r>
      <w:proofErr w:type="gramEnd"/>
      <w:r w:rsidR="003C18A8" w:rsidRPr="004A5BC7">
        <w:rPr>
          <w:rFonts w:ascii="Times New Roman" w:hAnsi="Times New Roman" w:cs="Times New Roman"/>
          <w:i/>
          <w:iCs/>
        </w:rPr>
        <w:t xml:space="preserve">. Recurso especial interposto contra acórdão do Tribunal de Justiça do Estado de São Paulo que não conheceu de apelação interposta por escritório de advocacia, sob o fundamento de ilegitimidade recursal, em razão de substabelecimento sem reserva realizado antes da prolação da sentença. 2. O recorrente sustenta possuir legitimidade para pleitear honorários </w:t>
      </w:r>
      <w:r w:rsidR="003C18A8" w:rsidRPr="004A5BC7">
        <w:rPr>
          <w:rFonts w:ascii="Times New Roman" w:hAnsi="Times New Roman" w:cs="Times New Roman"/>
          <w:i/>
          <w:iCs/>
        </w:rPr>
        <w:lastRenderedPageBreak/>
        <w:t xml:space="preserve">advocatícios sucumbenciais, com base no direito autônomo do advogado sobre a verba honorária, conforme previsto no art. 23 da Lei nº 8 .906/94 e no art. 85, § 14º, do </w:t>
      </w:r>
      <w:proofErr w:type="gramStart"/>
      <w:r w:rsidR="003C18A8" w:rsidRPr="004A5BC7">
        <w:rPr>
          <w:rFonts w:ascii="Times New Roman" w:hAnsi="Times New Roman" w:cs="Times New Roman"/>
          <w:i/>
          <w:iCs/>
        </w:rPr>
        <w:t>CPC.II.</w:t>
      </w:r>
      <w:proofErr w:type="gramEnd"/>
      <w:r w:rsidR="003C18A8" w:rsidRPr="004A5BC7">
        <w:rPr>
          <w:rFonts w:ascii="Times New Roman" w:hAnsi="Times New Roman" w:cs="Times New Roman"/>
          <w:i/>
          <w:iCs/>
        </w:rPr>
        <w:t xml:space="preserve"> </w:t>
      </w:r>
    </w:p>
    <w:p w14:paraId="4D02D7B8"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Questão em discussão </w:t>
      </w:r>
    </w:p>
    <w:p w14:paraId="011A8CC8"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3. A questão em discussão consiste em saber se o substabelecimento sem reservas, realizado antes da prolação da sentença, retira do advogado substabelecente a legitimidade recursal para pleitear o arbitramento ou a majoração de honorários advocatícios sucumbenciais. </w:t>
      </w:r>
    </w:p>
    <w:p w14:paraId="3B1A68D8" w14:textId="111E3380"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III. Razões de decidir </w:t>
      </w:r>
    </w:p>
    <w:p w14:paraId="7F34F36B"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4. O direito autônomo do advogado sobre os honorários sucumbenciais, previsto no </w:t>
      </w:r>
      <w:proofErr w:type="spellStart"/>
      <w:proofErr w:type="gramStart"/>
      <w:r w:rsidRPr="004A5BC7">
        <w:rPr>
          <w:rFonts w:ascii="Times New Roman" w:hAnsi="Times New Roman" w:cs="Times New Roman"/>
          <w:i/>
          <w:iCs/>
        </w:rPr>
        <w:t>art</w:t>
      </w:r>
      <w:proofErr w:type="spellEnd"/>
      <w:r w:rsidRPr="004A5BC7">
        <w:rPr>
          <w:rFonts w:ascii="Times New Roman" w:hAnsi="Times New Roman" w:cs="Times New Roman"/>
          <w:i/>
          <w:iCs/>
        </w:rPr>
        <w:t xml:space="preserve"> .</w:t>
      </w:r>
      <w:proofErr w:type="gramEnd"/>
      <w:r w:rsidRPr="004A5BC7">
        <w:rPr>
          <w:rFonts w:ascii="Times New Roman" w:hAnsi="Times New Roman" w:cs="Times New Roman"/>
          <w:i/>
          <w:iCs/>
        </w:rPr>
        <w:t xml:space="preserve"> 23 da Lei nº 8.906/94 e no art. 85, § 14º, do CPC, confere legitimidade para interposição de recurso visando exclusivamente discutir a matéria referente aos honorários advocatícios, independentemente da vontade da parte representada. </w:t>
      </w:r>
    </w:p>
    <w:p w14:paraId="2D6B3E9E"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5. Os honorários sucumbenciais representam remuneração pelo serviço prestado pelo profissional que atuou regularmente no processo, sendo devidos a todos os advogados que, em qualquer momento ao longo da tramitação processual, tenham efetivamente exercido sua função. </w:t>
      </w:r>
    </w:p>
    <w:p w14:paraId="7850D201" w14:textId="4173C375"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6. Se o advogado que atuou no processo, mesmo após ter realizado substabelecimento sem reservas, mantém direito autônomo ao recebimento de honorários sucumbenciais, em coparticipação com os advogados substabelecidos, então resta configurada a sua legitimidade recursal para interposição de recurso para impugnar os honorários sucumbenciais fixados em sentença, uma vez que defende, em nome próprio, direito próprio, nos termos do art. 996 do CPC. </w:t>
      </w:r>
    </w:p>
    <w:p w14:paraId="4F957882"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7.A decisão que resolve a relação jurídica -processual secundária, referente aos honorários sucumbenciais, atinge direito de que se </w:t>
      </w:r>
      <w:proofErr w:type="spellStart"/>
      <w:r w:rsidRPr="004A5BC7">
        <w:rPr>
          <w:rFonts w:ascii="Times New Roman" w:hAnsi="Times New Roman" w:cs="Times New Roman"/>
          <w:i/>
          <w:iCs/>
        </w:rPr>
        <w:t>afirma</w:t>
      </w:r>
      <w:proofErr w:type="spellEnd"/>
      <w:r w:rsidRPr="004A5BC7">
        <w:rPr>
          <w:rFonts w:ascii="Times New Roman" w:hAnsi="Times New Roman" w:cs="Times New Roman"/>
          <w:i/>
          <w:iCs/>
        </w:rPr>
        <w:t xml:space="preserve"> titular o advogado, caracterizando interesse jurídico apto a fundamentar a legitimidade recursal. </w:t>
      </w:r>
    </w:p>
    <w:p w14:paraId="343CEEB7"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IV. Dispositivo e tese </w:t>
      </w:r>
    </w:p>
    <w:p w14:paraId="209EB401" w14:textId="58A5B4FD"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8.Resultado do Julgamento: Recurso provido para reformar parcialmente o acórdão impugnado, reconhecendo a legitimidade recursal do recorrente e determinando a devolução dos autos ao Tribunal de origem para julgamento da apelação cível interposta, desde que preenchidos os demais pressupostos recursais. </w:t>
      </w:r>
    </w:p>
    <w:p w14:paraId="036C55D2"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Tese de julgamento: </w:t>
      </w:r>
    </w:p>
    <w:p w14:paraId="2D506993" w14:textId="77777777" w:rsidR="004A5BC7" w:rsidRDefault="003C18A8" w:rsidP="003C18A8">
      <w:pPr>
        <w:ind w:right="-568"/>
        <w:jc w:val="both"/>
        <w:rPr>
          <w:rFonts w:ascii="Times New Roman" w:hAnsi="Times New Roman" w:cs="Times New Roman"/>
        </w:rPr>
      </w:pPr>
      <w:r w:rsidRPr="004A5BC7">
        <w:rPr>
          <w:rFonts w:ascii="Times New Roman" w:hAnsi="Times New Roman" w:cs="Times New Roman"/>
          <w:i/>
          <w:iCs/>
        </w:rPr>
        <w:t>1.O substabelecimento sem reservas não retira do advogado substabelecente o direito autônomo ao recebimento de honorários sucumbenciais, configurando sua legitimidade recursal para impugnar os honorários fixados em sentença</w:t>
      </w:r>
      <w:r w:rsidRPr="003C18A8">
        <w:rPr>
          <w:rFonts w:ascii="Times New Roman" w:hAnsi="Times New Roman" w:cs="Times New Roman"/>
        </w:rPr>
        <w:t>.</w:t>
      </w:r>
      <w:r w:rsidR="004A5BC7">
        <w:rPr>
          <w:rFonts w:ascii="Times New Roman" w:hAnsi="Times New Roman" w:cs="Times New Roman"/>
        </w:rPr>
        <w:t xml:space="preserve">” </w:t>
      </w:r>
      <w:r w:rsidRPr="003C18A8">
        <w:rPr>
          <w:rFonts w:ascii="Times New Roman" w:hAnsi="Times New Roman" w:cs="Times New Roman"/>
        </w:rPr>
        <w:t>[STJ, REsp 1961698 SP 2021/0270167-3, Rel. Ministro HUMBERTO MARTINS, TERCEIRA TURMA, DJEN 30/10/2025].</w:t>
      </w:r>
    </w:p>
    <w:p w14:paraId="232D38E1" w14:textId="1E767A53" w:rsidR="003C18A8" w:rsidRPr="003C18A8" w:rsidRDefault="004A5BC7" w:rsidP="003C18A8">
      <w:pPr>
        <w:ind w:right="-568"/>
        <w:jc w:val="both"/>
        <w:rPr>
          <w:rFonts w:ascii="Times New Roman" w:hAnsi="Times New Roman" w:cs="Times New Roman"/>
        </w:rPr>
      </w:pPr>
      <w:r>
        <w:rPr>
          <w:rFonts w:ascii="Times New Roman" w:hAnsi="Times New Roman" w:cs="Times New Roman"/>
        </w:rPr>
        <w:t>“</w:t>
      </w:r>
      <w:r w:rsidR="003C18A8" w:rsidRPr="003C18A8">
        <w:rPr>
          <w:rFonts w:ascii="Times New Roman" w:hAnsi="Times New Roman" w:cs="Times New Roman"/>
        </w:rPr>
        <w:t xml:space="preserve">APELAÇÕES CÍVEIS. AÇÃO DECLARATÓRIA DE INEXISTÊNCIA DE DÉBITO C/C INDENIZAÇÃO POR DANOS MORAIS. RECURSOS DE AMBAS AS PARTES. 1) </w:t>
      </w:r>
      <w:r w:rsidR="003C18A8" w:rsidRPr="003C18A8">
        <w:rPr>
          <w:rFonts w:ascii="Times New Roman" w:hAnsi="Times New Roman" w:cs="Times New Roman"/>
        </w:rPr>
        <w:lastRenderedPageBreak/>
        <w:t xml:space="preserve">APELOS DAS AUTORAS E DE SEU ADVOGADO. </w:t>
      </w:r>
      <w:r>
        <w:rPr>
          <w:rFonts w:ascii="Times New Roman" w:hAnsi="Times New Roman" w:cs="Times New Roman"/>
        </w:rPr>
        <w:t xml:space="preserve"> </w:t>
      </w:r>
      <w:r w:rsidR="003C18A8" w:rsidRPr="003C18A8">
        <w:rPr>
          <w:rFonts w:ascii="Times New Roman" w:hAnsi="Times New Roman" w:cs="Times New Roman"/>
        </w:rPr>
        <w:t>1.1) ADMISSIBILIDADE: RECURSO INTERPOSTO SOB A ÉGIDE DO CPC/15. APELO LIMITADO AOS HONORÁRIOS DO PROCURADOR. LEGITIMIDADE EXCLUSIVA DO PATRONO PARA PLEITEAR MAJORAÇÃO DE HONORÁRIOS ADVOCATÍCIOS. AUSÊNCIA DE LEGITIMIDADE RECURSAL DA DEMANDANTE...</w:t>
      </w:r>
      <w:r>
        <w:rPr>
          <w:rFonts w:ascii="Times New Roman" w:hAnsi="Times New Roman" w:cs="Times New Roman"/>
        </w:rPr>
        <w:t xml:space="preserve"> </w:t>
      </w:r>
      <w:r w:rsidR="003C18A8" w:rsidRPr="003C18A8">
        <w:rPr>
          <w:rFonts w:ascii="Times New Roman" w:hAnsi="Times New Roman" w:cs="Times New Roman"/>
        </w:rPr>
        <w:t>2) RECLAMO DO RÉU.</w:t>
      </w:r>
      <w:r>
        <w:rPr>
          <w:rFonts w:ascii="Times New Roman" w:hAnsi="Times New Roman" w:cs="Times New Roman"/>
        </w:rPr>
        <w:t xml:space="preserve">” </w:t>
      </w:r>
      <w:proofErr w:type="gramStart"/>
      <w:r w:rsidR="003C18A8" w:rsidRPr="003C18A8">
        <w:rPr>
          <w:rFonts w:ascii="Times New Roman" w:hAnsi="Times New Roman" w:cs="Times New Roman"/>
        </w:rPr>
        <w:t>[TJSC,  Apel</w:t>
      </w:r>
      <w:proofErr w:type="gramEnd"/>
      <w:r w:rsidR="003C18A8" w:rsidRPr="003C18A8">
        <w:rPr>
          <w:rFonts w:ascii="Times New Roman" w:hAnsi="Times New Roman" w:cs="Times New Roman"/>
        </w:rPr>
        <w:t xml:space="preserve">. Cível: 03103089420158240020, Rel. Des. Gerson </w:t>
      </w:r>
      <w:proofErr w:type="spellStart"/>
      <w:r w:rsidR="003C18A8" w:rsidRPr="003C18A8">
        <w:rPr>
          <w:rFonts w:ascii="Times New Roman" w:hAnsi="Times New Roman" w:cs="Times New Roman"/>
        </w:rPr>
        <w:t>Cherem</w:t>
      </w:r>
      <w:proofErr w:type="spellEnd"/>
      <w:r w:rsidR="003C18A8" w:rsidRPr="003C18A8">
        <w:rPr>
          <w:rFonts w:ascii="Times New Roman" w:hAnsi="Times New Roman" w:cs="Times New Roman"/>
        </w:rPr>
        <w:t xml:space="preserve"> </w:t>
      </w:r>
      <w:proofErr w:type="gramStart"/>
      <w:r w:rsidR="003C18A8" w:rsidRPr="003C18A8">
        <w:rPr>
          <w:rFonts w:ascii="Times New Roman" w:hAnsi="Times New Roman" w:cs="Times New Roman"/>
        </w:rPr>
        <w:t>II,  Primeira</w:t>
      </w:r>
      <w:proofErr w:type="gramEnd"/>
      <w:r w:rsidR="003C18A8" w:rsidRPr="003C18A8">
        <w:rPr>
          <w:rFonts w:ascii="Times New Roman" w:hAnsi="Times New Roman" w:cs="Times New Roman"/>
        </w:rPr>
        <w:t xml:space="preserve"> Câmara de Direito Civil, </w:t>
      </w:r>
      <w:proofErr w:type="gramStart"/>
      <w:r w:rsidR="003C18A8" w:rsidRPr="003C18A8">
        <w:rPr>
          <w:rFonts w:ascii="Times New Roman" w:hAnsi="Times New Roman" w:cs="Times New Roman"/>
        </w:rPr>
        <w:t>Julgado</w:t>
      </w:r>
      <w:proofErr w:type="gramEnd"/>
      <w:r w:rsidR="003C18A8" w:rsidRPr="003C18A8">
        <w:rPr>
          <w:rFonts w:ascii="Times New Roman" w:hAnsi="Times New Roman" w:cs="Times New Roman"/>
        </w:rPr>
        <w:t xml:space="preserve"> 10.09.2020].</w:t>
      </w:r>
    </w:p>
    <w:p w14:paraId="4C1D3F71" w14:textId="3FB79D59" w:rsidR="003C18A8" w:rsidRPr="003C18A8" w:rsidRDefault="004A5BC7" w:rsidP="003C18A8">
      <w:pPr>
        <w:ind w:right="-568"/>
        <w:jc w:val="both"/>
        <w:rPr>
          <w:rFonts w:ascii="Times New Roman" w:hAnsi="Times New Roman" w:cs="Times New Roman"/>
        </w:rPr>
      </w:pPr>
      <w:r>
        <w:rPr>
          <w:rFonts w:ascii="Times New Roman" w:hAnsi="Times New Roman" w:cs="Times New Roman"/>
        </w:rPr>
        <w:t>“</w:t>
      </w:r>
      <w:r w:rsidR="003C18A8" w:rsidRPr="004A5BC7">
        <w:rPr>
          <w:rFonts w:ascii="Times New Roman" w:hAnsi="Times New Roman" w:cs="Times New Roman"/>
          <w:i/>
          <w:iCs/>
        </w:rPr>
        <w:t>AGRAVO DE INSTRUMENTO. CUMPRIMENTO DE SENTENÇA. IMPUGNAÇÃO REJEITADA. AVENTADA ILEGITIMIDADE DA PARTE PARA EXIGIR OS HONORÁRIOS ADVOCATÍCIOS SUCUMBENCIAIS. INSUBSISTÊNCIA. LEGITIMIDADE ATIVA CONCORRENTE DA PARTE E DO CAUSÍDICO PARA O AJUIZAMENTO DA DEMANDA EXECUTIVA. PRECEDENTES DO SUPERIOR TRIBUNAL DE JUSTIÇA E DESTA CORTE. DECISÃO MANTIDA. HONORÁRIOS RECURSAIS INCABÍVEIS NA ESPÉCIE. RECURSO CONHECIDO E DESPROVIDO</w:t>
      </w:r>
      <w:r w:rsidR="003C18A8" w:rsidRPr="003C18A8">
        <w:rPr>
          <w:rFonts w:ascii="Times New Roman" w:hAnsi="Times New Roman" w:cs="Times New Roman"/>
        </w:rPr>
        <w:t>.</w:t>
      </w:r>
      <w:r>
        <w:rPr>
          <w:rFonts w:ascii="Times New Roman" w:hAnsi="Times New Roman" w:cs="Times New Roman"/>
        </w:rPr>
        <w:t xml:space="preserve">” </w:t>
      </w:r>
      <w:proofErr w:type="gramStart"/>
      <w:r w:rsidR="003C18A8" w:rsidRPr="003C18A8">
        <w:rPr>
          <w:rFonts w:ascii="Times New Roman" w:hAnsi="Times New Roman" w:cs="Times New Roman"/>
        </w:rPr>
        <w:t>[</w:t>
      </w:r>
      <w:proofErr w:type="gramEnd"/>
      <w:r w:rsidR="003C18A8" w:rsidRPr="003C18A8">
        <w:rPr>
          <w:rFonts w:ascii="Times New Roman" w:hAnsi="Times New Roman" w:cs="Times New Roman"/>
        </w:rPr>
        <w:t xml:space="preserve">TJSC, Agravo de Instrumento 50370202820228240000, Rel. Des. Sérgio Izidoro </w:t>
      </w:r>
      <w:proofErr w:type="spellStart"/>
      <w:r w:rsidR="003C18A8" w:rsidRPr="003C18A8">
        <w:rPr>
          <w:rFonts w:ascii="Times New Roman" w:hAnsi="Times New Roman" w:cs="Times New Roman"/>
        </w:rPr>
        <w:t>Heil</w:t>
      </w:r>
      <w:proofErr w:type="spellEnd"/>
      <w:r w:rsidR="003C18A8" w:rsidRPr="003C18A8">
        <w:rPr>
          <w:rFonts w:ascii="Times New Roman" w:hAnsi="Times New Roman" w:cs="Times New Roman"/>
        </w:rPr>
        <w:t>, Terceira Câmara de Direito Civil, Julgado 24.04.2024]</w:t>
      </w:r>
    </w:p>
    <w:p w14:paraId="693740B9" w14:textId="15822574" w:rsidR="003C18A8" w:rsidRPr="003C18A8" w:rsidRDefault="004A5BC7" w:rsidP="003C18A8">
      <w:pPr>
        <w:ind w:right="-568"/>
        <w:jc w:val="both"/>
        <w:rPr>
          <w:rFonts w:ascii="Times New Roman" w:hAnsi="Times New Roman" w:cs="Times New Roman"/>
        </w:rPr>
      </w:pPr>
      <w:r>
        <w:rPr>
          <w:rFonts w:ascii="Times New Roman" w:hAnsi="Times New Roman" w:cs="Times New Roman"/>
        </w:rPr>
        <w:t>“</w:t>
      </w:r>
      <w:r w:rsidR="003C18A8" w:rsidRPr="004A5BC7">
        <w:rPr>
          <w:rFonts w:ascii="Times New Roman" w:hAnsi="Times New Roman" w:cs="Times New Roman"/>
          <w:i/>
          <w:iCs/>
        </w:rPr>
        <w:t>AGRAVO DE INSTRUMENTO. CUMPRIMENTO DE SENTENÇA. ACOLHIMENTO PARCIAL DA IMPUGNAÇÃO. RECONHECIMENTO DO EXCESSO EXECUTIVO. RECURSO DA EMPRESA DEVEDORA. PLEITO DE EXTINÇÃO DO FEITO NA PARTE RELATIVA À COBRANÇA DOS HONORÁRIOS ADVOCATÍCIOS DE SUCUMBÊNCIA DA FASE DE CONHECIMENTO. ALEGADA A NECESSIDADE DE PARTICIPAÇÃO DO ADVOGADO DA CREDORA NO POLO ATIVO DO CUMPRIMENTO DE SENTENÇA. TESE REJEITADA. LEGITIMIDADE ATIVA CONCORRENTE. POSSIBILIDADE DE AJUIZAMENTO DA EXECUÇÃO APENAS EM NOME DA PARTE PARA COBRANÇA DO PRINCIPAL E DOS HONORÁRIOS DE SUCUMBÊNCIA. INTERPRETAÇÃO DOS ARTS. 23 E 24, § 1º, DA LEI N. 8.906/1994. PRECEDENTES DO SUPERIOR TRIBUNAL DE JUSTIÇA E DESTA CORTE. MANUTENÇÃO DO DECISUM NO PONTO</w:t>
      </w:r>
      <w:r w:rsidR="003C18A8" w:rsidRPr="003C18A8">
        <w:rPr>
          <w:rFonts w:ascii="Times New Roman" w:hAnsi="Times New Roman" w:cs="Times New Roman"/>
        </w:rPr>
        <w:t>.</w:t>
      </w:r>
      <w:r>
        <w:rPr>
          <w:rFonts w:ascii="Times New Roman" w:hAnsi="Times New Roman" w:cs="Times New Roman"/>
        </w:rPr>
        <w:t xml:space="preserve">” </w:t>
      </w:r>
      <w:proofErr w:type="gramStart"/>
      <w:r w:rsidR="003C18A8" w:rsidRPr="003C18A8">
        <w:rPr>
          <w:rFonts w:ascii="Times New Roman" w:hAnsi="Times New Roman" w:cs="Times New Roman"/>
        </w:rPr>
        <w:t>[</w:t>
      </w:r>
      <w:proofErr w:type="gramEnd"/>
      <w:r w:rsidR="003C18A8" w:rsidRPr="003C18A8">
        <w:rPr>
          <w:rFonts w:ascii="Times New Roman" w:hAnsi="Times New Roman" w:cs="Times New Roman"/>
        </w:rPr>
        <w:t xml:space="preserve">TJSC, Agravo de Instrumento n. 5046450-38.2021.8.24.0000, rel. Luiz Felipe Schuch, Quarta Câmara de Direito Civil, Julgado 22-06-2023] </w:t>
      </w:r>
    </w:p>
    <w:p w14:paraId="33C14968" w14:textId="700F4D7E" w:rsidR="003C18A8" w:rsidRPr="003C18A8" w:rsidRDefault="004A5BC7" w:rsidP="003C18A8">
      <w:pPr>
        <w:ind w:right="-568"/>
        <w:jc w:val="both"/>
        <w:rPr>
          <w:rFonts w:ascii="Times New Roman" w:hAnsi="Times New Roman" w:cs="Times New Roman"/>
        </w:rPr>
      </w:pPr>
      <w:r>
        <w:rPr>
          <w:rFonts w:ascii="Times New Roman" w:hAnsi="Times New Roman" w:cs="Times New Roman"/>
        </w:rPr>
        <w:t>“</w:t>
      </w:r>
      <w:r w:rsidR="003C18A8" w:rsidRPr="004A5BC7">
        <w:rPr>
          <w:rFonts w:ascii="Times New Roman" w:hAnsi="Times New Roman" w:cs="Times New Roman"/>
          <w:i/>
          <w:iCs/>
        </w:rPr>
        <w:t xml:space="preserve">PROCESSUAL CIVIL - CUMPRIMENTO DE SENTENÇA - IMPUGNAÇÃO - HONORÁRIOS ADVOCATÍCIOS SUCUMBENCIAIS - COBRANÇA - LEGITIMIDADE - PRESENÇA - LIQUIDAÇÃO - SIMPLES CÁLCULO - POSSIBILIDADE 1 Conforme já definido por este Órgão Fracionário </w:t>
      </w:r>
      <w:proofErr w:type="spellStart"/>
      <w:r w:rsidR="003C18A8" w:rsidRPr="004A5BC7">
        <w:rPr>
          <w:rFonts w:ascii="Times New Roman" w:hAnsi="Times New Roman" w:cs="Times New Roman"/>
          <w:i/>
          <w:iCs/>
        </w:rPr>
        <w:t>'a</w:t>
      </w:r>
      <w:proofErr w:type="spellEnd"/>
      <w:r w:rsidR="003C18A8" w:rsidRPr="004A5BC7">
        <w:rPr>
          <w:rFonts w:ascii="Times New Roman" w:hAnsi="Times New Roman" w:cs="Times New Roman"/>
          <w:i/>
          <w:iCs/>
        </w:rPr>
        <w:t xml:space="preserve"> jurisprudência do STJ é tranquila no sentido de que, apesar de os honorários advocatícios constituírem direito autônomo do advogado, não se exclui da parte a legitimidade concorrente para discuti-los [...].' (REsp n. 1777628/SE, Rel. Min. HERMAN BENJAMIN, DJE 1-3-2019)"(AI n. 5039687-21.2021.8.24.0000, Des. Ricardo Fontes).</w:t>
      </w:r>
      <w:r w:rsidR="003C18A8" w:rsidRPr="003C18A8">
        <w:rPr>
          <w:rFonts w:ascii="Times New Roman" w:hAnsi="Times New Roman" w:cs="Times New Roman"/>
        </w:rPr>
        <w:t xml:space="preserve"> [...]</w:t>
      </w:r>
      <w:r>
        <w:rPr>
          <w:rFonts w:ascii="Times New Roman" w:hAnsi="Times New Roman" w:cs="Times New Roman"/>
        </w:rPr>
        <w:t xml:space="preserve">” </w:t>
      </w:r>
      <w:r w:rsidR="003C18A8" w:rsidRPr="003C18A8">
        <w:rPr>
          <w:rFonts w:ascii="Times New Roman" w:hAnsi="Times New Roman" w:cs="Times New Roman"/>
        </w:rPr>
        <w:t xml:space="preserve">[TJSC, Agravo de Instrumento n. 5040763-46.2022.8.24.0000, rel. LUIZ CÉZAR MEDEIROS, QUINTA CÂMARA DE DIREITO CIVIL, </w:t>
      </w:r>
      <w:proofErr w:type="gramStart"/>
      <w:r w:rsidR="003C18A8" w:rsidRPr="003C18A8">
        <w:rPr>
          <w:rFonts w:ascii="Times New Roman" w:hAnsi="Times New Roman" w:cs="Times New Roman"/>
        </w:rPr>
        <w:t>Julgado</w:t>
      </w:r>
      <w:proofErr w:type="gramEnd"/>
      <w:r w:rsidR="003C18A8" w:rsidRPr="003C18A8">
        <w:rPr>
          <w:rFonts w:ascii="Times New Roman" w:hAnsi="Times New Roman" w:cs="Times New Roman"/>
        </w:rPr>
        <w:t xml:space="preserve"> 20-09-2022]</w:t>
      </w:r>
    </w:p>
    <w:p w14:paraId="423A70C3" w14:textId="69CA946E"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Destarte, patente a legitimidade recursal do escritório de advocacia, ora recorrente.</w:t>
      </w:r>
    </w:p>
    <w:p w14:paraId="78FE4207" w14:textId="1BAD32E7" w:rsidR="003C18A8" w:rsidRPr="004A5BC7" w:rsidRDefault="003C18A8" w:rsidP="003C18A8">
      <w:pPr>
        <w:ind w:right="-568"/>
        <w:jc w:val="both"/>
        <w:rPr>
          <w:rFonts w:ascii="Times New Roman" w:hAnsi="Times New Roman" w:cs="Times New Roman"/>
          <w:b/>
          <w:bCs/>
        </w:rPr>
      </w:pPr>
      <w:r w:rsidRPr="004A5BC7">
        <w:rPr>
          <w:rFonts w:ascii="Times New Roman" w:hAnsi="Times New Roman" w:cs="Times New Roman"/>
          <w:b/>
          <w:bCs/>
        </w:rPr>
        <w:t>III-</w:t>
      </w:r>
      <w:r w:rsidRPr="004A5BC7">
        <w:rPr>
          <w:rFonts w:ascii="Times New Roman" w:hAnsi="Times New Roman" w:cs="Times New Roman"/>
          <w:b/>
          <w:bCs/>
        </w:rPr>
        <w:tab/>
        <w:t>A REFORMA DOS HONORÁRIOS ADVOCATÍCIOS SUCUMBENCIAIS: INAPLICABILIDADE DO § 8º E ADSTRIÇÃO AO § 2º DO ART. 85 DO CPC</w:t>
      </w:r>
    </w:p>
    <w:p w14:paraId="778F1A61" w14:textId="6FB9D151"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lastRenderedPageBreak/>
        <w:t xml:space="preserve">A r. sentença merece reforma no tocante à verba honorária. Ao arbitrar os honorários sucumbenciais em R$ </w:t>
      </w:r>
      <w:r w:rsidR="004A5BC7">
        <w:rPr>
          <w:rFonts w:ascii="Times New Roman" w:hAnsi="Times New Roman" w:cs="Times New Roman"/>
        </w:rPr>
        <w:t>...</w:t>
      </w:r>
      <w:r w:rsidRPr="003C18A8">
        <w:rPr>
          <w:rFonts w:ascii="Times New Roman" w:hAnsi="Times New Roman" w:cs="Times New Roman"/>
        </w:rPr>
        <w:t xml:space="preserve"> por apreciação equitativa, o Juízo de origem violou expressamente a literalidade do art. 85 do CPC e a tese vinculante firmada pelo STJ no Tema Repetitivo 1.076, </w:t>
      </w:r>
      <w:r w:rsidRPr="004A5BC7">
        <w:rPr>
          <w:rFonts w:ascii="Times New Roman" w:hAnsi="Times New Roman" w:cs="Times New Roman"/>
          <w:i/>
          <w:iCs/>
        </w:rPr>
        <w:t xml:space="preserve">data </w:t>
      </w:r>
      <w:proofErr w:type="spellStart"/>
      <w:r w:rsidRPr="004A5BC7">
        <w:rPr>
          <w:rFonts w:ascii="Times New Roman" w:hAnsi="Times New Roman" w:cs="Times New Roman"/>
          <w:i/>
          <w:iCs/>
        </w:rPr>
        <w:t>venia</w:t>
      </w:r>
      <w:proofErr w:type="spellEnd"/>
      <w:r w:rsidRPr="003C18A8">
        <w:rPr>
          <w:rFonts w:ascii="Times New Roman" w:hAnsi="Times New Roman" w:cs="Times New Roman"/>
        </w:rPr>
        <w:t xml:space="preserve">. </w:t>
      </w:r>
    </w:p>
    <w:p w14:paraId="751BFA24" w14:textId="526BBF03"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Diante de uma condenação líquida expressiva no valor de R$ </w:t>
      </w:r>
      <w:r w:rsidR="004A5BC7">
        <w:rPr>
          <w:rFonts w:ascii="Times New Roman" w:hAnsi="Times New Roman" w:cs="Times New Roman"/>
        </w:rPr>
        <w:t>...</w:t>
      </w:r>
      <w:r w:rsidRPr="003C18A8">
        <w:rPr>
          <w:rFonts w:ascii="Times New Roman" w:hAnsi="Times New Roman" w:cs="Times New Roman"/>
        </w:rPr>
        <w:t xml:space="preserve"> [</w:t>
      </w:r>
      <w:r w:rsidR="004A5BC7">
        <w:rPr>
          <w:rFonts w:ascii="Times New Roman" w:hAnsi="Times New Roman" w:cs="Times New Roman"/>
        </w:rPr>
        <w:t>...</w:t>
      </w:r>
      <w:r w:rsidRPr="003C18A8">
        <w:rPr>
          <w:rFonts w:ascii="Times New Roman" w:hAnsi="Times New Roman" w:cs="Times New Roman"/>
        </w:rPr>
        <w:t xml:space="preserve">], afasta-se por completo a hipótese de proveito econômico inestimável, irrisório ou valor da causa muito baixo, o que torna a aplicação do § 8º do art. 85 um manifesto erro de procedimento. </w:t>
      </w:r>
    </w:p>
    <w:p w14:paraId="4AF1C6A0" w14:textId="251BCE57" w:rsidR="003C18A8" w:rsidRPr="003C18A8" w:rsidRDefault="003C18A8" w:rsidP="003C18A8">
      <w:pPr>
        <w:ind w:right="-568"/>
        <w:jc w:val="both"/>
        <w:rPr>
          <w:rFonts w:ascii="Times New Roman" w:hAnsi="Times New Roman" w:cs="Times New Roman"/>
        </w:rPr>
      </w:pPr>
      <w:r w:rsidRPr="004A5BC7">
        <w:rPr>
          <w:rFonts w:ascii="Times New Roman" w:hAnsi="Times New Roman" w:cs="Times New Roman"/>
          <w:i/>
          <w:iCs/>
        </w:rPr>
        <w:t xml:space="preserve">Suma </w:t>
      </w:r>
      <w:proofErr w:type="spellStart"/>
      <w:r w:rsidRPr="004A5BC7">
        <w:rPr>
          <w:rFonts w:ascii="Times New Roman" w:hAnsi="Times New Roman" w:cs="Times New Roman"/>
          <w:i/>
          <w:iCs/>
        </w:rPr>
        <w:t>venia</w:t>
      </w:r>
      <w:proofErr w:type="spellEnd"/>
      <w:r w:rsidRPr="003C18A8">
        <w:rPr>
          <w:rFonts w:ascii="Times New Roman" w:hAnsi="Times New Roman" w:cs="Times New Roman"/>
        </w:rPr>
        <w:t xml:space="preserve">, não se aplica ao caso concreto a questão de equidade, pois não se vê presentes os requisitos predispostos no art. 85, §8º do CPC, considerando que o proveito econômico imediato obtido em favor do autor/recorrente não é irrisório inestimável ou de baixa montante [R$ </w:t>
      </w:r>
      <w:r w:rsidR="004A5BC7">
        <w:rPr>
          <w:rFonts w:ascii="Times New Roman" w:hAnsi="Times New Roman" w:cs="Times New Roman"/>
        </w:rPr>
        <w:t>...</w:t>
      </w:r>
      <w:r w:rsidRPr="003C18A8">
        <w:rPr>
          <w:rFonts w:ascii="Times New Roman" w:hAnsi="Times New Roman" w:cs="Times New Roman"/>
        </w:rPr>
        <w:t>], merecendo a verba honorária arbitramento condizente com esta realidade e pelos limites lançados.</w:t>
      </w:r>
    </w:p>
    <w:p w14:paraId="01E97B42" w14:textId="36C7A85D"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Sobre o tema, os autores Nelson Nery Jr. e Rosa Maria de Andrade Nery, em “</w:t>
      </w:r>
      <w:r w:rsidRPr="004A5BC7">
        <w:rPr>
          <w:rFonts w:ascii="Times New Roman" w:hAnsi="Times New Roman" w:cs="Times New Roman"/>
          <w:i/>
          <w:iCs/>
        </w:rPr>
        <w:t>Comentários ao Código de Processo Civil – 1ª Edição”, pág. 109, ensinam que a equidade é critério que somente deve ser utilizado nas causas de valor irrisório, muito baixo ou "inestimável, isto é, naquelas em que não se vislumbra benefício patrimonial imediato (v.g., nas causas de estado, de direito de família)</w:t>
      </w:r>
      <w:r w:rsidRPr="003C18A8">
        <w:rPr>
          <w:rFonts w:ascii="Times New Roman" w:hAnsi="Times New Roman" w:cs="Times New Roman"/>
        </w:rPr>
        <w:t xml:space="preserve">". </w:t>
      </w:r>
    </w:p>
    <w:p w14:paraId="707C11B8" w14:textId="036374F3"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Além do que, estando a verba honorária sucumbencial valorada nestes autos, fixado em R$ </w:t>
      </w:r>
      <w:r w:rsidR="004A5BC7">
        <w:rPr>
          <w:rFonts w:ascii="Times New Roman" w:hAnsi="Times New Roman" w:cs="Times New Roman"/>
        </w:rPr>
        <w:t>...</w:t>
      </w:r>
      <w:r w:rsidRPr="003C18A8">
        <w:rPr>
          <w:rFonts w:ascii="Times New Roman" w:hAnsi="Times New Roman" w:cs="Times New Roman"/>
        </w:rPr>
        <w:t xml:space="preserve"> [</w:t>
      </w:r>
      <w:r w:rsidR="004A5BC7">
        <w:rPr>
          <w:rFonts w:ascii="Times New Roman" w:hAnsi="Times New Roman" w:cs="Times New Roman"/>
        </w:rPr>
        <w:t>...</w:t>
      </w:r>
      <w:r w:rsidRPr="003C18A8">
        <w:rPr>
          <w:rFonts w:ascii="Times New Roman" w:hAnsi="Times New Roman" w:cs="Times New Roman"/>
        </w:rPr>
        <w:t xml:space="preserve">], não traz arbitramento razoável e condizente ao trabalho realizado, merecendo reparo, como de direito. </w:t>
      </w:r>
    </w:p>
    <w:p w14:paraId="166F2B4D" w14:textId="0F07BCE0"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Data máxima </w:t>
      </w:r>
      <w:proofErr w:type="spellStart"/>
      <w:r w:rsidRPr="004A5BC7">
        <w:rPr>
          <w:rFonts w:ascii="Times New Roman" w:hAnsi="Times New Roman" w:cs="Times New Roman"/>
          <w:i/>
          <w:iCs/>
        </w:rPr>
        <w:t>venia</w:t>
      </w:r>
      <w:proofErr w:type="spellEnd"/>
      <w:r w:rsidRPr="003C18A8">
        <w:rPr>
          <w:rFonts w:ascii="Times New Roman" w:hAnsi="Times New Roman" w:cs="Times New Roman"/>
        </w:rPr>
        <w:t xml:space="preserve">, na segunda fase da ação de exigir contas, apurado saldo credor e havendo condenação pecuniária líquida e expressiva, como o montante de R$ </w:t>
      </w:r>
      <w:r w:rsidR="004A5BC7">
        <w:rPr>
          <w:rFonts w:ascii="Times New Roman" w:hAnsi="Times New Roman" w:cs="Times New Roman"/>
        </w:rPr>
        <w:t>...</w:t>
      </w:r>
      <w:r w:rsidRPr="003C18A8">
        <w:rPr>
          <w:rFonts w:ascii="Times New Roman" w:hAnsi="Times New Roman" w:cs="Times New Roman"/>
        </w:rPr>
        <w:t xml:space="preserve"> [</w:t>
      </w:r>
      <w:r w:rsidR="004A5BC7">
        <w:rPr>
          <w:rFonts w:ascii="Times New Roman" w:hAnsi="Times New Roman" w:cs="Times New Roman"/>
        </w:rPr>
        <w:t>...</w:t>
      </w:r>
      <w:r w:rsidRPr="003C18A8">
        <w:rPr>
          <w:rFonts w:ascii="Times New Roman" w:hAnsi="Times New Roman" w:cs="Times New Roman"/>
        </w:rPr>
        <w:t>], a fixação dos honorários advocatícios sucumbenciais submete-se obrigatoriamente à regra geral do art. 85, § 2º, do Código de Processo Civil, e não ao § 8º do mesmo dispositivo legal.</w:t>
      </w:r>
    </w:p>
    <w:p w14:paraId="18E0BF07" w14:textId="36E58E9B"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O art. 85, § 2º, do CPC estabelece uma ordem estrita e sucessiva para a base de cálculo: primeiro, o valor da condenação; </w:t>
      </w:r>
      <w:proofErr w:type="gramStart"/>
      <w:r w:rsidRPr="003C18A8">
        <w:rPr>
          <w:rFonts w:ascii="Times New Roman" w:hAnsi="Times New Roman" w:cs="Times New Roman"/>
        </w:rPr>
        <w:t>segundo, o</w:t>
      </w:r>
      <w:proofErr w:type="gramEnd"/>
      <w:r w:rsidRPr="003C18A8">
        <w:rPr>
          <w:rFonts w:ascii="Times New Roman" w:hAnsi="Times New Roman" w:cs="Times New Roman"/>
        </w:rPr>
        <w:t xml:space="preserve"> proveito econômico; terceiro, o valor da causa. Havendo condenação líquida, é vedado avançar para outro critério, </w:t>
      </w:r>
      <w:proofErr w:type="spellStart"/>
      <w:r w:rsidRPr="004A5BC7">
        <w:rPr>
          <w:rFonts w:ascii="Times New Roman" w:hAnsi="Times New Roman" w:cs="Times New Roman"/>
          <w:i/>
          <w:iCs/>
        </w:rPr>
        <w:t>ex</w:t>
      </w:r>
      <w:proofErr w:type="spellEnd"/>
      <w:r w:rsidRPr="004A5BC7">
        <w:rPr>
          <w:rFonts w:ascii="Times New Roman" w:hAnsi="Times New Roman" w:cs="Times New Roman"/>
          <w:i/>
          <w:iCs/>
        </w:rPr>
        <w:t xml:space="preserve"> legis</w:t>
      </w:r>
      <w:r w:rsidRPr="003C18A8">
        <w:rPr>
          <w:rFonts w:ascii="Times New Roman" w:hAnsi="Times New Roman" w:cs="Times New Roman"/>
        </w:rPr>
        <w:t>:</w:t>
      </w:r>
    </w:p>
    <w:p w14:paraId="73D97C63"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CPC, art. 85. A sentença condenará o vencido a pagar honorários ao advogado do vencedor...</w:t>
      </w:r>
    </w:p>
    <w:p w14:paraId="7985C984"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§2º Os honorários serão fixados entre o mínimo de dez e o máximo de vinte por cento sobre o valor da condenação, do proveito econômico obtido ou, não sendo possível mensurá-lo, sobre o valor atualizado da causa, atendidos:</w:t>
      </w:r>
    </w:p>
    <w:p w14:paraId="1C90B362"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I - </w:t>
      </w:r>
      <w:proofErr w:type="gramStart"/>
      <w:r w:rsidRPr="004A5BC7">
        <w:rPr>
          <w:rFonts w:ascii="Times New Roman" w:hAnsi="Times New Roman" w:cs="Times New Roman"/>
          <w:i/>
          <w:iCs/>
        </w:rPr>
        <w:t>o</w:t>
      </w:r>
      <w:proofErr w:type="gramEnd"/>
      <w:r w:rsidRPr="004A5BC7">
        <w:rPr>
          <w:rFonts w:ascii="Times New Roman" w:hAnsi="Times New Roman" w:cs="Times New Roman"/>
          <w:i/>
          <w:iCs/>
        </w:rPr>
        <w:t xml:space="preserve"> grau de zelo do profissional;</w:t>
      </w:r>
    </w:p>
    <w:p w14:paraId="763E75C3"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 xml:space="preserve">II - </w:t>
      </w:r>
      <w:proofErr w:type="gramStart"/>
      <w:r w:rsidRPr="004A5BC7">
        <w:rPr>
          <w:rFonts w:ascii="Times New Roman" w:hAnsi="Times New Roman" w:cs="Times New Roman"/>
          <w:i/>
          <w:iCs/>
        </w:rPr>
        <w:t>o</w:t>
      </w:r>
      <w:proofErr w:type="gramEnd"/>
      <w:r w:rsidRPr="004A5BC7">
        <w:rPr>
          <w:rFonts w:ascii="Times New Roman" w:hAnsi="Times New Roman" w:cs="Times New Roman"/>
          <w:i/>
          <w:iCs/>
        </w:rPr>
        <w:t xml:space="preserve"> lugar de prestação do serviço;</w:t>
      </w:r>
    </w:p>
    <w:p w14:paraId="5538BEC3" w14:textId="77777777" w:rsidR="003C18A8" w:rsidRPr="004A5BC7" w:rsidRDefault="003C18A8" w:rsidP="003C18A8">
      <w:pPr>
        <w:ind w:right="-568"/>
        <w:jc w:val="both"/>
        <w:rPr>
          <w:rFonts w:ascii="Times New Roman" w:hAnsi="Times New Roman" w:cs="Times New Roman"/>
          <w:i/>
          <w:iCs/>
        </w:rPr>
      </w:pPr>
      <w:r w:rsidRPr="004A5BC7">
        <w:rPr>
          <w:rFonts w:ascii="Times New Roman" w:hAnsi="Times New Roman" w:cs="Times New Roman"/>
          <w:i/>
          <w:iCs/>
        </w:rPr>
        <w:t>III - a natureza e a importância da causa;</w:t>
      </w:r>
    </w:p>
    <w:p w14:paraId="7CFB21AB" w14:textId="77777777" w:rsidR="003C18A8" w:rsidRPr="003C18A8" w:rsidRDefault="003C18A8" w:rsidP="003C18A8">
      <w:pPr>
        <w:ind w:right="-568"/>
        <w:jc w:val="both"/>
        <w:rPr>
          <w:rFonts w:ascii="Times New Roman" w:hAnsi="Times New Roman" w:cs="Times New Roman"/>
        </w:rPr>
      </w:pPr>
      <w:r w:rsidRPr="004A5BC7">
        <w:rPr>
          <w:rFonts w:ascii="Times New Roman" w:hAnsi="Times New Roman" w:cs="Times New Roman"/>
          <w:i/>
          <w:iCs/>
        </w:rPr>
        <w:t xml:space="preserve">IV - </w:t>
      </w:r>
      <w:proofErr w:type="gramStart"/>
      <w:r w:rsidRPr="004A5BC7">
        <w:rPr>
          <w:rFonts w:ascii="Times New Roman" w:hAnsi="Times New Roman" w:cs="Times New Roman"/>
          <w:i/>
          <w:iCs/>
        </w:rPr>
        <w:t>o</w:t>
      </w:r>
      <w:proofErr w:type="gramEnd"/>
      <w:r w:rsidRPr="004A5BC7">
        <w:rPr>
          <w:rFonts w:ascii="Times New Roman" w:hAnsi="Times New Roman" w:cs="Times New Roman"/>
          <w:i/>
          <w:iCs/>
        </w:rPr>
        <w:t xml:space="preserve"> trabalho realizado pelo advogado e o tempo exigido para o seu serviço</w:t>
      </w:r>
      <w:r w:rsidRPr="003C18A8">
        <w:rPr>
          <w:rFonts w:ascii="Times New Roman" w:hAnsi="Times New Roman" w:cs="Times New Roman"/>
        </w:rPr>
        <w:t>.</w:t>
      </w:r>
    </w:p>
    <w:p w14:paraId="49478D5D" w14:textId="77777777" w:rsidR="003C18A8" w:rsidRPr="003C18A8" w:rsidRDefault="003C18A8" w:rsidP="003C18A8">
      <w:pPr>
        <w:ind w:right="-568"/>
        <w:jc w:val="both"/>
        <w:rPr>
          <w:rFonts w:ascii="Times New Roman" w:hAnsi="Times New Roman" w:cs="Times New Roman"/>
        </w:rPr>
      </w:pPr>
    </w:p>
    <w:p w14:paraId="7D91FF12" w14:textId="1F9C90C0"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lastRenderedPageBreak/>
        <w:t>Há vedação expressa à equidade em condenações mensuráveis. O art. 85, § 6º-A, do CPC [incluído pela Lei 14.365/2022] proíbe expressamente a apreciação equitativa quando o valor da condenação ou do proveito econômico for líquido ou liquidável.</w:t>
      </w:r>
    </w:p>
    <w:p w14:paraId="62BD9358" w14:textId="1AC5A8C6"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 xml:space="preserve">A eficácia vinculante é advinda do Tema 1.076/STJ, quando a Corte Especial do SUPERIOR TRIBUNAL DE JUSTIÇA vedou a fixação por equidade em caso que o valor da condenação, da causa ou do proveito econômico for elevado [aqui R$ </w:t>
      </w:r>
      <w:r w:rsidR="004A5BC7">
        <w:rPr>
          <w:rFonts w:ascii="Times New Roman" w:hAnsi="Times New Roman" w:cs="Times New Roman"/>
        </w:rPr>
        <w:t>...</w:t>
      </w:r>
      <w:r w:rsidRPr="003C18A8">
        <w:rPr>
          <w:rFonts w:ascii="Times New Roman" w:hAnsi="Times New Roman" w:cs="Times New Roman"/>
        </w:rPr>
        <w:t>], afastando a redução dos honorários sob alegação de enriquecimento sem causa ou proporcionalidade abstrata.</w:t>
      </w:r>
    </w:p>
    <w:p w14:paraId="7047A21A" w14:textId="2BE886FD"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Tema 1.076 STJ:</w:t>
      </w:r>
    </w:p>
    <w:p w14:paraId="0722BC0E" w14:textId="77777777"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i) A fixação dos honorários por apreciação equitativa não é permitida quando os valores da condenação, da causa ou o proveito econômico da demanda forem elevados. É obrigatória nesses casos a observância dos percentuais previstos nos §§ 2º ou 3º do artigo 85 do CPC - a depender da presença da Fazenda Pública na lide -, os quais serão subsequentemente calculados sobre o valor: (a) da condenação; ou (b) do proveito econômico obtido; ou (c) do valor atualizado da causa.</w:t>
      </w:r>
    </w:p>
    <w:p w14:paraId="2D5E0A00" w14:textId="77777777" w:rsidR="003C18A8" w:rsidRPr="003C18A8" w:rsidRDefault="003C18A8" w:rsidP="003C18A8">
      <w:pPr>
        <w:ind w:right="-568"/>
        <w:jc w:val="both"/>
        <w:rPr>
          <w:rFonts w:ascii="Times New Roman" w:hAnsi="Times New Roman" w:cs="Times New Roman"/>
        </w:rPr>
      </w:pPr>
      <w:proofErr w:type="spellStart"/>
      <w:r w:rsidRPr="003C18A8">
        <w:rPr>
          <w:rFonts w:ascii="Times New Roman" w:hAnsi="Times New Roman" w:cs="Times New Roman"/>
        </w:rPr>
        <w:t>ii</w:t>
      </w:r>
      <w:proofErr w:type="spellEnd"/>
      <w:r w:rsidRPr="003C18A8">
        <w:rPr>
          <w:rFonts w:ascii="Times New Roman" w:hAnsi="Times New Roman" w:cs="Times New Roman"/>
        </w:rPr>
        <w:t>) Apenas se admite arbitramento de honorários por equidade quando, havendo ou não condenação: (a) o proveito econômico obtido pelo vencedor for inestimável ou irrisório; ou (b) o valor da causa for muito baixo.</w:t>
      </w:r>
    </w:p>
    <w:p w14:paraId="7A1273DE" w14:textId="128F6BF2"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Nesse sentido:</w:t>
      </w:r>
    </w:p>
    <w:p w14:paraId="19A907B6" w14:textId="457E2CA3" w:rsidR="003C18A8" w:rsidRPr="00D51AD3" w:rsidRDefault="004A5BC7" w:rsidP="003C18A8">
      <w:pPr>
        <w:ind w:right="-568"/>
        <w:jc w:val="both"/>
        <w:rPr>
          <w:rFonts w:ascii="Times New Roman" w:hAnsi="Times New Roman" w:cs="Times New Roman"/>
          <w:i/>
          <w:iCs/>
        </w:rPr>
      </w:pPr>
      <w:r>
        <w:rPr>
          <w:rFonts w:ascii="Times New Roman" w:hAnsi="Times New Roman" w:cs="Times New Roman"/>
        </w:rPr>
        <w:t>“</w:t>
      </w:r>
      <w:r w:rsidR="003C18A8" w:rsidRPr="00D51AD3">
        <w:rPr>
          <w:rFonts w:ascii="Times New Roman" w:hAnsi="Times New Roman" w:cs="Times New Roman"/>
          <w:i/>
          <w:iCs/>
        </w:rPr>
        <w:t>PROCESSUAL CIVIL. RECURSO ESPECIAL SOB O RITO DOS RECURSOS REPETITIVOS. ART. 85, §§ 2º, 3°, 4°, 5°, 6º E 8º, DO CPC. HONORÁRIOS SUCUMBENCIAIS. VALORES DA CONDENAÇÃO, DA CAUSA OU PROVEITO ECONÔMICO DA DEMANDA ELEVADOS. IMPOSSIBILIDADE DE FIXAÇÃO POR APRECIAÇÃO EQUITATIVA. RECURSO ESPECIAL CONHECIDO E PROVIDO. RECURSO JULGADO SOB A SISTEMÁTICA DO ART. 1.036 E SEGUINTES DO CPC/2015, C/C O ART. 256-N E SEGUINTES DO REGIMENTO INTERNO DO STJ.</w:t>
      </w:r>
    </w:p>
    <w:p w14:paraId="0499941B"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w:t>
      </w:r>
    </w:p>
    <w:p w14:paraId="12D39220"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3. A propósito, quando o § 8º do artigo 85 menciona proveito econômico "inestimável", claramente se refere àquelas causas em que não é possível atribuir um valor patrimonial à lide (como pode ocorrer nas demandas ambientais ou nas ações de família, por exemplo). Não se deve confundir "valor inestimável" com "valor elevado".</w:t>
      </w:r>
    </w:p>
    <w:p w14:paraId="59997F95"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w:t>
      </w:r>
    </w:p>
    <w:p w14:paraId="70C06C8A"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8. Sobre a matéria discutida, o Enunciado n. 6 da I Jornada de Direito Processual Civil do Conselho da Justiça Federal - CJF afirma que: "A fixação dos honorários de sucumbência por apreciação equitativa só é cabível nas hipóteses previstas no § 8º, do art. 85 do CPC."</w:t>
      </w:r>
    </w:p>
    <w:p w14:paraId="2110DC2D"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9. Não se pode alegar que o art. 8º do CPC permite que o juiz afaste o art. 85, §§ 2º e 3º, com base na razoabilidade e proporcionalidade, quando os honorários resultantes da aplicação dos referidos dispositivos forem elevados.</w:t>
      </w:r>
    </w:p>
    <w:p w14:paraId="1EDB6F82"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lastRenderedPageBreak/>
        <w:t xml:space="preserve">... É por isso que a matéria já se encontra pacificada há bastante tempo na Segunda Seção (nos moldes do REsp n. 1.746.072/PR, relator para acórdão Ministro Raul Araújo, </w:t>
      </w:r>
      <w:proofErr w:type="spellStart"/>
      <w:r w:rsidRPr="00D51AD3">
        <w:rPr>
          <w:rFonts w:ascii="Times New Roman" w:hAnsi="Times New Roman" w:cs="Times New Roman"/>
          <w:i/>
          <w:iCs/>
        </w:rPr>
        <w:t>DJe</w:t>
      </w:r>
      <w:proofErr w:type="spellEnd"/>
      <w:r w:rsidRPr="00D51AD3">
        <w:rPr>
          <w:rFonts w:ascii="Times New Roman" w:hAnsi="Times New Roman" w:cs="Times New Roman"/>
          <w:i/>
          <w:iCs/>
        </w:rPr>
        <w:t xml:space="preserve"> de 29/3/2019), no sentido de que os honorários advocatícios sucumbenciais devem ser fixados no patamar de 10% a 20%, conforme previsto no art. 85, § 2º, inexistindo espaço para apreciação equitativa nos casos de valor da causa ou proveito econômico elevados.</w:t>
      </w:r>
    </w:p>
    <w:p w14:paraId="63519ACD" w14:textId="77777777" w:rsidR="003C18A8" w:rsidRPr="00D51AD3" w:rsidRDefault="003C18A8" w:rsidP="003C18A8">
      <w:pPr>
        <w:ind w:right="-568"/>
        <w:jc w:val="both"/>
        <w:rPr>
          <w:rFonts w:ascii="Times New Roman" w:hAnsi="Times New Roman" w:cs="Times New Roman"/>
          <w:i/>
          <w:iCs/>
        </w:rPr>
      </w:pPr>
      <w:proofErr w:type="spellStart"/>
      <w:r w:rsidRPr="00D51AD3">
        <w:rPr>
          <w:rFonts w:ascii="Times New Roman" w:hAnsi="Times New Roman" w:cs="Times New Roman"/>
          <w:i/>
          <w:iCs/>
        </w:rPr>
        <w:t>ii</w:t>
      </w:r>
      <w:proofErr w:type="spellEnd"/>
      <w:r w:rsidRPr="00D51AD3">
        <w:rPr>
          <w:rFonts w:ascii="Times New Roman" w:hAnsi="Times New Roman" w:cs="Times New Roman"/>
          <w:i/>
          <w:iCs/>
        </w:rPr>
        <w:t>) Apenas se admite arbitramento de honorários por equidade quando, havendo ou não condenação: (a) o proveito econômico obtido pelo vencedor for inestimável ou irrisório; ou (b) o valor da causa for muito baixo.</w:t>
      </w:r>
    </w:p>
    <w:p w14:paraId="4CAC9CBD"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25. Recurso especial conhecido e provido, devolvendo-se o processo ao Tribunal de origem, a fim de que arbitre os honorários observando os limites contidos no art. 85, §§ 3°, 4°, 5° e 6º, do CPC, nos termos da fundamentação.</w:t>
      </w:r>
    </w:p>
    <w:p w14:paraId="1C52580C" w14:textId="084B1BBE" w:rsidR="003C18A8" w:rsidRPr="003C18A8" w:rsidRDefault="003C18A8" w:rsidP="003C18A8">
      <w:pPr>
        <w:ind w:right="-568"/>
        <w:jc w:val="both"/>
        <w:rPr>
          <w:rFonts w:ascii="Times New Roman" w:hAnsi="Times New Roman" w:cs="Times New Roman"/>
        </w:rPr>
      </w:pPr>
      <w:r w:rsidRPr="00D51AD3">
        <w:rPr>
          <w:rFonts w:ascii="Times New Roman" w:hAnsi="Times New Roman" w:cs="Times New Roman"/>
          <w:i/>
          <w:iCs/>
        </w:rPr>
        <w:t>26. Recurso julgado sob a sistemática do art. 1.036 e seguintes do CPC/2015 e art. 256-N e seguintes do Regimento Interno do STJ</w:t>
      </w:r>
      <w:r w:rsidRPr="003C18A8">
        <w:rPr>
          <w:rFonts w:ascii="Times New Roman" w:hAnsi="Times New Roman" w:cs="Times New Roman"/>
        </w:rPr>
        <w:t>.</w:t>
      </w:r>
      <w:r w:rsidR="00D51AD3">
        <w:rPr>
          <w:rFonts w:ascii="Times New Roman" w:hAnsi="Times New Roman" w:cs="Times New Roman"/>
        </w:rPr>
        <w:t xml:space="preserve">” </w:t>
      </w:r>
      <w:proofErr w:type="gramStart"/>
      <w:r w:rsidRPr="003C18A8">
        <w:rPr>
          <w:rFonts w:ascii="Times New Roman" w:hAnsi="Times New Roman" w:cs="Times New Roman"/>
        </w:rPr>
        <w:t>[</w:t>
      </w:r>
      <w:proofErr w:type="gramEnd"/>
      <w:r w:rsidRPr="003C18A8">
        <w:rPr>
          <w:rFonts w:ascii="Times New Roman" w:hAnsi="Times New Roman" w:cs="Times New Roman"/>
        </w:rPr>
        <w:t xml:space="preserve">REsp n. 1.850.512/SP, Rel. Min. Og Fernandes, Corte Especial, </w:t>
      </w:r>
      <w:proofErr w:type="spellStart"/>
      <w:r w:rsidRPr="003C18A8">
        <w:rPr>
          <w:rFonts w:ascii="Times New Roman" w:hAnsi="Times New Roman" w:cs="Times New Roman"/>
        </w:rPr>
        <w:t>DJen</w:t>
      </w:r>
      <w:proofErr w:type="spellEnd"/>
      <w:r w:rsidRPr="003C18A8">
        <w:rPr>
          <w:rFonts w:ascii="Times New Roman" w:hAnsi="Times New Roman" w:cs="Times New Roman"/>
        </w:rPr>
        <w:t xml:space="preserve"> 31.05.2022]</w:t>
      </w:r>
    </w:p>
    <w:p w14:paraId="60873CC3" w14:textId="033A5CCA" w:rsidR="003C18A8" w:rsidRPr="00D51AD3" w:rsidRDefault="00D51AD3" w:rsidP="003C18A8">
      <w:pPr>
        <w:ind w:right="-568"/>
        <w:jc w:val="both"/>
        <w:rPr>
          <w:rFonts w:ascii="Times New Roman" w:hAnsi="Times New Roman" w:cs="Times New Roman"/>
          <w:i/>
          <w:iCs/>
        </w:rPr>
      </w:pPr>
      <w:r>
        <w:rPr>
          <w:rFonts w:ascii="Times New Roman" w:hAnsi="Times New Roman" w:cs="Times New Roman"/>
        </w:rPr>
        <w:t>“</w:t>
      </w:r>
      <w:r w:rsidR="003C18A8" w:rsidRPr="00D51AD3">
        <w:rPr>
          <w:rFonts w:ascii="Times New Roman" w:hAnsi="Times New Roman" w:cs="Times New Roman"/>
          <w:i/>
          <w:iCs/>
        </w:rPr>
        <w:t>DIREITO PROCESSUAL CIVIL. APELAÇÃO CÍVEL. EMBARGOS DE TERCEIRO. ÔNUS SUCUMBENCIAIS. PRINCÍPIO DA CAUSALIDADE. RECURSO DESPROVIDO. I. CASO EM EXAME</w:t>
      </w:r>
    </w:p>
    <w:p w14:paraId="3F32E7AC"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1. Embargos de </w:t>
      </w:r>
      <w:proofErr w:type="gramStart"/>
      <w:r w:rsidRPr="00D51AD3">
        <w:rPr>
          <w:rFonts w:ascii="Times New Roman" w:hAnsi="Times New Roman" w:cs="Times New Roman"/>
          <w:i/>
          <w:iCs/>
        </w:rPr>
        <w:t>terceiro opostos</w:t>
      </w:r>
      <w:proofErr w:type="gramEnd"/>
      <w:r w:rsidRPr="00D51AD3">
        <w:rPr>
          <w:rFonts w:ascii="Times New Roman" w:hAnsi="Times New Roman" w:cs="Times New Roman"/>
          <w:i/>
          <w:iCs/>
        </w:rPr>
        <w:t xml:space="preserve"> por adquirente de unidade imobiliária visando à desconstituição de penhora efetivada em cumprimento de sentença movido contra a construtora vendedora. A sentença acolheu o pedido principal, mas </w:t>
      </w:r>
    </w:p>
    <w:p w14:paraId="1EEE7B5E"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6. A fixação de honorários advocatícios por apreciação equitativa, conforme o art. 85, §§ 8º e 8º-A, do CPC e o Tema Repetitivo 1076 do STJ, é medida excepcional, aplicável apenas em casos de proveito econômico inestimável ou irrisório, ou valor da causa muito baixo. </w:t>
      </w:r>
    </w:p>
    <w:p w14:paraId="3DFF7C5F"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7. A sentença, ao fixar os honorários sucumbenciais em 10% sobre o valor atualizado da causa, observou o patamar mínimo legal (§ 2º do art. 85 do CPC), sendo tal arbitramento adequado e não comportando redução ou fixação por equidade. </w:t>
      </w:r>
    </w:p>
    <w:p w14:paraId="0D531D55"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8. Em virtude do desprovimento do recurso de apelação, impõe-se a majoração dos honorários advocatícios recursais em favor do causídico da parte apelada, nos termos do art. 85, § 11, do CPC, observados os requisitos legais. </w:t>
      </w:r>
    </w:p>
    <w:p w14:paraId="48991108"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IV. DISPOSITIVO </w:t>
      </w:r>
    </w:p>
    <w:p w14:paraId="00F55799" w14:textId="2D8C6F2A" w:rsidR="003C18A8" w:rsidRPr="003C18A8" w:rsidRDefault="003C18A8" w:rsidP="003C18A8">
      <w:pPr>
        <w:ind w:right="-568"/>
        <w:jc w:val="both"/>
        <w:rPr>
          <w:rFonts w:ascii="Times New Roman" w:hAnsi="Times New Roman" w:cs="Times New Roman"/>
        </w:rPr>
      </w:pPr>
      <w:r w:rsidRPr="00D51AD3">
        <w:rPr>
          <w:rFonts w:ascii="Times New Roman" w:hAnsi="Times New Roman" w:cs="Times New Roman"/>
          <w:i/>
          <w:iCs/>
        </w:rPr>
        <w:t>9. Recurso de apelação conhecido e desprovido, mantida a condenação do embargante ao pagamento dos ônus sucumbenciais</w:t>
      </w:r>
      <w:r w:rsidRPr="003C18A8">
        <w:rPr>
          <w:rFonts w:ascii="Times New Roman" w:hAnsi="Times New Roman" w:cs="Times New Roman"/>
        </w:rPr>
        <w:t>.</w:t>
      </w:r>
      <w:r w:rsidR="00D51AD3">
        <w:rPr>
          <w:rFonts w:ascii="Times New Roman" w:hAnsi="Times New Roman" w:cs="Times New Roman"/>
        </w:rPr>
        <w:t xml:space="preserve">” </w:t>
      </w:r>
      <w:r w:rsidRPr="003C18A8">
        <w:rPr>
          <w:rFonts w:ascii="Times New Roman" w:hAnsi="Times New Roman" w:cs="Times New Roman"/>
        </w:rPr>
        <w:t>[TJSC, Apelação 5027641-60.2025.8.24.0064, 2ª Câmara de Direito Civil, Relator MARCO AURELIO GHISI MACHADO, julgado em 20.08.2026]</w:t>
      </w:r>
    </w:p>
    <w:p w14:paraId="0B4182F2" w14:textId="2D293D03" w:rsidR="003C18A8" w:rsidRPr="00D51AD3" w:rsidRDefault="00D51AD3" w:rsidP="003C18A8">
      <w:pPr>
        <w:ind w:right="-568"/>
        <w:jc w:val="both"/>
        <w:rPr>
          <w:rFonts w:ascii="Times New Roman" w:hAnsi="Times New Roman" w:cs="Times New Roman"/>
          <w:i/>
          <w:iCs/>
        </w:rPr>
      </w:pPr>
      <w:r>
        <w:rPr>
          <w:rFonts w:ascii="Times New Roman" w:hAnsi="Times New Roman" w:cs="Times New Roman"/>
        </w:rPr>
        <w:t>“</w:t>
      </w:r>
      <w:r w:rsidR="003C18A8" w:rsidRPr="00D51AD3">
        <w:rPr>
          <w:rFonts w:ascii="Times New Roman" w:hAnsi="Times New Roman" w:cs="Times New Roman"/>
          <w:i/>
          <w:iCs/>
        </w:rPr>
        <w:t xml:space="preserve">DIREITO PROCESSUAL CIVIL E DIREITO BANCÁRIO. APELAÇÃO CÍVEL. EMBARGOS DE TERCEIRO. NULIDADE DE CITAÇÃO. ALIENAÇÃO FIDUCIÁRIA FRAUDULENTA. FIXAÇÃO DE HONORÁRIOS ADVOCATÍCIOS. RECURSO DESPROVIDO. </w:t>
      </w:r>
    </w:p>
    <w:p w14:paraId="6B493608"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lastRenderedPageBreak/>
        <w:t xml:space="preserve">I. CASO EM EXAME </w:t>
      </w:r>
    </w:p>
    <w:p w14:paraId="72AAD2FB"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1. Recurso de apelação cível interposto por instituição financeira contra sentença que julgou procedentes os embargos de </w:t>
      </w:r>
      <w:proofErr w:type="gramStart"/>
      <w:r w:rsidRPr="00D51AD3">
        <w:rPr>
          <w:rFonts w:ascii="Times New Roman" w:hAnsi="Times New Roman" w:cs="Times New Roman"/>
          <w:i/>
          <w:iCs/>
        </w:rPr>
        <w:t>terceiro opostos</w:t>
      </w:r>
      <w:proofErr w:type="gramEnd"/>
      <w:r w:rsidRPr="00D51AD3">
        <w:rPr>
          <w:rFonts w:ascii="Times New Roman" w:hAnsi="Times New Roman" w:cs="Times New Roman"/>
          <w:i/>
          <w:iCs/>
        </w:rPr>
        <w:t xml:space="preserve"> por adquirente de boa-fé, determinando o cancelamento de restrições judiciais e do gravame de alienação fiduciária incidente sobre veículo automotor, além de condenar a ré ao pagamento de custas processuais e honorários advocatícios arbitrados em 10% sobre o valor da causa. </w:t>
      </w:r>
    </w:p>
    <w:p w14:paraId="1E6CCD9D"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II. QUESTÃO EM DISCUSSÃO </w:t>
      </w:r>
    </w:p>
    <w:p w14:paraId="036BE617" w14:textId="2F04856B"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2. A questão em discussão consiste em saber: (i) se ocorreu nulidade da citação e da decretação de revelia em virtude do não envio de carta postal após a citação eletrônica, nos termos do artigo 246, § 1º-A, inciso I, do Código de Processo Civil; (</w:t>
      </w:r>
      <w:proofErr w:type="spellStart"/>
      <w:r w:rsidRPr="00D51AD3">
        <w:rPr>
          <w:rFonts w:ascii="Times New Roman" w:hAnsi="Times New Roman" w:cs="Times New Roman"/>
          <w:i/>
          <w:iCs/>
        </w:rPr>
        <w:t>ii</w:t>
      </w:r>
      <w:proofErr w:type="spellEnd"/>
      <w:r w:rsidRPr="00D51AD3">
        <w:rPr>
          <w:rFonts w:ascii="Times New Roman" w:hAnsi="Times New Roman" w:cs="Times New Roman"/>
          <w:i/>
          <w:iCs/>
        </w:rPr>
        <w:t>) se é oponível ao terceiro proprietário e possuidor de boa-fé a alienação fiduciária constituída mediante fraude praticada por terceiro; e (</w:t>
      </w:r>
      <w:proofErr w:type="spellStart"/>
      <w:r w:rsidRPr="00D51AD3">
        <w:rPr>
          <w:rFonts w:ascii="Times New Roman" w:hAnsi="Times New Roman" w:cs="Times New Roman"/>
          <w:i/>
          <w:iCs/>
        </w:rPr>
        <w:t>iii</w:t>
      </w:r>
      <w:proofErr w:type="spellEnd"/>
      <w:r w:rsidRPr="00D51AD3">
        <w:rPr>
          <w:rFonts w:ascii="Times New Roman" w:hAnsi="Times New Roman" w:cs="Times New Roman"/>
          <w:i/>
          <w:iCs/>
        </w:rPr>
        <w:t xml:space="preserve">) se é cabível a redução dos honorários advocatícios sucumbenciais por apreciação equitativa, nos termos do artigo 85, § 8º, do Código de Processo Civil. </w:t>
      </w:r>
    </w:p>
    <w:p w14:paraId="5D66BCAC"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III. RAZÕES DE DECIDIR </w:t>
      </w:r>
    </w:p>
    <w:p w14:paraId="4960F4CA"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3. A citação nos embargos de terceiro possui regramento previsto no artigo 677, § 3º, do Código de Processo Civil, devendo ser efetuada na pessoa do advogado constituído nos autos da ação principal, o que afasta a incidência da regra geral de citação postal disposta no artigo 246 do mesmo diploma. </w:t>
      </w:r>
    </w:p>
    <w:p w14:paraId="279BCF36"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4. O conjunto probatório comprovou que a parte embargante adquiriu o automóvel zero quilômetro mediante pagamento à vista e obteve o registro perante o órgão de trânsito em data anterior à inserção do gravame, configurando fortuito interno a posterior concessão de financiamento bancário a terceiro fraudador, nos termos da Súmula 479 do Superior Tribunal de Justiça, hipótese que enseja a desconstituição da constrição. </w:t>
      </w:r>
    </w:p>
    <w:p w14:paraId="1F691EB0"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5. Havendo valor líquido e certo atribuído à causa, revela-se inviável o arbitramento dos honorários advocatícios por equidade, consoante tese vinculante firmada pelo Superior Tribunal de Justiça no Tema Repetitivo 1076, devendo ser mantida a fixação no patamar mínimo legal de 10%, com a devida majoração recursal estipulada no artigo 85, § 11, do Código de Processo Civil. IV. DISPOSITIVO E TESE </w:t>
      </w:r>
    </w:p>
    <w:p w14:paraId="1ECB1823"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6. Recurso de apelação conhecido e desprovido. </w:t>
      </w:r>
    </w:p>
    <w:p w14:paraId="7069B427"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Tese de julgamento: </w:t>
      </w:r>
    </w:p>
    <w:p w14:paraId="22313A46"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1. A citação do embargado nos embargos de terceiro realiza-se validamente na pessoa de seu advogado constituído na ação principal, nos termos do artigo 677, § 3º, do Código de Processo Civil. </w:t>
      </w:r>
    </w:p>
    <w:p w14:paraId="55955DE1" w14:textId="77777777" w:rsidR="003C18A8" w:rsidRPr="00D51AD3" w:rsidRDefault="003C18A8" w:rsidP="003C18A8">
      <w:pPr>
        <w:ind w:right="-568"/>
        <w:jc w:val="both"/>
        <w:rPr>
          <w:rFonts w:ascii="Times New Roman" w:hAnsi="Times New Roman" w:cs="Times New Roman"/>
          <w:i/>
          <w:iCs/>
        </w:rPr>
      </w:pPr>
      <w:r w:rsidRPr="00D51AD3">
        <w:rPr>
          <w:rFonts w:ascii="Times New Roman" w:hAnsi="Times New Roman" w:cs="Times New Roman"/>
          <w:i/>
          <w:iCs/>
        </w:rPr>
        <w:t xml:space="preserve">2. A inclusão indevida de gravame de alienação fiduciária sobre veículo de terceiro de boa-fé decorrente de fraude em financiamento bancário constitui fortuito interno (Súmula 479 do Superior Tribunal de Justiça), impondo-se o cancelamento da restrição. </w:t>
      </w:r>
    </w:p>
    <w:p w14:paraId="408845AB" w14:textId="62C808BF" w:rsidR="003C18A8" w:rsidRPr="003C18A8" w:rsidRDefault="003C18A8" w:rsidP="003C18A8">
      <w:pPr>
        <w:ind w:right="-568"/>
        <w:jc w:val="both"/>
        <w:rPr>
          <w:rFonts w:ascii="Times New Roman" w:hAnsi="Times New Roman" w:cs="Times New Roman"/>
        </w:rPr>
      </w:pPr>
      <w:r w:rsidRPr="00D51AD3">
        <w:rPr>
          <w:rFonts w:ascii="Times New Roman" w:hAnsi="Times New Roman" w:cs="Times New Roman"/>
          <w:i/>
          <w:iCs/>
        </w:rPr>
        <w:lastRenderedPageBreak/>
        <w:t>3. É vedada a redução dos honorários advocatícios sucumbenciais por equidade quando houver valor da causa certo e mensurável, nos termos do Tema Repetitivo 1079 do Superior Tribunal de Justiça</w:t>
      </w:r>
      <w:r w:rsidRPr="003C18A8">
        <w:rPr>
          <w:rFonts w:ascii="Times New Roman" w:hAnsi="Times New Roman" w:cs="Times New Roman"/>
        </w:rPr>
        <w:t>.</w:t>
      </w:r>
      <w:r w:rsidR="00D51AD3">
        <w:rPr>
          <w:rFonts w:ascii="Times New Roman" w:hAnsi="Times New Roman" w:cs="Times New Roman"/>
        </w:rPr>
        <w:t xml:space="preserve">” </w:t>
      </w:r>
      <w:proofErr w:type="gramStart"/>
      <w:r w:rsidRPr="003C18A8">
        <w:rPr>
          <w:rFonts w:ascii="Times New Roman" w:hAnsi="Times New Roman" w:cs="Times New Roman"/>
        </w:rPr>
        <w:t>[</w:t>
      </w:r>
      <w:proofErr w:type="gramEnd"/>
      <w:r w:rsidRPr="003C18A8">
        <w:rPr>
          <w:rFonts w:ascii="Times New Roman" w:hAnsi="Times New Roman" w:cs="Times New Roman"/>
        </w:rPr>
        <w:t>TJSC, Apelação 5031433-77.2024.8.24.0930, 1ª Câmara Especial de Enfrentamento de Acervos, Relator HUMBERTO GOULART DA SILVEIRA, julgado em 02.09.2026]</w:t>
      </w:r>
    </w:p>
    <w:p w14:paraId="672B5C1A" w14:textId="5B7F2147"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Noutra vértice, com a recente edição da Lei nº 15.472, de 21 de julho de 2026, restou definitivamente sepultada qualquer discussão acerca da natureza jurídica das verbas devidas aos patronos, haja vista a inclusão do § 9º no artigo 22 do Estatuto da Advocacia e da OAB [Lei nº 8.906/1994], o qual determina expressamente que os honorários decorrentes da prestação de serviço profissional possuem natureza alimentar, abrangendo textualmente as modalidades convencionadas, fixadas judicialmente e de sucumbência, conforme se infere da redação literal do dispositivo:</w:t>
      </w:r>
    </w:p>
    <w:p w14:paraId="4161EB83" w14:textId="77777777"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w:t>
      </w:r>
      <w:r w:rsidRPr="00D51AD3">
        <w:rPr>
          <w:rFonts w:ascii="Times New Roman" w:hAnsi="Times New Roman" w:cs="Times New Roman"/>
          <w:i/>
          <w:iCs/>
        </w:rPr>
        <w:t>Art. 22. [...] § 9º Os honorários decorrentes da prestação de serviço profissional, sejam eles convencionados, fixados por arbitramento judicial ou decorrentes de sucumbência, possuem natureza alimentar e gozam dos mesmos privilégios dos créditos oriundos da legislação do trabalho, inclusive para fins de concurso de credores, falência, recuperação judicial ou extrajudicial, insolvência civil e liquidação extrajudicial</w:t>
      </w:r>
      <w:r w:rsidRPr="003C18A8">
        <w:rPr>
          <w:rFonts w:ascii="Times New Roman" w:hAnsi="Times New Roman" w:cs="Times New Roman"/>
        </w:rPr>
        <w:t>.”</w:t>
      </w:r>
    </w:p>
    <w:p w14:paraId="4886CEEC" w14:textId="372C7E9B"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Assim, tratando-se de sentença condenatória perfeitamente mensurável, a fixação dos honorários advocatícios deve observar estritamente a regra geral e obrigatória do § 2º do art. 85 do CPC, devendo ser arbitrada entre o patamar mínimo de 10% e máximo de 20% sobre o valor da condenação, sob pena de aviltamento do trabalho do patrono e afronta à legislação federal.</w:t>
      </w:r>
    </w:p>
    <w:p w14:paraId="05CEDE2A" w14:textId="7BBC5C45" w:rsidR="003C18A8" w:rsidRPr="00D51AD3" w:rsidRDefault="003C18A8" w:rsidP="003C18A8">
      <w:pPr>
        <w:ind w:right="-568"/>
        <w:jc w:val="both"/>
        <w:rPr>
          <w:rFonts w:ascii="Times New Roman" w:hAnsi="Times New Roman" w:cs="Times New Roman"/>
          <w:b/>
          <w:bCs/>
        </w:rPr>
      </w:pPr>
      <w:r w:rsidRPr="00D51AD3">
        <w:rPr>
          <w:rFonts w:ascii="Times New Roman" w:hAnsi="Times New Roman" w:cs="Times New Roman"/>
          <w:b/>
          <w:bCs/>
        </w:rPr>
        <w:t>III-</w:t>
      </w:r>
      <w:r w:rsidR="00D51AD3" w:rsidRPr="00D51AD3">
        <w:rPr>
          <w:rFonts w:ascii="Times New Roman" w:hAnsi="Times New Roman" w:cs="Times New Roman"/>
          <w:b/>
          <w:bCs/>
        </w:rPr>
        <w:t xml:space="preserve"> </w:t>
      </w:r>
      <w:r w:rsidRPr="00D51AD3">
        <w:rPr>
          <w:rFonts w:ascii="Times New Roman" w:hAnsi="Times New Roman" w:cs="Times New Roman"/>
          <w:b/>
          <w:bCs/>
        </w:rPr>
        <w:t>PEDIDOS</w:t>
      </w:r>
    </w:p>
    <w:p w14:paraId="74A2F9D4" w14:textId="042CCB84" w:rsidR="003C18A8" w:rsidRPr="003C18A8" w:rsidRDefault="003C18A8" w:rsidP="003C18A8">
      <w:pPr>
        <w:ind w:right="-568"/>
        <w:jc w:val="both"/>
        <w:rPr>
          <w:rFonts w:ascii="Times New Roman" w:hAnsi="Times New Roman" w:cs="Times New Roman"/>
        </w:rPr>
      </w:pPr>
      <w:proofErr w:type="spellStart"/>
      <w:r w:rsidRPr="00D51AD3">
        <w:rPr>
          <w:rFonts w:ascii="Times New Roman" w:hAnsi="Times New Roman" w:cs="Times New Roman"/>
          <w:b/>
          <w:bCs/>
          <w:i/>
          <w:iCs/>
        </w:rPr>
        <w:t>Ex</w:t>
      </w:r>
      <w:proofErr w:type="spellEnd"/>
      <w:r w:rsidRPr="00D51AD3">
        <w:rPr>
          <w:rFonts w:ascii="Times New Roman" w:hAnsi="Times New Roman" w:cs="Times New Roman"/>
          <w:b/>
          <w:bCs/>
          <w:i/>
          <w:iCs/>
        </w:rPr>
        <w:t xml:space="preserve"> positis</w:t>
      </w:r>
      <w:r w:rsidRPr="003C18A8">
        <w:rPr>
          <w:rFonts w:ascii="Times New Roman" w:hAnsi="Times New Roman" w:cs="Times New Roman"/>
        </w:rPr>
        <w:t>, com esteio no art. 85, 2º do CPC, o apelante requer:</w:t>
      </w:r>
    </w:p>
    <w:p w14:paraId="48C691AE" w14:textId="6A8AD424"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w:t>
      </w:r>
      <w:r w:rsidR="00D51AD3">
        <w:rPr>
          <w:rFonts w:ascii="Times New Roman" w:hAnsi="Times New Roman" w:cs="Times New Roman"/>
        </w:rPr>
        <w:t xml:space="preserve"> </w:t>
      </w:r>
      <w:proofErr w:type="gramStart"/>
      <w:r w:rsidRPr="003C18A8">
        <w:rPr>
          <w:rFonts w:ascii="Times New Roman" w:hAnsi="Times New Roman" w:cs="Times New Roman"/>
        </w:rPr>
        <w:t>seja</w:t>
      </w:r>
      <w:proofErr w:type="gramEnd"/>
      <w:r w:rsidRPr="003C18A8">
        <w:rPr>
          <w:rFonts w:ascii="Times New Roman" w:hAnsi="Times New Roman" w:cs="Times New Roman"/>
        </w:rPr>
        <w:t xml:space="preserve"> DADO PROVIMENTO AO RECURSO, para condenar o apelado ao pagamento da verba honorária sucumbencial no valor de 10% [dez por cento --- o mínimo legal] sobre o valor da condenação atualizada na forma da sentença;</w:t>
      </w:r>
    </w:p>
    <w:p w14:paraId="2A616164" w14:textId="0D03FDF5"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w:t>
      </w:r>
      <w:r w:rsidR="00D51AD3">
        <w:rPr>
          <w:rFonts w:ascii="Times New Roman" w:hAnsi="Times New Roman" w:cs="Times New Roman"/>
        </w:rPr>
        <w:t xml:space="preserve"> </w:t>
      </w:r>
      <w:proofErr w:type="gramStart"/>
      <w:r w:rsidRPr="003C18A8">
        <w:rPr>
          <w:rFonts w:ascii="Times New Roman" w:hAnsi="Times New Roman" w:cs="Times New Roman"/>
        </w:rPr>
        <w:t>subsidiariamente</w:t>
      </w:r>
      <w:proofErr w:type="gramEnd"/>
      <w:r w:rsidRPr="003C18A8">
        <w:rPr>
          <w:rFonts w:ascii="Times New Roman" w:hAnsi="Times New Roman" w:cs="Times New Roman"/>
        </w:rPr>
        <w:t>, acaso superada a premissa anterior, seja PROVIDO O RECURSO para a majoração por outro valor que essa d. Câmara entenda justa a remunerar um advogado, sempre na observância da lei de regência, levando em conta o grau de zelo dos profissionais, lugar de prestação dos serviços, natureza e importância da causa, o trabalho realizado pelo advogado e o tempo exigido para o serviço, respeitando os princípios da razoabilidade e proporcionalidade;</w:t>
      </w:r>
    </w:p>
    <w:p w14:paraId="0219B937" w14:textId="76AEA766" w:rsidR="003C18A8" w:rsidRPr="003C18A8" w:rsidRDefault="003C18A8" w:rsidP="003C18A8">
      <w:pPr>
        <w:ind w:right="-568"/>
        <w:jc w:val="both"/>
        <w:rPr>
          <w:rFonts w:ascii="Times New Roman" w:hAnsi="Times New Roman" w:cs="Times New Roman"/>
        </w:rPr>
      </w:pPr>
      <w:r w:rsidRPr="003C18A8">
        <w:rPr>
          <w:rFonts w:ascii="Times New Roman" w:hAnsi="Times New Roman" w:cs="Times New Roman"/>
        </w:rPr>
        <w:t>-</w:t>
      </w:r>
      <w:r w:rsidR="00D51AD3">
        <w:rPr>
          <w:rFonts w:ascii="Times New Roman" w:hAnsi="Times New Roman" w:cs="Times New Roman"/>
        </w:rPr>
        <w:t xml:space="preserve"> </w:t>
      </w:r>
      <w:proofErr w:type="gramStart"/>
      <w:r w:rsidRPr="003C18A8">
        <w:rPr>
          <w:rFonts w:ascii="Times New Roman" w:hAnsi="Times New Roman" w:cs="Times New Roman"/>
        </w:rPr>
        <w:t>a</w:t>
      </w:r>
      <w:proofErr w:type="gramEnd"/>
      <w:r w:rsidRPr="003C18A8">
        <w:rPr>
          <w:rFonts w:ascii="Times New Roman" w:hAnsi="Times New Roman" w:cs="Times New Roman"/>
        </w:rPr>
        <w:t xml:space="preserve"> juntada da guia das custas recursais quitada [CPC, art. 1.007, </w:t>
      </w:r>
      <w:proofErr w:type="gramStart"/>
      <w:r w:rsidRPr="00D51AD3">
        <w:rPr>
          <w:rFonts w:ascii="Times New Roman" w:hAnsi="Times New Roman" w:cs="Times New Roman"/>
          <w:i/>
          <w:iCs/>
        </w:rPr>
        <w:t>caput</w:t>
      </w:r>
      <w:r w:rsidRPr="003C18A8">
        <w:rPr>
          <w:rFonts w:ascii="Times New Roman" w:hAnsi="Times New Roman" w:cs="Times New Roman"/>
        </w:rPr>
        <w:t>]-</w:t>
      </w:r>
      <w:proofErr w:type="gramEnd"/>
      <w:r w:rsidRPr="003C18A8">
        <w:rPr>
          <w:rFonts w:ascii="Times New Roman" w:hAnsi="Times New Roman" w:cs="Times New Roman"/>
        </w:rPr>
        <w:t xml:space="preserve">  doc.</w:t>
      </w:r>
      <w:r w:rsidR="00D51AD3">
        <w:rPr>
          <w:rFonts w:ascii="Times New Roman" w:hAnsi="Times New Roman" w:cs="Times New Roman"/>
        </w:rPr>
        <w:t xml:space="preserve"> n. ...</w:t>
      </w:r>
    </w:p>
    <w:p w14:paraId="6445237B" w14:textId="7D6FE117" w:rsidR="003C18A8" w:rsidRPr="003C18A8" w:rsidRDefault="003C18A8" w:rsidP="00D51AD3">
      <w:pPr>
        <w:spacing w:after="0" w:line="240" w:lineRule="auto"/>
        <w:ind w:right="-567"/>
        <w:jc w:val="center"/>
        <w:rPr>
          <w:rFonts w:ascii="Times New Roman" w:hAnsi="Times New Roman" w:cs="Times New Roman"/>
        </w:rPr>
      </w:pPr>
      <w:r w:rsidRPr="003C18A8">
        <w:rPr>
          <w:rFonts w:ascii="Times New Roman" w:hAnsi="Times New Roman" w:cs="Times New Roman"/>
        </w:rPr>
        <w:t>P</w:t>
      </w:r>
      <w:r w:rsidR="00D51AD3">
        <w:rPr>
          <w:rFonts w:ascii="Times New Roman" w:hAnsi="Times New Roman" w:cs="Times New Roman"/>
        </w:rPr>
        <w:t>ede</w:t>
      </w:r>
      <w:r w:rsidRPr="003C18A8">
        <w:rPr>
          <w:rFonts w:ascii="Times New Roman" w:hAnsi="Times New Roman" w:cs="Times New Roman"/>
        </w:rPr>
        <w:t xml:space="preserve"> Deferimento.</w:t>
      </w:r>
    </w:p>
    <w:p w14:paraId="271DF698" w14:textId="4A1A9E24" w:rsidR="003C18A8" w:rsidRDefault="00D51AD3" w:rsidP="00D51AD3">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5B5776A6" w14:textId="4A209749" w:rsidR="00D51AD3" w:rsidRPr="003C18A8" w:rsidRDefault="00D51AD3" w:rsidP="00D51AD3">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D51AD3" w:rsidRPr="003C18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233B2"/>
    <w:multiLevelType w:val="hybridMultilevel"/>
    <w:tmpl w:val="E7843364"/>
    <w:lvl w:ilvl="0" w:tplc="0642609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65789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8A8"/>
    <w:rsid w:val="003C18A8"/>
    <w:rsid w:val="004A5BC7"/>
    <w:rsid w:val="00BF2F27"/>
    <w:rsid w:val="00D51A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CC8D9"/>
  <w15:chartTrackingRefBased/>
  <w15:docId w15:val="{D4292F20-1CCC-4373-82C0-D8C462E5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C18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C18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C18A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C18A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C18A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C18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C18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C18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C18A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C18A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C18A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C18A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C18A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C18A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C18A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C18A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C18A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C18A8"/>
    <w:rPr>
      <w:rFonts w:eastAsiaTheme="majorEastAsia" w:cstheme="majorBidi"/>
      <w:color w:val="272727" w:themeColor="text1" w:themeTint="D8"/>
    </w:rPr>
  </w:style>
  <w:style w:type="paragraph" w:styleId="Ttulo">
    <w:name w:val="Title"/>
    <w:basedOn w:val="Normal"/>
    <w:next w:val="Normal"/>
    <w:link w:val="TtuloChar"/>
    <w:uiPriority w:val="10"/>
    <w:qFormat/>
    <w:rsid w:val="003C18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C18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C18A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C18A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C18A8"/>
    <w:pPr>
      <w:spacing w:before="160"/>
      <w:jc w:val="center"/>
    </w:pPr>
    <w:rPr>
      <w:i/>
      <w:iCs/>
      <w:color w:val="404040" w:themeColor="text1" w:themeTint="BF"/>
    </w:rPr>
  </w:style>
  <w:style w:type="character" w:customStyle="1" w:styleId="CitaoChar">
    <w:name w:val="Citação Char"/>
    <w:basedOn w:val="Fontepargpadro"/>
    <w:link w:val="Citao"/>
    <w:uiPriority w:val="29"/>
    <w:rsid w:val="003C18A8"/>
    <w:rPr>
      <w:i/>
      <w:iCs/>
      <w:color w:val="404040" w:themeColor="text1" w:themeTint="BF"/>
    </w:rPr>
  </w:style>
  <w:style w:type="paragraph" w:styleId="PargrafodaLista">
    <w:name w:val="List Paragraph"/>
    <w:basedOn w:val="Normal"/>
    <w:uiPriority w:val="34"/>
    <w:qFormat/>
    <w:rsid w:val="003C18A8"/>
    <w:pPr>
      <w:ind w:left="720"/>
      <w:contextualSpacing/>
    </w:pPr>
  </w:style>
  <w:style w:type="character" w:styleId="nfaseIntensa">
    <w:name w:val="Intense Emphasis"/>
    <w:basedOn w:val="Fontepargpadro"/>
    <w:uiPriority w:val="21"/>
    <w:qFormat/>
    <w:rsid w:val="003C18A8"/>
    <w:rPr>
      <w:i/>
      <w:iCs/>
      <w:color w:val="2F5496" w:themeColor="accent1" w:themeShade="BF"/>
    </w:rPr>
  </w:style>
  <w:style w:type="paragraph" w:styleId="CitaoIntensa">
    <w:name w:val="Intense Quote"/>
    <w:basedOn w:val="Normal"/>
    <w:next w:val="Normal"/>
    <w:link w:val="CitaoIntensaChar"/>
    <w:uiPriority w:val="30"/>
    <w:qFormat/>
    <w:rsid w:val="003C18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C18A8"/>
    <w:rPr>
      <w:i/>
      <w:iCs/>
      <w:color w:val="2F5496" w:themeColor="accent1" w:themeShade="BF"/>
    </w:rPr>
  </w:style>
  <w:style w:type="character" w:styleId="RefernciaIntensa">
    <w:name w:val="Intense Reference"/>
    <w:basedOn w:val="Fontepargpadro"/>
    <w:uiPriority w:val="32"/>
    <w:qFormat/>
    <w:rsid w:val="003C18A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9</Pages>
  <Words>3808</Words>
  <Characters>20566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2026-10-06T22:18:00Z</dcterms:created>
  <dcterms:modified xsi:type="dcterms:W3CDTF">2026-10-06T22:45:00Z</dcterms:modified>
</cp:coreProperties>
</file>