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1283F9" w14:textId="77777777" w:rsidR="00564DE2" w:rsidRPr="00564DE2" w:rsidRDefault="00564DE2" w:rsidP="00564DE2">
      <w:pPr>
        <w:spacing w:after="0" w:line="240" w:lineRule="auto"/>
        <w:ind w:right="-567"/>
        <w:jc w:val="center"/>
        <w:rPr>
          <w:rFonts w:ascii="Arial Black" w:hAnsi="Arial Black" w:cs="Times New Roman"/>
        </w:rPr>
      </w:pPr>
      <w:r w:rsidRPr="00564DE2">
        <w:rPr>
          <w:rFonts w:ascii="Arial Black" w:hAnsi="Arial Black" w:cs="Times New Roman"/>
        </w:rPr>
        <w:t>MODELO DE PETIÇÃO</w:t>
      </w:r>
    </w:p>
    <w:p w14:paraId="6F5DC74A" w14:textId="77777777" w:rsidR="00564DE2" w:rsidRPr="00564DE2" w:rsidRDefault="00564DE2" w:rsidP="00564DE2">
      <w:pPr>
        <w:spacing w:after="0" w:line="240" w:lineRule="auto"/>
        <w:ind w:right="-567"/>
        <w:jc w:val="center"/>
        <w:rPr>
          <w:rFonts w:ascii="Arial Black" w:hAnsi="Arial Black" w:cs="Times New Roman"/>
        </w:rPr>
      </w:pPr>
      <w:r w:rsidRPr="00564DE2">
        <w:rPr>
          <w:rFonts w:ascii="Arial Black" w:hAnsi="Arial Black" w:cs="Times New Roman"/>
        </w:rPr>
        <w:t>CUMPRIMENTO DE SENTENÇA. LAUDO PERICIAL. AVALIAÇÃO.</w:t>
      </w:r>
    </w:p>
    <w:p w14:paraId="22F7B2EB" w14:textId="3FC3C4A0" w:rsidR="00564DE2" w:rsidRPr="00564DE2" w:rsidRDefault="00564DE2" w:rsidP="00564DE2">
      <w:pPr>
        <w:spacing w:after="0" w:line="240" w:lineRule="auto"/>
        <w:ind w:right="-567"/>
        <w:jc w:val="center"/>
        <w:rPr>
          <w:rFonts w:ascii="Arial Black" w:hAnsi="Arial Black" w:cs="Times New Roman"/>
        </w:rPr>
      </w:pPr>
      <w:r w:rsidRPr="00564DE2">
        <w:rPr>
          <w:rFonts w:ascii="Arial Black" w:hAnsi="Arial Black" w:cs="Times New Roman"/>
        </w:rPr>
        <w:t>QUARTOS DE HOTEL. PREÇO MÉDIO.</w:t>
      </w:r>
      <w:r>
        <w:rPr>
          <w:rFonts w:ascii="Arial Black" w:hAnsi="Arial Black" w:cs="Times New Roman"/>
        </w:rPr>
        <w:t xml:space="preserve"> </w:t>
      </w:r>
      <w:r w:rsidRPr="00564DE2">
        <w:rPr>
          <w:rFonts w:ascii="Arial Black" w:hAnsi="Arial Black" w:cs="Times New Roman"/>
        </w:rPr>
        <w:t>DESTITUIÇÃO DO PERITO OFICIAL. INDEFERIMENTO.</w:t>
      </w:r>
      <w:r>
        <w:rPr>
          <w:rFonts w:ascii="Arial Black" w:hAnsi="Arial Black" w:cs="Times New Roman"/>
        </w:rPr>
        <w:t xml:space="preserve"> </w:t>
      </w:r>
      <w:r w:rsidRPr="00564DE2">
        <w:rPr>
          <w:rFonts w:ascii="Arial Black" w:hAnsi="Arial Black" w:cs="Times New Roman"/>
        </w:rPr>
        <w:t>QUESITOS SUPLEMENTARES DEPOIS DO LAUDO PROTOCOLIZADO.</w:t>
      </w:r>
      <w:r>
        <w:rPr>
          <w:rFonts w:ascii="Arial Black" w:hAnsi="Arial Black" w:cs="Times New Roman"/>
        </w:rPr>
        <w:t xml:space="preserve"> </w:t>
      </w:r>
      <w:r w:rsidRPr="00564DE2">
        <w:rPr>
          <w:rFonts w:ascii="Arial Black" w:hAnsi="Arial Black" w:cs="Times New Roman"/>
        </w:rPr>
        <w:t>INTEMPESTIVIDADE. PETIÇÃO</w:t>
      </w:r>
    </w:p>
    <w:p w14:paraId="1397AB2E" w14:textId="77777777" w:rsidR="00564DE2" w:rsidRPr="00564DE2" w:rsidRDefault="00564DE2" w:rsidP="00564DE2">
      <w:pPr>
        <w:spacing w:after="0" w:line="240" w:lineRule="auto"/>
        <w:ind w:right="-567"/>
        <w:jc w:val="right"/>
        <w:rPr>
          <w:rFonts w:ascii="Arial Black" w:hAnsi="Arial Black" w:cs="Times New Roman"/>
        </w:rPr>
      </w:pPr>
      <w:proofErr w:type="spellStart"/>
      <w:r w:rsidRPr="00564DE2">
        <w:rPr>
          <w:rFonts w:ascii="Arial Black" w:hAnsi="Arial Black" w:cs="Times New Roman"/>
        </w:rPr>
        <w:t>Rénan</w:t>
      </w:r>
      <w:proofErr w:type="spellEnd"/>
      <w:r w:rsidRPr="00564DE2">
        <w:rPr>
          <w:rFonts w:ascii="Arial Black" w:hAnsi="Arial Black" w:cs="Times New Roman"/>
        </w:rPr>
        <w:t xml:space="preserve"> </w:t>
      </w:r>
      <w:proofErr w:type="spellStart"/>
      <w:r w:rsidRPr="00564DE2">
        <w:rPr>
          <w:rFonts w:ascii="Arial Black" w:hAnsi="Arial Black" w:cs="Times New Roman"/>
        </w:rPr>
        <w:t>Kfuri</w:t>
      </w:r>
      <w:proofErr w:type="spellEnd"/>
      <w:r w:rsidRPr="00564DE2">
        <w:rPr>
          <w:rFonts w:ascii="Arial Black" w:hAnsi="Arial Black" w:cs="Times New Roman"/>
        </w:rPr>
        <w:t xml:space="preserve"> Lopes</w:t>
      </w:r>
    </w:p>
    <w:p w14:paraId="3C8EB3F7" w14:textId="77777777" w:rsidR="00564DE2" w:rsidRPr="00564DE2" w:rsidRDefault="00564DE2" w:rsidP="00564DE2">
      <w:pPr>
        <w:ind w:right="-568"/>
        <w:jc w:val="both"/>
        <w:rPr>
          <w:rFonts w:ascii="Times New Roman" w:hAnsi="Times New Roman" w:cs="Times New Roman"/>
        </w:rPr>
      </w:pPr>
    </w:p>
    <w:p w14:paraId="5BA6511F" w14:textId="77777777" w:rsidR="00564DE2" w:rsidRDefault="00564DE2" w:rsidP="00564DE2">
      <w:pPr>
        <w:ind w:right="-568"/>
        <w:jc w:val="both"/>
        <w:rPr>
          <w:rFonts w:ascii="Times New Roman" w:hAnsi="Times New Roman" w:cs="Times New Roman"/>
        </w:rPr>
      </w:pPr>
      <w:r w:rsidRPr="00564DE2">
        <w:rPr>
          <w:rFonts w:ascii="Times New Roman" w:hAnsi="Times New Roman" w:cs="Times New Roman"/>
        </w:rPr>
        <w:t>E</w:t>
      </w:r>
      <w:r>
        <w:rPr>
          <w:rFonts w:ascii="Times New Roman" w:hAnsi="Times New Roman" w:cs="Times New Roman"/>
        </w:rPr>
        <w:t>xmo. Sr. Juiz de Direito da ... Vara Cível da Comarca de ....</w:t>
      </w:r>
    </w:p>
    <w:p w14:paraId="5671E04E" w14:textId="7D6C4F46" w:rsidR="00564DE2" w:rsidRPr="00564DE2" w:rsidRDefault="00564DE2" w:rsidP="00564DE2">
      <w:pPr>
        <w:ind w:right="-568"/>
        <w:jc w:val="both"/>
        <w:rPr>
          <w:rFonts w:ascii="Times New Roman" w:hAnsi="Times New Roman" w:cs="Times New Roman"/>
        </w:rPr>
      </w:pPr>
      <w:r w:rsidRPr="00564DE2">
        <w:rPr>
          <w:rFonts w:ascii="Times New Roman" w:hAnsi="Times New Roman" w:cs="Times New Roman"/>
        </w:rPr>
        <w:t xml:space="preserve">Cumprimento de Sentença n. </w:t>
      </w:r>
      <w:r>
        <w:rPr>
          <w:rFonts w:ascii="Times New Roman" w:hAnsi="Times New Roman" w:cs="Times New Roman"/>
        </w:rPr>
        <w:t>...</w:t>
      </w:r>
    </w:p>
    <w:p w14:paraId="32ACC2A5" w14:textId="77777777" w:rsidR="00564DE2" w:rsidRPr="00564DE2" w:rsidRDefault="00564DE2" w:rsidP="00564DE2">
      <w:pPr>
        <w:ind w:right="-568"/>
        <w:jc w:val="both"/>
        <w:rPr>
          <w:rFonts w:ascii="Times New Roman" w:hAnsi="Times New Roman" w:cs="Times New Roman"/>
        </w:rPr>
      </w:pPr>
      <w:r w:rsidRPr="00564DE2">
        <w:rPr>
          <w:rFonts w:ascii="Times New Roman" w:hAnsi="Times New Roman" w:cs="Times New Roman"/>
        </w:rPr>
        <w:t xml:space="preserve">- </w:t>
      </w:r>
      <w:proofErr w:type="gramStart"/>
      <w:r w:rsidRPr="00564DE2">
        <w:rPr>
          <w:rFonts w:ascii="Times New Roman" w:hAnsi="Times New Roman" w:cs="Times New Roman"/>
        </w:rPr>
        <w:t>homologação</w:t>
      </w:r>
      <w:proofErr w:type="gramEnd"/>
      <w:r w:rsidRPr="00564DE2">
        <w:rPr>
          <w:rFonts w:ascii="Times New Roman" w:hAnsi="Times New Roman" w:cs="Times New Roman"/>
        </w:rPr>
        <w:t xml:space="preserve"> do laudo pericial pelo preço médio encontrado -</w:t>
      </w:r>
    </w:p>
    <w:p w14:paraId="28B41294" w14:textId="77777777" w:rsidR="00564DE2" w:rsidRPr="00564DE2" w:rsidRDefault="00564DE2" w:rsidP="00564DE2">
      <w:pPr>
        <w:ind w:right="-568"/>
        <w:jc w:val="both"/>
        <w:rPr>
          <w:rFonts w:ascii="Times New Roman" w:hAnsi="Times New Roman" w:cs="Times New Roman"/>
        </w:rPr>
      </w:pPr>
      <w:r w:rsidRPr="00564DE2">
        <w:rPr>
          <w:rFonts w:ascii="Times New Roman" w:hAnsi="Times New Roman" w:cs="Times New Roman"/>
        </w:rPr>
        <w:t xml:space="preserve">- </w:t>
      </w:r>
      <w:proofErr w:type="gramStart"/>
      <w:r w:rsidRPr="00564DE2">
        <w:rPr>
          <w:rFonts w:ascii="Times New Roman" w:hAnsi="Times New Roman" w:cs="Times New Roman"/>
        </w:rPr>
        <w:t>fragilidades</w:t>
      </w:r>
      <w:proofErr w:type="gramEnd"/>
      <w:r w:rsidRPr="00564DE2">
        <w:rPr>
          <w:rFonts w:ascii="Times New Roman" w:hAnsi="Times New Roman" w:cs="Times New Roman"/>
        </w:rPr>
        <w:t xml:space="preserve"> da petição e parecer técnico dos executados -</w:t>
      </w:r>
    </w:p>
    <w:p w14:paraId="1F397B0E" w14:textId="77777777" w:rsidR="00564DE2" w:rsidRPr="00564DE2" w:rsidRDefault="00564DE2" w:rsidP="00564DE2">
      <w:pPr>
        <w:ind w:right="-568"/>
        <w:jc w:val="both"/>
        <w:rPr>
          <w:rFonts w:ascii="Times New Roman" w:hAnsi="Times New Roman" w:cs="Times New Roman"/>
        </w:rPr>
      </w:pPr>
      <w:r w:rsidRPr="00564DE2">
        <w:rPr>
          <w:rFonts w:ascii="Times New Roman" w:hAnsi="Times New Roman" w:cs="Times New Roman"/>
        </w:rPr>
        <w:t xml:space="preserve">- </w:t>
      </w:r>
      <w:proofErr w:type="gramStart"/>
      <w:r w:rsidRPr="00564DE2">
        <w:rPr>
          <w:rFonts w:ascii="Times New Roman" w:hAnsi="Times New Roman" w:cs="Times New Roman"/>
        </w:rPr>
        <w:t>indeferimento</w:t>
      </w:r>
      <w:proofErr w:type="gramEnd"/>
      <w:r w:rsidRPr="00564DE2">
        <w:rPr>
          <w:rFonts w:ascii="Times New Roman" w:hAnsi="Times New Roman" w:cs="Times New Roman"/>
        </w:rPr>
        <w:t xml:space="preserve"> dos pedidos de “</w:t>
      </w:r>
      <w:r w:rsidRPr="00564DE2">
        <w:rPr>
          <w:rFonts w:ascii="Times New Roman" w:hAnsi="Times New Roman" w:cs="Times New Roman"/>
          <w:i/>
          <w:iCs/>
        </w:rPr>
        <w:t>destituição</w:t>
      </w:r>
      <w:r w:rsidRPr="00564DE2">
        <w:rPr>
          <w:rFonts w:ascii="Times New Roman" w:hAnsi="Times New Roman" w:cs="Times New Roman"/>
        </w:rPr>
        <w:t>” do perito oficial do juízo e de responder a “</w:t>
      </w:r>
      <w:r w:rsidRPr="00564DE2">
        <w:rPr>
          <w:rFonts w:ascii="Times New Roman" w:hAnsi="Times New Roman" w:cs="Times New Roman"/>
          <w:i/>
          <w:iCs/>
        </w:rPr>
        <w:t>quesitos suplementares</w:t>
      </w:r>
      <w:r w:rsidRPr="00564DE2">
        <w:rPr>
          <w:rFonts w:ascii="Times New Roman" w:hAnsi="Times New Roman" w:cs="Times New Roman"/>
        </w:rPr>
        <w:t>” -</w:t>
      </w:r>
    </w:p>
    <w:p w14:paraId="02102389" w14:textId="04337539" w:rsidR="00564DE2" w:rsidRPr="00564DE2" w:rsidRDefault="00564DE2" w:rsidP="00564DE2">
      <w:pPr>
        <w:ind w:right="-568"/>
        <w:jc w:val="both"/>
        <w:rPr>
          <w:rFonts w:ascii="Times New Roman" w:hAnsi="Times New Roman" w:cs="Times New Roman"/>
        </w:rPr>
      </w:pPr>
      <w:r>
        <w:rPr>
          <w:rFonts w:ascii="Times New Roman" w:hAnsi="Times New Roman" w:cs="Times New Roman"/>
        </w:rPr>
        <w:t>(nome)</w:t>
      </w:r>
      <w:r w:rsidRPr="00564DE2">
        <w:rPr>
          <w:rFonts w:ascii="Times New Roman" w:hAnsi="Times New Roman" w:cs="Times New Roman"/>
        </w:rPr>
        <w:t xml:space="preserve"> E OUTROS, exequente, por seus advogados </w:t>
      </w:r>
      <w:r w:rsidRPr="00564DE2">
        <w:rPr>
          <w:rFonts w:ascii="Times New Roman" w:hAnsi="Times New Roman" w:cs="Times New Roman"/>
          <w:i/>
          <w:iCs/>
        </w:rPr>
        <w:t>in fine</w:t>
      </w:r>
      <w:r w:rsidRPr="00564DE2">
        <w:rPr>
          <w:rFonts w:ascii="Times New Roman" w:hAnsi="Times New Roman" w:cs="Times New Roman"/>
        </w:rPr>
        <w:t xml:space="preserve"> assinados, nos autos do “</w:t>
      </w:r>
      <w:r w:rsidRPr="00564DE2">
        <w:rPr>
          <w:rFonts w:ascii="Times New Roman" w:hAnsi="Times New Roman" w:cs="Times New Roman"/>
          <w:i/>
          <w:iCs/>
        </w:rPr>
        <w:t>Cumprimento de Sentença</w:t>
      </w:r>
      <w:r w:rsidRPr="00564DE2">
        <w:rPr>
          <w:rFonts w:ascii="Times New Roman" w:hAnsi="Times New Roman" w:cs="Times New Roman"/>
        </w:rPr>
        <w:t xml:space="preserve">” epigrafado promovido contra </w:t>
      </w:r>
      <w:r>
        <w:rPr>
          <w:rFonts w:ascii="Times New Roman" w:hAnsi="Times New Roman" w:cs="Times New Roman"/>
        </w:rPr>
        <w:t>...</w:t>
      </w:r>
      <w:r w:rsidRPr="00564DE2">
        <w:rPr>
          <w:rFonts w:ascii="Times New Roman" w:hAnsi="Times New Roman" w:cs="Times New Roman"/>
        </w:rPr>
        <w:t xml:space="preserve"> E OUTROS, executados, vem, respeitosamente, em atendimento ao r. despacho do Id </w:t>
      </w:r>
      <w:r>
        <w:rPr>
          <w:rFonts w:ascii="Times New Roman" w:hAnsi="Times New Roman" w:cs="Times New Roman"/>
        </w:rPr>
        <w:t>...</w:t>
      </w:r>
      <w:r w:rsidRPr="00564DE2">
        <w:rPr>
          <w:rFonts w:ascii="Times New Roman" w:hAnsi="Times New Roman" w:cs="Times New Roman"/>
        </w:rPr>
        <w:t>, manifestar sobre o “</w:t>
      </w:r>
      <w:r w:rsidRPr="00564DE2">
        <w:rPr>
          <w:rFonts w:ascii="Times New Roman" w:hAnsi="Times New Roman" w:cs="Times New Roman"/>
          <w:i/>
          <w:iCs/>
        </w:rPr>
        <w:t>Laudo Pericial</w:t>
      </w:r>
      <w:r w:rsidRPr="00564DE2">
        <w:rPr>
          <w:rFonts w:ascii="Times New Roman" w:hAnsi="Times New Roman" w:cs="Times New Roman"/>
        </w:rPr>
        <w:t xml:space="preserve">” de avaliação dos imóveis penhorados juntado nos Ids </w:t>
      </w:r>
      <w:r>
        <w:rPr>
          <w:rFonts w:ascii="Times New Roman" w:hAnsi="Times New Roman" w:cs="Times New Roman"/>
        </w:rPr>
        <w:t>...</w:t>
      </w:r>
      <w:r w:rsidRPr="00564DE2">
        <w:rPr>
          <w:rFonts w:ascii="Times New Roman" w:hAnsi="Times New Roman" w:cs="Times New Roman"/>
        </w:rPr>
        <w:t xml:space="preserve"> e </w:t>
      </w:r>
      <w:r>
        <w:rPr>
          <w:rFonts w:ascii="Times New Roman" w:hAnsi="Times New Roman" w:cs="Times New Roman"/>
        </w:rPr>
        <w:t>...</w:t>
      </w:r>
      <w:r w:rsidRPr="00564DE2">
        <w:rPr>
          <w:rFonts w:ascii="Times New Roman" w:hAnsi="Times New Roman" w:cs="Times New Roman"/>
        </w:rPr>
        <w:t>, pelo que passa a aduzir:</w:t>
      </w:r>
    </w:p>
    <w:p w14:paraId="069EE3F1" w14:textId="5F833A74" w:rsidR="00564DE2" w:rsidRPr="00564DE2" w:rsidRDefault="00564DE2" w:rsidP="00564DE2">
      <w:pPr>
        <w:ind w:right="-568"/>
        <w:jc w:val="both"/>
        <w:rPr>
          <w:rFonts w:ascii="Times New Roman" w:hAnsi="Times New Roman" w:cs="Times New Roman"/>
          <w:b/>
          <w:bCs/>
        </w:rPr>
      </w:pPr>
      <w:r w:rsidRPr="00564DE2">
        <w:rPr>
          <w:rFonts w:ascii="Times New Roman" w:hAnsi="Times New Roman" w:cs="Times New Roman"/>
        </w:rPr>
        <w:t xml:space="preserve"> </w:t>
      </w:r>
      <w:r w:rsidRPr="00564DE2">
        <w:rPr>
          <w:rFonts w:ascii="Times New Roman" w:hAnsi="Times New Roman" w:cs="Times New Roman"/>
          <w:b/>
          <w:bCs/>
        </w:rPr>
        <w:t>HOMOLOGAÇÃO DO “</w:t>
      </w:r>
      <w:r w:rsidRPr="00564DE2">
        <w:rPr>
          <w:rFonts w:ascii="Times New Roman" w:hAnsi="Times New Roman" w:cs="Times New Roman"/>
          <w:b/>
          <w:bCs/>
          <w:i/>
          <w:iCs/>
        </w:rPr>
        <w:t>LAUDO PERICIAL</w:t>
      </w:r>
      <w:r w:rsidRPr="00564DE2">
        <w:rPr>
          <w:rFonts w:ascii="Times New Roman" w:hAnsi="Times New Roman" w:cs="Times New Roman"/>
          <w:b/>
          <w:bCs/>
        </w:rPr>
        <w:t xml:space="preserve">” PELA AVALIAÇÃO </w:t>
      </w:r>
      <w:proofErr w:type="gramStart"/>
      <w:r w:rsidRPr="00564DE2">
        <w:rPr>
          <w:rFonts w:ascii="Times New Roman" w:hAnsi="Times New Roman" w:cs="Times New Roman"/>
          <w:b/>
          <w:bCs/>
        </w:rPr>
        <w:t>DO  “</w:t>
      </w:r>
      <w:proofErr w:type="gramEnd"/>
      <w:r w:rsidRPr="00564DE2">
        <w:rPr>
          <w:rFonts w:ascii="Times New Roman" w:hAnsi="Times New Roman" w:cs="Times New Roman"/>
          <w:b/>
          <w:bCs/>
          <w:i/>
          <w:iCs/>
        </w:rPr>
        <w:t xml:space="preserve">PREÇO </w:t>
      </w:r>
      <w:proofErr w:type="gramStart"/>
      <w:r w:rsidRPr="00564DE2">
        <w:rPr>
          <w:rFonts w:ascii="Times New Roman" w:hAnsi="Times New Roman" w:cs="Times New Roman"/>
          <w:b/>
          <w:bCs/>
          <w:i/>
          <w:iCs/>
        </w:rPr>
        <w:t>MÉDIO</w:t>
      </w:r>
      <w:r w:rsidRPr="00564DE2">
        <w:rPr>
          <w:rFonts w:ascii="Times New Roman" w:hAnsi="Times New Roman" w:cs="Times New Roman"/>
          <w:b/>
          <w:bCs/>
        </w:rPr>
        <w:t>”  ENCONTRADO</w:t>
      </w:r>
      <w:proofErr w:type="gramEnd"/>
    </w:p>
    <w:p w14:paraId="1A436DE7" w14:textId="55EEC8D6" w:rsidR="00564DE2" w:rsidRPr="00564DE2" w:rsidRDefault="00564DE2" w:rsidP="00564DE2">
      <w:pPr>
        <w:ind w:right="-568"/>
        <w:jc w:val="both"/>
        <w:rPr>
          <w:rFonts w:ascii="Times New Roman" w:hAnsi="Times New Roman" w:cs="Times New Roman"/>
        </w:rPr>
      </w:pPr>
      <w:r w:rsidRPr="00564DE2">
        <w:rPr>
          <w:rFonts w:ascii="Times New Roman" w:hAnsi="Times New Roman" w:cs="Times New Roman"/>
        </w:rPr>
        <w:t xml:space="preserve">O ilustre Dr. </w:t>
      </w:r>
      <w:r>
        <w:rPr>
          <w:rFonts w:ascii="Times New Roman" w:hAnsi="Times New Roman" w:cs="Times New Roman"/>
        </w:rPr>
        <w:t>...</w:t>
      </w:r>
      <w:r w:rsidRPr="00564DE2">
        <w:rPr>
          <w:rFonts w:ascii="Times New Roman" w:hAnsi="Times New Roman" w:cs="Times New Roman"/>
        </w:rPr>
        <w:t>, entregou aos exequentes o seu “</w:t>
      </w:r>
      <w:r w:rsidRPr="00564DE2">
        <w:rPr>
          <w:rFonts w:ascii="Times New Roman" w:hAnsi="Times New Roman" w:cs="Times New Roman"/>
          <w:i/>
          <w:iCs/>
        </w:rPr>
        <w:t>Parecer do Assistente Técnico dos Exequentes</w:t>
      </w:r>
      <w:r w:rsidRPr="00564DE2">
        <w:rPr>
          <w:rFonts w:ascii="Times New Roman" w:hAnsi="Times New Roman" w:cs="Times New Roman"/>
        </w:rPr>
        <w:t xml:space="preserve">” no qual se procede à juntada na forma do art. 477, </w:t>
      </w:r>
      <w:r w:rsidRPr="00564DE2">
        <w:rPr>
          <w:rFonts w:ascii="Times New Roman" w:hAnsi="Times New Roman" w:cs="Times New Roman"/>
          <w:i/>
          <w:iCs/>
        </w:rPr>
        <w:t>caput</w:t>
      </w:r>
      <w:r w:rsidRPr="00564DE2">
        <w:rPr>
          <w:rFonts w:ascii="Times New Roman" w:hAnsi="Times New Roman" w:cs="Times New Roman"/>
        </w:rPr>
        <w:t xml:space="preserve"> e § 1º do CPC [doc.</w:t>
      </w:r>
      <w:r>
        <w:rPr>
          <w:rFonts w:ascii="Times New Roman" w:hAnsi="Times New Roman" w:cs="Times New Roman"/>
        </w:rPr>
        <w:t xml:space="preserve"> n. ...</w:t>
      </w:r>
      <w:r w:rsidRPr="00564DE2">
        <w:rPr>
          <w:rFonts w:ascii="Times New Roman" w:hAnsi="Times New Roman" w:cs="Times New Roman"/>
        </w:rPr>
        <w:t>].</w:t>
      </w:r>
    </w:p>
    <w:p w14:paraId="3F4B01DB" w14:textId="33DECE3C" w:rsidR="00564DE2" w:rsidRPr="00564DE2" w:rsidRDefault="00564DE2" w:rsidP="00564DE2">
      <w:pPr>
        <w:ind w:right="-568"/>
        <w:jc w:val="both"/>
        <w:rPr>
          <w:rFonts w:ascii="Times New Roman" w:hAnsi="Times New Roman" w:cs="Times New Roman"/>
        </w:rPr>
      </w:pPr>
      <w:r w:rsidRPr="00564DE2">
        <w:rPr>
          <w:rFonts w:ascii="Times New Roman" w:hAnsi="Times New Roman" w:cs="Times New Roman"/>
        </w:rPr>
        <w:t xml:space="preserve">Infere-se da leitura do parecer da lavra do Dr. </w:t>
      </w:r>
      <w:r>
        <w:rPr>
          <w:rFonts w:ascii="Times New Roman" w:hAnsi="Times New Roman" w:cs="Times New Roman"/>
        </w:rPr>
        <w:t>...</w:t>
      </w:r>
      <w:r w:rsidRPr="00564DE2">
        <w:rPr>
          <w:rFonts w:ascii="Times New Roman" w:hAnsi="Times New Roman" w:cs="Times New Roman"/>
        </w:rPr>
        <w:t>, do qual os exequentes adotam por sua fidelidade e excelência técnica, que houve “</w:t>
      </w:r>
      <w:r w:rsidRPr="00564DE2">
        <w:rPr>
          <w:rFonts w:ascii="Times New Roman" w:hAnsi="Times New Roman" w:cs="Times New Roman"/>
          <w:i/>
          <w:iCs/>
        </w:rPr>
        <w:t>Concordância Parcial</w:t>
      </w:r>
      <w:r w:rsidRPr="00564DE2">
        <w:rPr>
          <w:rFonts w:ascii="Times New Roman" w:hAnsi="Times New Roman" w:cs="Times New Roman"/>
        </w:rPr>
        <w:t xml:space="preserve">” quanto ao valor apontado pelo d. Perito Oficial, Dr. </w:t>
      </w:r>
      <w:r>
        <w:rPr>
          <w:rFonts w:ascii="Times New Roman" w:hAnsi="Times New Roman" w:cs="Times New Roman"/>
        </w:rPr>
        <w:t>...</w:t>
      </w:r>
      <w:r w:rsidRPr="00564DE2">
        <w:rPr>
          <w:rFonts w:ascii="Times New Roman" w:hAnsi="Times New Roman" w:cs="Times New Roman"/>
        </w:rPr>
        <w:t xml:space="preserve">, da avaliação pelo preço global médio de R$ </w:t>
      </w:r>
      <w:r>
        <w:rPr>
          <w:rFonts w:ascii="Times New Roman" w:hAnsi="Times New Roman" w:cs="Times New Roman"/>
        </w:rPr>
        <w:t>...</w:t>
      </w:r>
      <w:r w:rsidRPr="00564DE2">
        <w:rPr>
          <w:rFonts w:ascii="Times New Roman" w:hAnsi="Times New Roman" w:cs="Times New Roman"/>
        </w:rPr>
        <w:t xml:space="preserve"> [</w:t>
      </w:r>
      <w:r>
        <w:rPr>
          <w:rFonts w:ascii="Times New Roman" w:hAnsi="Times New Roman" w:cs="Times New Roman"/>
        </w:rPr>
        <w:t>...</w:t>
      </w:r>
      <w:r w:rsidRPr="00564DE2">
        <w:rPr>
          <w:rFonts w:ascii="Times New Roman" w:hAnsi="Times New Roman" w:cs="Times New Roman"/>
        </w:rPr>
        <w:t>].</w:t>
      </w:r>
    </w:p>
    <w:p w14:paraId="0BEA3C87" w14:textId="46BBD419" w:rsidR="00564DE2" w:rsidRPr="00564DE2" w:rsidRDefault="00564DE2" w:rsidP="00564DE2">
      <w:pPr>
        <w:ind w:right="-568"/>
        <w:jc w:val="both"/>
        <w:rPr>
          <w:rFonts w:ascii="Times New Roman" w:hAnsi="Times New Roman" w:cs="Times New Roman"/>
          <w:i/>
          <w:iCs/>
        </w:rPr>
      </w:pPr>
      <w:r w:rsidRPr="00564DE2">
        <w:rPr>
          <w:rFonts w:ascii="Times New Roman" w:hAnsi="Times New Roman" w:cs="Times New Roman"/>
        </w:rPr>
        <w:t xml:space="preserve">Destacou-se tanto no LAUDO OFICIAL quanto no do ASSISTENTE TÉCNICO DOS EXEQUENTES que na espécie não se trata de avaliações de um quarto de hotel com natureza empresarial, pois referidos imóveis serão adjudicados ou leiloados judicialmente bom base nos seus valores venais do imóvel em si, mas nunca jamais, com as características de um empreendimento hoteleiro, que se pode almejar um </w:t>
      </w:r>
      <w:proofErr w:type="spellStart"/>
      <w:r w:rsidRPr="00564DE2">
        <w:rPr>
          <w:rFonts w:ascii="Times New Roman" w:hAnsi="Times New Roman" w:cs="Times New Roman"/>
          <w:i/>
          <w:iCs/>
        </w:rPr>
        <w:t>Good</w:t>
      </w:r>
      <w:proofErr w:type="spellEnd"/>
      <w:r w:rsidRPr="00564DE2">
        <w:rPr>
          <w:rFonts w:ascii="Times New Roman" w:hAnsi="Times New Roman" w:cs="Times New Roman"/>
          <w:i/>
          <w:iCs/>
        </w:rPr>
        <w:t xml:space="preserve"> Will</w:t>
      </w:r>
      <w:r w:rsidRPr="00564DE2">
        <w:rPr>
          <w:rFonts w:ascii="Times New Roman" w:hAnsi="Times New Roman" w:cs="Times New Roman"/>
        </w:rPr>
        <w:t xml:space="preserve"> ou valor subjetivo do negócio.</w:t>
      </w:r>
      <w:r>
        <w:rPr>
          <w:rFonts w:ascii="Times New Roman" w:hAnsi="Times New Roman" w:cs="Times New Roman"/>
        </w:rPr>
        <w:t xml:space="preserve"> </w:t>
      </w:r>
      <w:r w:rsidRPr="00564DE2">
        <w:rPr>
          <w:rFonts w:ascii="Times New Roman" w:hAnsi="Times New Roman" w:cs="Times New Roman"/>
        </w:rPr>
        <w:t>Nada disso. Muito ao contrári</w:t>
      </w:r>
      <w:r w:rsidRPr="00564DE2">
        <w:rPr>
          <w:rFonts w:ascii="Times New Roman" w:hAnsi="Times New Roman" w:cs="Times New Roman"/>
          <w:i/>
          <w:iCs/>
        </w:rPr>
        <w:t>o.</w:t>
      </w:r>
    </w:p>
    <w:p w14:paraId="66ABD178" w14:textId="2EC494D5" w:rsidR="00564DE2" w:rsidRPr="00564DE2" w:rsidRDefault="00564DE2" w:rsidP="00564DE2">
      <w:pPr>
        <w:ind w:right="-568"/>
        <w:jc w:val="both"/>
        <w:rPr>
          <w:rFonts w:ascii="Times New Roman" w:hAnsi="Times New Roman" w:cs="Times New Roman"/>
        </w:rPr>
      </w:pPr>
      <w:r w:rsidRPr="00564DE2">
        <w:rPr>
          <w:rFonts w:ascii="Times New Roman" w:hAnsi="Times New Roman" w:cs="Times New Roman"/>
          <w:i/>
          <w:iCs/>
        </w:rPr>
        <w:t>Há sim flagrante “</w:t>
      </w:r>
      <w:r w:rsidRPr="00564DE2">
        <w:rPr>
          <w:rFonts w:ascii="Times New Roman" w:hAnsi="Times New Roman" w:cs="Times New Roman"/>
        </w:rPr>
        <w:t>depreciação” nestes 30 [trinta] “</w:t>
      </w:r>
      <w:r w:rsidRPr="00564DE2">
        <w:rPr>
          <w:rFonts w:ascii="Times New Roman" w:hAnsi="Times New Roman" w:cs="Times New Roman"/>
          <w:i/>
          <w:iCs/>
        </w:rPr>
        <w:t>quartos de hotel</w:t>
      </w:r>
      <w:r w:rsidRPr="00564DE2">
        <w:rPr>
          <w:rFonts w:ascii="Times New Roman" w:hAnsi="Times New Roman" w:cs="Times New Roman"/>
        </w:rPr>
        <w:t>”, pois evidentemente:</w:t>
      </w:r>
    </w:p>
    <w:p w14:paraId="71590902" w14:textId="5CEED64F" w:rsidR="00564DE2" w:rsidRPr="00564DE2" w:rsidRDefault="00564DE2" w:rsidP="00564DE2">
      <w:pPr>
        <w:ind w:right="-568"/>
        <w:jc w:val="both"/>
        <w:rPr>
          <w:rFonts w:ascii="Times New Roman" w:hAnsi="Times New Roman" w:cs="Times New Roman"/>
        </w:rPr>
      </w:pPr>
      <w:r>
        <w:rPr>
          <w:rFonts w:ascii="Times New Roman" w:hAnsi="Times New Roman" w:cs="Times New Roman"/>
        </w:rPr>
        <w:t xml:space="preserve">- </w:t>
      </w:r>
      <w:proofErr w:type="gramStart"/>
      <w:r w:rsidRPr="00564DE2">
        <w:rPr>
          <w:rFonts w:ascii="Times New Roman" w:hAnsi="Times New Roman" w:cs="Times New Roman"/>
        </w:rPr>
        <w:t>não</w:t>
      </w:r>
      <w:proofErr w:type="gramEnd"/>
      <w:r w:rsidRPr="00564DE2">
        <w:rPr>
          <w:rFonts w:ascii="Times New Roman" w:hAnsi="Times New Roman" w:cs="Times New Roman"/>
        </w:rPr>
        <w:t xml:space="preserve"> têm características ideais para se tratar como um imóvel residencial ou comercial;</w:t>
      </w:r>
    </w:p>
    <w:p w14:paraId="55A159D5" w14:textId="26610A9D" w:rsidR="00564DE2" w:rsidRPr="00564DE2" w:rsidRDefault="00564DE2" w:rsidP="00564DE2">
      <w:pPr>
        <w:ind w:right="-568"/>
        <w:jc w:val="both"/>
        <w:rPr>
          <w:rFonts w:ascii="Times New Roman" w:hAnsi="Times New Roman" w:cs="Times New Roman"/>
        </w:rPr>
      </w:pPr>
      <w:r>
        <w:rPr>
          <w:rFonts w:ascii="Times New Roman" w:hAnsi="Times New Roman" w:cs="Times New Roman"/>
        </w:rPr>
        <w:t xml:space="preserve">- </w:t>
      </w:r>
      <w:proofErr w:type="gramStart"/>
      <w:r w:rsidRPr="00564DE2">
        <w:rPr>
          <w:rFonts w:ascii="Times New Roman" w:hAnsi="Times New Roman" w:cs="Times New Roman"/>
        </w:rPr>
        <w:t>não</w:t>
      </w:r>
      <w:proofErr w:type="gramEnd"/>
      <w:r w:rsidRPr="00564DE2">
        <w:rPr>
          <w:rFonts w:ascii="Times New Roman" w:hAnsi="Times New Roman" w:cs="Times New Roman"/>
        </w:rPr>
        <w:t xml:space="preserve"> possuem área independente com entrada exclusiva;</w:t>
      </w:r>
    </w:p>
    <w:p w14:paraId="643682C5" w14:textId="1BB4D0A5" w:rsidR="00564DE2" w:rsidRPr="00564DE2" w:rsidRDefault="00564DE2" w:rsidP="00564DE2">
      <w:pPr>
        <w:ind w:right="-568"/>
        <w:jc w:val="both"/>
        <w:rPr>
          <w:rFonts w:ascii="Times New Roman" w:hAnsi="Times New Roman" w:cs="Times New Roman"/>
        </w:rPr>
      </w:pPr>
      <w:r>
        <w:rPr>
          <w:rFonts w:ascii="Times New Roman" w:hAnsi="Times New Roman" w:cs="Times New Roman"/>
        </w:rPr>
        <w:t xml:space="preserve">- </w:t>
      </w:r>
      <w:proofErr w:type="gramStart"/>
      <w:r w:rsidRPr="00564DE2">
        <w:rPr>
          <w:rFonts w:ascii="Times New Roman" w:hAnsi="Times New Roman" w:cs="Times New Roman"/>
        </w:rPr>
        <w:t>não</w:t>
      </w:r>
      <w:proofErr w:type="gramEnd"/>
      <w:r w:rsidRPr="00564DE2">
        <w:rPr>
          <w:rFonts w:ascii="Times New Roman" w:hAnsi="Times New Roman" w:cs="Times New Roman"/>
        </w:rPr>
        <w:t xml:space="preserve"> podem ser utilizados com plena autonomia;</w:t>
      </w:r>
    </w:p>
    <w:p w14:paraId="1A439B5B" w14:textId="6E1660CF" w:rsidR="00564DE2" w:rsidRPr="00564DE2" w:rsidRDefault="00564DE2" w:rsidP="00564DE2">
      <w:pPr>
        <w:ind w:right="-568"/>
        <w:jc w:val="both"/>
        <w:rPr>
          <w:rFonts w:ascii="Times New Roman" w:hAnsi="Times New Roman" w:cs="Times New Roman"/>
        </w:rPr>
      </w:pPr>
      <w:r>
        <w:rPr>
          <w:rFonts w:ascii="Times New Roman" w:hAnsi="Times New Roman" w:cs="Times New Roman"/>
        </w:rPr>
        <w:t xml:space="preserve">- </w:t>
      </w:r>
      <w:proofErr w:type="gramStart"/>
      <w:r w:rsidRPr="00564DE2">
        <w:rPr>
          <w:rFonts w:ascii="Times New Roman" w:hAnsi="Times New Roman" w:cs="Times New Roman"/>
        </w:rPr>
        <w:t>estão</w:t>
      </w:r>
      <w:proofErr w:type="gramEnd"/>
      <w:r w:rsidRPr="00564DE2">
        <w:rPr>
          <w:rFonts w:ascii="Times New Roman" w:hAnsi="Times New Roman" w:cs="Times New Roman"/>
        </w:rPr>
        <w:t xml:space="preserve"> inseridos em estrutura cuja manutenção e regras de uso são impostas pela administração hoteleira;</w:t>
      </w:r>
    </w:p>
    <w:p w14:paraId="0CE888B1" w14:textId="3F10628E" w:rsidR="00564DE2" w:rsidRPr="00564DE2" w:rsidRDefault="00564DE2" w:rsidP="00564DE2">
      <w:pPr>
        <w:ind w:right="-568"/>
        <w:jc w:val="both"/>
        <w:rPr>
          <w:rFonts w:ascii="Times New Roman" w:hAnsi="Times New Roman" w:cs="Times New Roman"/>
        </w:rPr>
      </w:pPr>
      <w:r>
        <w:rPr>
          <w:rFonts w:ascii="Times New Roman" w:hAnsi="Times New Roman" w:cs="Times New Roman"/>
        </w:rPr>
        <w:lastRenderedPageBreak/>
        <w:t xml:space="preserve">- </w:t>
      </w:r>
      <w:proofErr w:type="gramStart"/>
      <w:r w:rsidRPr="00564DE2">
        <w:rPr>
          <w:rFonts w:ascii="Times New Roman" w:hAnsi="Times New Roman" w:cs="Times New Roman"/>
        </w:rPr>
        <w:t>não</w:t>
      </w:r>
      <w:proofErr w:type="gramEnd"/>
      <w:r w:rsidRPr="00564DE2">
        <w:rPr>
          <w:rFonts w:ascii="Times New Roman" w:hAnsi="Times New Roman" w:cs="Times New Roman"/>
        </w:rPr>
        <w:t xml:space="preserve"> permitem adaptações substanciais para transforma a unidade em uso diverso;</w:t>
      </w:r>
    </w:p>
    <w:p w14:paraId="11934433" w14:textId="5ABE21B5" w:rsidR="00564DE2" w:rsidRPr="00564DE2" w:rsidRDefault="00564DE2" w:rsidP="00564DE2">
      <w:pPr>
        <w:ind w:right="-568"/>
        <w:jc w:val="both"/>
        <w:rPr>
          <w:rFonts w:ascii="Times New Roman" w:hAnsi="Times New Roman" w:cs="Times New Roman"/>
        </w:rPr>
      </w:pPr>
      <w:r>
        <w:rPr>
          <w:rFonts w:ascii="Times New Roman" w:hAnsi="Times New Roman" w:cs="Times New Roman"/>
        </w:rPr>
        <w:t xml:space="preserve">- </w:t>
      </w:r>
      <w:proofErr w:type="gramStart"/>
      <w:r w:rsidRPr="00564DE2">
        <w:rPr>
          <w:rFonts w:ascii="Times New Roman" w:hAnsi="Times New Roman" w:cs="Times New Roman"/>
        </w:rPr>
        <w:t>inexistem</w:t>
      </w:r>
      <w:proofErr w:type="gramEnd"/>
      <w:r w:rsidRPr="00564DE2">
        <w:rPr>
          <w:rFonts w:ascii="Times New Roman" w:hAnsi="Times New Roman" w:cs="Times New Roman"/>
        </w:rPr>
        <w:t xml:space="preserve"> utilidade econômica direta;</w:t>
      </w:r>
    </w:p>
    <w:p w14:paraId="3C35076B" w14:textId="56A8B4DB" w:rsidR="00564DE2" w:rsidRPr="00564DE2" w:rsidRDefault="00564DE2" w:rsidP="00564DE2">
      <w:pPr>
        <w:ind w:right="-568"/>
        <w:jc w:val="both"/>
        <w:rPr>
          <w:rFonts w:ascii="Times New Roman" w:hAnsi="Times New Roman" w:cs="Times New Roman"/>
        </w:rPr>
      </w:pPr>
      <w:r>
        <w:rPr>
          <w:rFonts w:ascii="Times New Roman" w:hAnsi="Times New Roman" w:cs="Times New Roman"/>
        </w:rPr>
        <w:t xml:space="preserve">- </w:t>
      </w:r>
      <w:proofErr w:type="gramStart"/>
      <w:r w:rsidRPr="00564DE2">
        <w:rPr>
          <w:rFonts w:ascii="Times New Roman" w:hAnsi="Times New Roman" w:cs="Times New Roman"/>
        </w:rPr>
        <w:t>inexiste</w:t>
      </w:r>
      <w:proofErr w:type="gramEnd"/>
      <w:r w:rsidRPr="00564DE2">
        <w:rPr>
          <w:rFonts w:ascii="Times New Roman" w:hAnsi="Times New Roman" w:cs="Times New Roman"/>
        </w:rPr>
        <w:t xml:space="preserve"> viabilidade de exploração independente;</w:t>
      </w:r>
    </w:p>
    <w:p w14:paraId="62955593" w14:textId="3ECC3A1D" w:rsidR="00564DE2" w:rsidRPr="00564DE2" w:rsidRDefault="00564DE2" w:rsidP="00564DE2">
      <w:pPr>
        <w:ind w:right="-568"/>
        <w:jc w:val="both"/>
        <w:rPr>
          <w:rFonts w:ascii="Times New Roman" w:hAnsi="Times New Roman" w:cs="Times New Roman"/>
        </w:rPr>
      </w:pPr>
      <w:r>
        <w:rPr>
          <w:rFonts w:ascii="Times New Roman" w:hAnsi="Times New Roman" w:cs="Times New Roman"/>
        </w:rPr>
        <w:t xml:space="preserve">- </w:t>
      </w:r>
      <w:proofErr w:type="gramStart"/>
      <w:r w:rsidRPr="00564DE2">
        <w:rPr>
          <w:rFonts w:ascii="Times New Roman" w:hAnsi="Times New Roman" w:cs="Times New Roman"/>
        </w:rPr>
        <w:t>não</w:t>
      </w:r>
      <w:proofErr w:type="gramEnd"/>
      <w:r w:rsidRPr="00564DE2">
        <w:rPr>
          <w:rFonts w:ascii="Times New Roman" w:hAnsi="Times New Roman" w:cs="Times New Roman"/>
        </w:rPr>
        <w:t xml:space="preserve"> há perspectiva de valorização futura significativa</w:t>
      </w:r>
    </w:p>
    <w:p w14:paraId="35F1F8A7" w14:textId="3BDE50E3" w:rsidR="00564DE2" w:rsidRPr="00564DE2" w:rsidRDefault="00564DE2" w:rsidP="00564DE2">
      <w:pPr>
        <w:ind w:right="-568"/>
        <w:jc w:val="both"/>
        <w:rPr>
          <w:rFonts w:ascii="Times New Roman" w:hAnsi="Times New Roman" w:cs="Times New Roman"/>
        </w:rPr>
      </w:pPr>
      <w:r w:rsidRPr="00564DE2">
        <w:rPr>
          <w:rFonts w:ascii="Times New Roman" w:hAnsi="Times New Roman" w:cs="Times New Roman"/>
        </w:rPr>
        <w:t>E qualquer cidadão com intelectualidade média é capaz de compreender que os “</w:t>
      </w:r>
      <w:r w:rsidRPr="00564DE2">
        <w:rPr>
          <w:rFonts w:ascii="Times New Roman" w:hAnsi="Times New Roman" w:cs="Times New Roman"/>
          <w:i/>
          <w:iCs/>
        </w:rPr>
        <w:t>quartos de hotel</w:t>
      </w:r>
      <w:r w:rsidRPr="00564DE2">
        <w:rPr>
          <w:rFonts w:ascii="Times New Roman" w:hAnsi="Times New Roman" w:cs="Times New Roman"/>
        </w:rPr>
        <w:t>” penhorados, sem ligação com o empreendimento hoteleiro em si, mas localizados e espalhados pelos andares do hotel, sem qualquer autonomia, sofrem natural depreciação defronte um apartamento de um prédio residencial ou uma sala comercial.</w:t>
      </w:r>
    </w:p>
    <w:p w14:paraId="1E6182F6" w14:textId="5AD1F2F3" w:rsidR="00564DE2" w:rsidRPr="00564DE2" w:rsidRDefault="00564DE2" w:rsidP="00564DE2">
      <w:pPr>
        <w:ind w:right="-568"/>
        <w:jc w:val="both"/>
        <w:rPr>
          <w:rFonts w:ascii="Times New Roman" w:hAnsi="Times New Roman" w:cs="Times New Roman"/>
        </w:rPr>
      </w:pPr>
      <w:r w:rsidRPr="00564DE2">
        <w:rPr>
          <w:rFonts w:ascii="Times New Roman" w:hAnsi="Times New Roman" w:cs="Times New Roman"/>
        </w:rPr>
        <w:t xml:space="preserve">Raciocinar de outra maneira é uma quimera, absurdo, </w:t>
      </w:r>
      <w:proofErr w:type="spellStart"/>
      <w:r w:rsidRPr="00564DE2">
        <w:rPr>
          <w:rFonts w:ascii="Times New Roman" w:hAnsi="Times New Roman" w:cs="Times New Roman"/>
          <w:i/>
          <w:iCs/>
        </w:rPr>
        <w:t>venia</w:t>
      </w:r>
      <w:proofErr w:type="spellEnd"/>
      <w:r w:rsidRPr="00564DE2">
        <w:rPr>
          <w:rFonts w:ascii="Times New Roman" w:hAnsi="Times New Roman" w:cs="Times New Roman"/>
          <w:i/>
          <w:iCs/>
        </w:rPr>
        <w:t xml:space="preserve"> permissa.</w:t>
      </w:r>
    </w:p>
    <w:p w14:paraId="2F42592F" w14:textId="43622FFD" w:rsidR="00564DE2" w:rsidRPr="00564DE2" w:rsidRDefault="00564DE2" w:rsidP="00564DE2">
      <w:pPr>
        <w:ind w:right="-568"/>
        <w:jc w:val="both"/>
        <w:rPr>
          <w:rFonts w:ascii="Times New Roman" w:hAnsi="Times New Roman" w:cs="Times New Roman"/>
        </w:rPr>
      </w:pPr>
      <w:r w:rsidRPr="00564DE2">
        <w:rPr>
          <w:rFonts w:ascii="Times New Roman" w:hAnsi="Times New Roman" w:cs="Times New Roman"/>
        </w:rPr>
        <w:t xml:space="preserve">Bem por isso, elucidou o Assistente Técnico dos Exequentes com propriedade, </w:t>
      </w:r>
      <w:r w:rsidRPr="00564DE2">
        <w:rPr>
          <w:rFonts w:ascii="Times New Roman" w:hAnsi="Times New Roman" w:cs="Times New Roman"/>
          <w:i/>
          <w:iCs/>
        </w:rPr>
        <w:t>in litteris</w:t>
      </w:r>
      <w:r w:rsidRPr="00564DE2">
        <w:rPr>
          <w:rFonts w:ascii="Times New Roman" w:hAnsi="Times New Roman" w:cs="Times New Roman"/>
        </w:rPr>
        <w:t>:</w:t>
      </w:r>
    </w:p>
    <w:p w14:paraId="1F641D5E" w14:textId="77777777" w:rsidR="00564DE2" w:rsidRPr="00564DE2" w:rsidRDefault="00564DE2" w:rsidP="00564DE2">
      <w:pPr>
        <w:ind w:right="-568"/>
        <w:jc w:val="both"/>
        <w:rPr>
          <w:rFonts w:ascii="Times New Roman" w:hAnsi="Times New Roman" w:cs="Times New Roman"/>
          <w:i/>
          <w:iCs/>
        </w:rPr>
      </w:pPr>
      <w:r w:rsidRPr="00564DE2">
        <w:rPr>
          <w:rFonts w:ascii="Times New Roman" w:hAnsi="Times New Roman" w:cs="Times New Roman"/>
        </w:rPr>
        <w:t xml:space="preserve">“... </w:t>
      </w:r>
      <w:r w:rsidRPr="00564DE2">
        <w:rPr>
          <w:rFonts w:ascii="Times New Roman" w:hAnsi="Times New Roman" w:cs="Times New Roman"/>
          <w:i/>
          <w:iCs/>
        </w:rPr>
        <w:t>2.3. Fatores Críticos de Depreciação (Análise do Engenheiro)</w:t>
      </w:r>
    </w:p>
    <w:p w14:paraId="5EC768F4" w14:textId="77777777" w:rsidR="00564DE2" w:rsidRPr="00564DE2" w:rsidRDefault="00564DE2" w:rsidP="00564DE2">
      <w:pPr>
        <w:ind w:right="-568"/>
        <w:jc w:val="both"/>
        <w:rPr>
          <w:rFonts w:ascii="Times New Roman" w:hAnsi="Times New Roman" w:cs="Times New Roman"/>
          <w:i/>
          <w:iCs/>
        </w:rPr>
      </w:pPr>
      <w:r w:rsidRPr="00564DE2">
        <w:rPr>
          <w:rFonts w:ascii="Times New Roman" w:hAnsi="Times New Roman" w:cs="Times New Roman"/>
          <w:i/>
          <w:iCs/>
        </w:rPr>
        <w:t>O objeto da perícia possui características que introduzem fatores depreciativos complexos que devem ser ponderados na determinação do valor final, conforme as indagações processuais:</w:t>
      </w:r>
    </w:p>
    <w:p w14:paraId="23122F43" w14:textId="6C7F0F7D" w:rsidR="00564DE2" w:rsidRPr="00564DE2" w:rsidRDefault="00564DE2" w:rsidP="00564DE2">
      <w:pPr>
        <w:ind w:right="-568"/>
        <w:jc w:val="both"/>
        <w:rPr>
          <w:rFonts w:ascii="Times New Roman" w:hAnsi="Times New Roman" w:cs="Times New Roman"/>
          <w:i/>
          <w:iCs/>
        </w:rPr>
      </w:pPr>
      <w:r>
        <w:rPr>
          <w:rFonts w:ascii="Times New Roman" w:hAnsi="Times New Roman" w:cs="Times New Roman"/>
          <w:i/>
          <w:iCs/>
        </w:rPr>
        <w:t xml:space="preserve">- </w:t>
      </w:r>
      <w:r w:rsidRPr="00564DE2">
        <w:rPr>
          <w:rFonts w:ascii="Times New Roman" w:hAnsi="Times New Roman" w:cs="Times New Roman"/>
          <w:i/>
          <w:iCs/>
        </w:rPr>
        <w:t>Dependência Funcional: As unidades não possuem entrada independente em relação ao complexo hoteleiro, dependendo da atividade empresarial estabelecida, o que impacta negativamente no valor.</w:t>
      </w:r>
    </w:p>
    <w:p w14:paraId="0E87D749" w14:textId="620D6B25" w:rsidR="00564DE2" w:rsidRPr="00564DE2" w:rsidRDefault="00564DE2" w:rsidP="00564DE2">
      <w:pPr>
        <w:ind w:right="-568"/>
        <w:jc w:val="both"/>
        <w:rPr>
          <w:rFonts w:ascii="Times New Roman" w:hAnsi="Times New Roman" w:cs="Times New Roman"/>
          <w:i/>
          <w:iCs/>
        </w:rPr>
      </w:pPr>
      <w:r>
        <w:rPr>
          <w:rFonts w:ascii="Times New Roman" w:hAnsi="Times New Roman" w:cs="Times New Roman"/>
          <w:i/>
          <w:iCs/>
        </w:rPr>
        <w:t xml:space="preserve">- </w:t>
      </w:r>
      <w:r w:rsidRPr="00564DE2">
        <w:rPr>
          <w:rFonts w:ascii="Times New Roman" w:hAnsi="Times New Roman" w:cs="Times New Roman"/>
          <w:i/>
          <w:iCs/>
        </w:rPr>
        <w:t>Ausência de Características Residenciais Autônomas: A falta de elementos típicos de residência (como vagas de garagem privativas, áreas comuns exclusivas e controle independente de acesso) contribui para a desvalorização dos imóveis.</w:t>
      </w:r>
    </w:p>
    <w:p w14:paraId="0C5AD541" w14:textId="54972073" w:rsidR="00564DE2" w:rsidRPr="00564DE2" w:rsidRDefault="00564DE2" w:rsidP="00564DE2">
      <w:pPr>
        <w:ind w:right="-568"/>
        <w:jc w:val="both"/>
        <w:rPr>
          <w:rFonts w:ascii="Times New Roman" w:hAnsi="Times New Roman" w:cs="Times New Roman"/>
          <w:i/>
          <w:iCs/>
        </w:rPr>
      </w:pPr>
      <w:r>
        <w:rPr>
          <w:rFonts w:ascii="Times New Roman" w:hAnsi="Times New Roman" w:cs="Times New Roman"/>
          <w:i/>
          <w:iCs/>
        </w:rPr>
        <w:t xml:space="preserve">- </w:t>
      </w:r>
      <w:r w:rsidRPr="00564DE2">
        <w:rPr>
          <w:rFonts w:ascii="Times New Roman" w:hAnsi="Times New Roman" w:cs="Times New Roman"/>
          <w:i/>
          <w:iCs/>
        </w:rPr>
        <w:t>Restrição de Uso: A inserção das unidades em um ambiente hoteleiro, sem separação física clara das áreas comuns e com sujeição a regras de operação hoteleira (serviços de limpeza, recepção, manutenção), gera depreciação funcional e mercadológica, estimada em torno de 10% a 15%.</w:t>
      </w:r>
    </w:p>
    <w:p w14:paraId="13B3C7E7" w14:textId="36F8620A" w:rsidR="00564DE2" w:rsidRPr="00564DE2" w:rsidRDefault="00564DE2" w:rsidP="00564DE2">
      <w:pPr>
        <w:ind w:right="-568"/>
        <w:jc w:val="both"/>
        <w:rPr>
          <w:rFonts w:ascii="Times New Roman" w:hAnsi="Times New Roman" w:cs="Times New Roman"/>
          <w:i/>
          <w:iCs/>
        </w:rPr>
      </w:pPr>
      <w:r>
        <w:rPr>
          <w:rFonts w:ascii="Times New Roman" w:hAnsi="Times New Roman" w:cs="Times New Roman"/>
          <w:i/>
          <w:iCs/>
        </w:rPr>
        <w:t xml:space="preserve">- </w:t>
      </w:r>
      <w:r w:rsidRPr="00564DE2">
        <w:rPr>
          <w:rFonts w:ascii="Times New Roman" w:hAnsi="Times New Roman" w:cs="Times New Roman"/>
          <w:i/>
          <w:iCs/>
        </w:rPr>
        <w:t>Desvalorização Mercadológica: As unidades hoteleiras avaliadas enfrentam uma desvalorização média de aproximadamente 18% em relação a unidades com características residenciais plenas na mesma região, devido às restrições de uso, menor privacidade e perfil de público distinto.</w:t>
      </w:r>
    </w:p>
    <w:p w14:paraId="2CE03ACE" w14:textId="71D5E77B" w:rsidR="00564DE2" w:rsidRPr="00564DE2" w:rsidRDefault="00564DE2" w:rsidP="00564DE2">
      <w:pPr>
        <w:ind w:right="-568"/>
        <w:jc w:val="both"/>
        <w:rPr>
          <w:rFonts w:ascii="Times New Roman" w:hAnsi="Times New Roman" w:cs="Times New Roman"/>
          <w:i/>
          <w:iCs/>
        </w:rPr>
      </w:pPr>
      <w:r w:rsidRPr="00564DE2">
        <w:rPr>
          <w:rFonts w:ascii="Times New Roman" w:hAnsi="Times New Roman" w:cs="Times New Roman"/>
          <w:i/>
          <w:iCs/>
        </w:rPr>
        <w:t>2.4. Analogia para Compreensão:</w:t>
      </w:r>
    </w:p>
    <w:p w14:paraId="313CB28D" w14:textId="69665956" w:rsidR="00564DE2" w:rsidRPr="00564DE2" w:rsidRDefault="00564DE2" w:rsidP="00564DE2">
      <w:pPr>
        <w:ind w:right="-568"/>
        <w:jc w:val="both"/>
        <w:rPr>
          <w:rFonts w:ascii="Times New Roman" w:hAnsi="Times New Roman" w:cs="Times New Roman"/>
          <w:i/>
          <w:iCs/>
        </w:rPr>
      </w:pPr>
      <w:r>
        <w:rPr>
          <w:rFonts w:ascii="Times New Roman" w:hAnsi="Times New Roman" w:cs="Times New Roman"/>
          <w:i/>
          <w:iCs/>
        </w:rPr>
        <w:t xml:space="preserve">- </w:t>
      </w:r>
      <w:r w:rsidRPr="00564DE2">
        <w:rPr>
          <w:rFonts w:ascii="Times New Roman" w:hAnsi="Times New Roman" w:cs="Times New Roman"/>
          <w:i/>
          <w:iCs/>
        </w:rPr>
        <w:t xml:space="preserve">Pode-se entender o objeto da perícia como a avaliação de um componente de uma máquina complexa (o Hotel </w:t>
      </w:r>
      <w:r>
        <w:rPr>
          <w:rFonts w:ascii="Times New Roman" w:hAnsi="Times New Roman" w:cs="Times New Roman"/>
          <w:i/>
          <w:iCs/>
        </w:rPr>
        <w:t>...</w:t>
      </w:r>
      <w:r w:rsidRPr="00564DE2">
        <w:rPr>
          <w:rFonts w:ascii="Times New Roman" w:hAnsi="Times New Roman" w:cs="Times New Roman"/>
          <w:i/>
          <w:iCs/>
        </w:rPr>
        <w:t>). Embora esse componente (o apartamento) seja estruturalmente autônomo (possui matrícula própria), seu valor é intrinsicamente ligado à função da máquina principal.</w:t>
      </w:r>
    </w:p>
    <w:p w14:paraId="44761A43" w14:textId="77777777" w:rsidR="00564DE2" w:rsidRDefault="00564DE2" w:rsidP="00564DE2">
      <w:pPr>
        <w:ind w:right="-568"/>
        <w:jc w:val="both"/>
        <w:rPr>
          <w:rFonts w:ascii="Times New Roman" w:hAnsi="Times New Roman" w:cs="Times New Roman"/>
        </w:rPr>
      </w:pPr>
      <w:r>
        <w:rPr>
          <w:rFonts w:ascii="Times New Roman" w:hAnsi="Times New Roman" w:cs="Times New Roman"/>
          <w:i/>
          <w:iCs/>
        </w:rPr>
        <w:t xml:space="preserve">- </w:t>
      </w:r>
      <w:r w:rsidRPr="00564DE2">
        <w:rPr>
          <w:rFonts w:ascii="Times New Roman" w:hAnsi="Times New Roman" w:cs="Times New Roman"/>
          <w:i/>
          <w:iCs/>
        </w:rPr>
        <w:t>Diferentemente de um componente que funciona de forma isolada (um apartamento residencial tradicional), o valor destas unidades sofre depreciação por sua dependência logística, de acesso e de gestão, limitando drasticamente sua conversão para outros usos</w:t>
      </w:r>
      <w:r w:rsidRPr="00564DE2">
        <w:rPr>
          <w:rFonts w:ascii="Times New Roman" w:hAnsi="Times New Roman" w:cs="Times New Roman"/>
        </w:rPr>
        <w:t>.</w:t>
      </w:r>
    </w:p>
    <w:p w14:paraId="4D4E77B0" w14:textId="1BC089E0" w:rsidR="00564DE2" w:rsidRPr="00564DE2" w:rsidRDefault="00564DE2" w:rsidP="00564DE2">
      <w:pPr>
        <w:ind w:right="-568"/>
        <w:jc w:val="both"/>
        <w:rPr>
          <w:rFonts w:ascii="Times New Roman" w:hAnsi="Times New Roman" w:cs="Times New Roman"/>
        </w:rPr>
      </w:pPr>
      <w:r w:rsidRPr="00564DE2">
        <w:rPr>
          <w:rFonts w:ascii="Times New Roman" w:hAnsi="Times New Roman" w:cs="Times New Roman"/>
          <w:i/>
          <w:iCs/>
        </w:rPr>
        <w:lastRenderedPageBreak/>
        <w:t>Inspeção in loco das unidades e áreas comuns</w:t>
      </w:r>
    </w:p>
    <w:p w14:paraId="37284781" w14:textId="2DB4F52F" w:rsidR="00564DE2" w:rsidRPr="00564DE2" w:rsidRDefault="00564DE2" w:rsidP="00564DE2">
      <w:pPr>
        <w:ind w:right="-568"/>
        <w:jc w:val="both"/>
        <w:rPr>
          <w:rFonts w:ascii="Times New Roman" w:hAnsi="Times New Roman" w:cs="Times New Roman"/>
          <w:i/>
          <w:iCs/>
        </w:rPr>
      </w:pPr>
      <w:r w:rsidRPr="00564DE2">
        <w:rPr>
          <w:rFonts w:ascii="Times New Roman" w:hAnsi="Times New Roman" w:cs="Times New Roman"/>
          <w:i/>
          <w:iCs/>
        </w:rPr>
        <w:t>Na vistoria presencial, foram verificadas as características físicas de cada apartamento: área privativa aproximada, configuração interna (número de dormitórios/suítes), padrão construtivo, acabamentos e conservação, bem como a inserção funcional no complexo hoteleiro (uso como suíte de hotel).</w:t>
      </w:r>
    </w:p>
    <w:p w14:paraId="40DC9E62" w14:textId="122EDADD" w:rsidR="00564DE2" w:rsidRPr="00564DE2" w:rsidRDefault="00564DE2" w:rsidP="00564DE2">
      <w:pPr>
        <w:ind w:right="-568"/>
        <w:jc w:val="both"/>
        <w:rPr>
          <w:rFonts w:ascii="Times New Roman" w:hAnsi="Times New Roman" w:cs="Times New Roman"/>
          <w:i/>
          <w:iCs/>
        </w:rPr>
      </w:pPr>
      <w:r w:rsidRPr="00564DE2">
        <w:rPr>
          <w:rFonts w:ascii="Times New Roman" w:hAnsi="Times New Roman" w:cs="Times New Roman"/>
          <w:i/>
          <w:iCs/>
        </w:rPr>
        <w:t>O perito constatou e registou que os apartamentos não possuem entrada independente em relação ao hotel, não dispõem de vagas de garagem privativas e compartilham circulação, recepção e demais áreas comuns com hóspedes, circunstâncias consideradas posteriormente como fatores de depreciação funcional e mercadológica.</w:t>
      </w:r>
    </w:p>
    <w:p w14:paraId="6AB4DFC7" w14:textId="77777777" w:rsidR="00564DE2" w:rsidRPr="00564DE2" w:rsidRDefault="00564DE2" w:rsidP="00564DE2">
      <w:pPr>
        <w:ind w:right="-568"/>
        <w:jc w:val="both"/>
        <w:rPr>
          <w:rFonts w:ascii="Times New Roman" w:hAnsi="Times New Roman" w:cs="Times New Roman"/>
          <w:i/>
          <w:iCs/>
        </w:rPr>
      </w:pPr>
      <w:r w:rsidRPr="00564DE2">
        <w:rPr>
          <w:rFonts w:ascii="Times New Roman" w:hAnsi="Times New Roman" w:cs="Times New Roman"/>
          <w:i/>
          <w:iCs/>
        </w:rPr>
        <w:t>4. DEPRECIAÇÃO E INAPETÊNCIA COMERCIAL DOS BENS PENHORADOS (“QUARTOS DE HOTEL”)</w:t>
      </w:r>
    </w:p>
    <w:p w14:paraId="057D8674" w14:textId="2DAAD118" w:rsidR="00564DE2" w:rsidRPr="00564DE2" w:rsidRDefault="00564DE2" w:rsidP="00564DE2">
      <w:pPr>
        <w:ind w:right="-568"/>
        <w:jc w:val="both"/>
        <w:rPr>
          <w:rFonts w:ascii="Times New Roman" w:hAnsi="Times New Roman" w:cs="Times New Roman"/>
          <w:i/>
          <w:iCs/>
        </w:rPr>
      </w:pPr>
      <w:r w:rsidRPr="00564DE2">
        <w:rPr>
          <w:rFonts w:ascii="Times New Roman" w:hAnsi="Times New Roman" w:cs="Times New Roman"/>
          <w:i/>
          <w:iCs/>
        </w:rPr>
        <w:t xml:space="preserve">CONCORDÂNCIA PARCIAL PARA FINS DE HOMOLOGAÇÃO DO VALOR DE MERCADO: O VALOR A SER HOMOLOGADO PARA FINS DE ADJUDICAÇÃO OU ALIENAÇÃO JUDICIAL É AQUELE ENCONTRATO COMO “VALOR MÍNIMO” APURADO PELO “LAUDO DE AVALIAÇÃO”, VEZ QUE REFLETE COM MAIOR PRECISÃO UM PREÇO JUSTO E CORRETO DE MERCADO. </w:t>
      </w:r>
    </w:p>
    <w:p w14:paraId="3B9BB66E" w14:textId="66965EC5" w:rsidR="00564DE2" w:rsidRPr="00564DE2" w:rsidRDefault="00564DE2" w:rsidP="00564DE2">
      <w:pPr>
        <w:ind w:right="-568"/>
        <w:jc w:val="both"/>
        <w:rPr>
          <w:rFonts w:ascii="Times New Roman" w:hAnsi="Times New Roman" w:cs="Times New Roman"/>
          <w:i/>
          <w:iCs/>
        </w:rPr>
      </w:pPr>
      <w:r w:rsidRPr="00564DE2">
        <w:rPr>
          <w:rFonts w:ascii="Times New Roman" w:hAnsi="Times New Roman" w:cs="Times New Roman"/>
          <w:i/>
          <w:iCs/>
        </w:rPr>
        <w:t xml:space="preserve">Atendendo à solicitação dos Exequentes, apresenta-se parecer técnico acerca da natureza e das condições dos bens penhorados, consistentes em 30 (trinta) unidades autônomas registradas como “quartos de hotel” situados nas dependências do Hotel </w:t>
      </w:r>
      <w:r>
        <w:rPr>
          <w:rFonts w:ascii="Times New Roman" w:hAnsi="Times New Roman" w:cs="Times New Roman"/>
          <w:i/>
          <w:iCs/>
        </w:rPr>
        <w:t>...</w:t>
      </w:r>
      <w:r w:rsidRPr="00564DE2">
        <w:rPr>
          <w:rFonts w:ascii="Times New Roman" w:hAnsi="Times New Roman" w:cs="Times New Roman"/>
          <w:i/>
          <w:iCs/>
        </w:rPr>
        <w:t>, empreendimento em plena atividade hoteleira.</w:t>
      </w:r>
    </w:p>
    <w:p w14:paraId="0FCE5A01" w14:textId="31BEA267" w:rsidR="00564DE2" w:rsidRPr="00564DE2" w:rsidRDefault="00564DE2" w:rsidP="00564DE2">
      <w:pPr>
        <w:ind w:right="-568"/>
        <w:jc w:val="both"/>
        <w:rPr>
          <w:rFonts w:ascii="Times New Roman" w:hAnsi="Times New Roman" w:cs="Times New Roman"/>
          <w:i/>
          <w:iCs/>
        </w:rPr>
      </w:pPr>
      <w:r w:rsidRPr="00564DE2">
        <w:rPr>
          <w:rFonts w:ascii="Times New Roman" w:hAnsi="Times New Roman" w:cs="Times New Roman"/>
          <w:i/>
          <w:iCs/>
        </w:rPr>
        <w:t>O objetivo é esclarecer, sob perspectiva técnica e mercadológica, a substancial depreciação, a baixa atratividade e a ineficácia prática desses bens para fins de alienação judicial.</w:t>
      </w:r>
    </w:p>
    <w:p w14:paraId="3D4E16BF" w14:textId="79692667" w:rsidR="00564DE2" w:rsidRPr="00564DE2" w:rsidRDefault="00564DE2" w:rsidP="00564DE2">
      <w:pPr>
        <w:ind w:right="-568"/>
        <w:jc w:val="both"/>
        <w:rPr>
          <w:rFonts w:ascii="Times New Roman" w:hAnsi="Times New Roman" w:cs="Times New Roman"/>
          <w:i/>
          <w:iCs/>
        </w:rPr>
      </w:pPr>
      <w:r w:rsidRPr="00564DE2">
        <w:rPr>
          <w:rFonts w:ascii="Times New Roman" w:hAnsi="Times New Roman" w:cs="Times New Roman"/>
          <w:i/>
          <w:iCs/>
        </w:rPr>
        <w:t>ANÁLISE TÉCNICA</w:t>
      </w:r>
    </w:p>
    <w:p w14:paraId="77CB67A3" w14:textId="77777777" w:rsidR="00564DE2" w:rsidRPr="00564DE2" w:rsidRDefault="00564DE2" w:rsidP="00564DE2">
      <w:pPr>
        <w:ind w:right="-568"/>
        <w:jc w:val="both"/>
        <w:rPr>
          <w:rFonts w:ascii="Times New Roman" w:hAnsi="Times New Roman" w:cs="Times New Roman"/>
          <w:i/>
          <w:iCs/>
        </w:rPr>
      </w:pPr>
      <w:r w:rsidRPr="00564DE2">
        <w:rPr>
          <w:rFonts w:ascii="Times New Roman" w:hAnsi="Times New Roman" w:cs="Times New Roman"/>
          <w:i/>
          <w:iCs/>
        </w:rPr>
        <w:t>4.1</w:t>
      </w:r>
      <w:r w:rsidRPr="00564DE2">
        <w:rPr>
          <w:rFonts w:ascii="Times New Roman" w:hAnsi="Times New Roman" w:cs="Times New Roman"/>
          <w:i/>
          <w:iCs/>
        </w:rPr>
        <w:tab/>
        <w:t>Natureza específica dos bens penhorados</w:t>
      </w:r>
    </w:p>
    <w:p w14:paraId="18AAF24F" w14:textId="51F32737" w:rsidR="00564DE2" w:rsidRPr="00564DE2" w:rsidRDefault="00564DE2" w:rsidP="00564DE2">
      <w:pPr>
        <w:ind w:right="-568"/>
        <w:jc w:val="both"/>
        <w:rPr>
          <w:rFonts w:ascii="Times New Roman" w:hAnsi="Times New Roman" w:cs="Times New Roman"/>
          <w:i/>
          <w:iCs/>
        </w:rPr>
      </w:pPr>
      <w:r w:rsidRPr="00564DE2">
        <w:rPr>
          <w:rFonts w:ascii="Times New Roman" w:hAnsi="Times New Roman" w:cs="Times New Roman"/>
          <w:i/>
          <w:iCs/>
        </w:rPr>
        <w:t>Os imóveis em questão não se enquadram no conceito ordinário de unidades comerciais ou residenciais. Trata-se de quartos integrantes de um hotel em funcionamento, distribuídos ao longo dos andares do empreendimento, inseridos integralmente na dinâmica operacional hoteleira.</w:t>
      </w:r>
    </w:p>
    <w:p w14:paraId="3886D215" w14:textId="78345519" w:rsidR="00564DE2" w:rsidRPr="00564DE2" w:rsidRDefault="00564DE2" w:rsidP="00564DE2">
      <w:pPr>
        <w:ind w:right="-568"/>
        <w:jc w:val="both"/>
        <w:rPr>
          <w:rFonts w:ascii="Times New Roman" w:hAnsi="Times New Roman" w:cs="Times New Roman"/>
          <w:i/>
          <w:iCs/>
        </w:rPr>
      </w:pPr>
      <w:r w:rsidRPr="00564DE2">
        <w:rPr>
          <w:rFonts w:ascii="Times New Roman" w:hAnsi="Times New Roman" w:cs="Times New Roman"/>
          <w:i/>
          <w:iCs/>
        </w:rPr>
        <w:t>Isso lhes confere uso altamente restrito, dependente das regras de administração do hotel, da prestação de serviços e da circulação de hóspedes, o que, por si só, desestimula sua utilização autônoma por eventuais adquirentes.</w:t>
      </w:r>
    </w:p>
    <w:p w14:paraId="273631A4" w14:textId="77777777" w:rsidR="00564DE2" w:rsidRPr="00564DE2" w:rsidRDefault="00564DE2" w:rsidP="00564DE2">
      <w:pPr>
        <w:ind w:right="-568"/>
        <w:jc w:val="both"/>
        <w:rPr>
          <w:rFonts w:ascii="Times New Roman" w:hAnsi="Times New Roman" w:cs="Times New Roman"/>
          <w:i/>
          <w:iCs/>
        </w:rPr>
      </w:pPr>
      <w:r w:rsidRPr="00564DE2">
        <w:rPr>
          <w:rFonts w:ascii="Times New Roman" w:hAnsi="Times New Roman" w:cs="Times New Roman"/>
          <w:i/>
          <w:iCs/>
        </w:rPr>
        <w:t>4.2</w:t>
      </w:r>
      <w:r w:rsidRPr="00564DE2">
        <w:rPr>
          <w:rFonts w:ascii="Times New Roman" w:hAnsi="Times New Roman" w:cs="Times New Roman"/>
          <w:i/>
          <w:iCs/>
        </w:rPr>
        <w:tab/>
        <w:t>Alta depreciação intrínseca em comparação com outros imóveis urbanos</w:t>
      </w:r>
    </w:p>
    <w:p w14:paraId="60C24ADC" w14:textId="0AB1A469" w:rsidR="00564DE2" w:rsidRPr="00564DE2" w:rsidRDefault="00564DE2" w:rsidP="00564DE2">
      <w:pPr>
        <w:ind w:right="-568"/>
        <w:jc w:val="both"/>
        <w:rPr>
          <w:rFonts w:ascii="Times New Roman" w:hAnsi="Times New Roman" w:cs="Times New Roman"/>
          <w:i/>
          <w:iCs/>
        </w:rPr>
      </w:pPr>
      <w:r w:rsidRPr="00564DE2">
        <w:rPr>
          <w:rFonts w:ascii="Times New Roman" w:hAnsi="Times New Roman" w:cs="Times New Roman"/>
          <w:i/>
          <w:iCs/>
        </w:rPr>
        <w:t>Enquanto salas comerciais, lojas ou apartamentos seguem padrões de mercado mais estáveis, imóveis classificados como “quartos de hotel” sofrem acentuada depreciação econômica, notadamente porque:</w:t>
      </w:r>
    </w:p>
    <w:p w14:paraId="18BECA78" w14:textId="77777777" w:rsidR="00564DE2" w:rsidRPr="00564DE2" w:rsidRDefault="00564DE2" w:rsidP="00564DE2">
      <w:pPr>
        <w:ind w:right="-568"/>
        <w:jc w:val="both"/>
        <w:rPr>
          <w:rFonts w:ascii="Times New Roman" w:hAnsi="Times New Roman" w:cs="Times New Roman"/>
          <w:i/>
          <w:iCs/>
        </w:rPr>
      </w:pPr>
    </w:p>
    <w:p w14:paraId="011AFCDB" w14:textId="6AFB73F5" w:rsidR="00564DE2" w:rsidRPr="00564DE2" w:rsidRDefault="00564DE2" w:rsidP="00564DE2">
      <w:pPr>
        <w:ind w:right="-568"/>
        <w:jc w:val="both"/>
        <w:rPr>
          <w:rFonts w:ascii="Times New Roman" w:hAnsi="Times New Roman" w:cs="Times New Roman"/>
          <w:i/>
          <w:iCs/>
        </w:rPr>
      </w:pPr>
      <w:r>
        <w:rPr>
          <w:rFonts w:ascii="Times New Roman" w:hAnsi="Times New Roman" w:cs="Times New Roman"/>
          <w:i/>
          <w:iCs/>
        </w:rPr>
        <w:lastRenderedPageBreak/>
        <w:t xml:space="preserve">- </w:t>
      </w:r>
      <w:proofErr w:type="gramStart"/>
      <w:r w:rsidRPr="00564DE2">
        <w:rPr>
          <w:rFonts w:ascii="Times New Roman" w:hAnsi="Times New Roman" w:cs="Times New Roman"/>
          <w:i/>
          <w:iCs/>
        </w:rPr>
        <w:t>não</w:t>
      </w:r>
      <w:proofErr w:type="gramEnd"/>
      <w:r w:rsidRPr="00564DE2">
        <w:rPr>
          <w:rFonts w:ascii="Times New Roman" w:hAnsi="Times New Roman" w:cs="Times New Roman"/>
          <w:i/>
          <w:iCs/>
        </w:rPr>
        <w:t xml:space="preserve"> possuem área independente com entrada exclusiva;</w:t>
      </w:r>
    </w:p>
    <w:p w14:paraId="036303DA" w14:textId="7D95CDAE" w:rsidR="00564DE2" w:rsidRPr="00564DE2" w:rsidRDefault="00564DE2" w:rsidP="00564DE2">
      <w:pPr>
        <w:ind w:right="-568"/>
        <w:jc w:val="both"/>
        <w:rPr>
          <w:rFonts w:ascii="Times New Roman" w:hAnsi="Times New Roman" w:cs="Times New Roman"/>
          <w:i/>
          <w:iCs/>
        </w:rPr>
      </w:pPr>
      <w:r>
        <w:rPr>
          <w:rFonts w:ascii="Times New Roman" w:hAnsi="Times New Roman" w:cs="Times New Roman"/>
          <w:i/>
          <w:iCs/>
        </w:rPr>
        <w:t xml:space="preserve">- </w:t>
      </w:r>
      <w:proofErr w:type="gramStart"/>
      <w:r w:rsidRPr="00564DE2">
        <w:rPr>
          <w:rFonts w:ascii="Times New Roman" w:hAnsi="Times New Roman" w:cs="Times New Roman"/>
          <w:i/>
          <w:iCs/>
        </w:rPr>
        <w:t>não</w:t>
      </w:r>
      <w:proofErr w:type="gramEnd"/>
      <w:r w:rsidRPr="00564DE2">
        <w:rPr>
          <w:rFonts w:ascii="Times New Roman" w:hAnsi="Times New Roman" w:cs="Times New Roman"/>
          <w:i/>
          <w:iCs/>
        </w:rPr>
        <w:t xml:space="preserve"> podem ser utilizados com plena autonomia;</w:t>
      </w:r>
    </w:p>
    <w:p w14:paraId="08976EB5" w14:textId="1DDD8A03" w:rsidR="00564DE2" w:rsidRPr="00564DE2" w:rsidRDefault="00564DE2" w:rsidP="00564DE2">
      <w:pPr>
        <w:ind w:right="-568"/>
        <w:jc w:val="both"/>
        <w:rPr>
          <w:rFonts w:ascii="Times New Roman" w:hAnsi="Times New Roman" w:cs="Times New Roman"/>
          <w:i/>
          <w:iCs/>
        </w:rPr>
      </w:pPr>
      <w:r>
        <w:rPr>
          <w:rFonts w:ascii="Times New Roman" w:hAnsi="Times New Roman" w:cs="Times New Roman"/>
          <w:i/>
          <w:iCs/>
        </w:rPr>
        <w:t xml:space="preserve">- </w:t>
      </w:r>
      <w:proofErr w:type="gramStart"/>
      <w:r w:rsidRPr="00564DE2">
        <w:rPr>
          <w:rFonts w:ascii="Times New Roman" w:hAnsi="Times New Roman" w:cs="Times New Roman"/>
          <w:i/>
          <w:iCs/>
        </w:rPr>
        <w:t>estão</w:t>
      </w:r>
      <w:proofErr w:type="gramEnd"/>
      <w:r w:rsidRPr="00564DE2">
        <w:rPr>
          <w:rFonts w:ascii="Times New Roman" w:hAnsi="Times New Roman" w:cs="Times New Roman"/>
          <w:i/>
          <w:iCs/>
        </w:rPr>
        <w:t xml:space="preserve"> inseridos em estrutura cuja manutenção e regras de uso são impostas pela administração hoteleira;</w:t>
      </w:r>
    </w:p>
    <w:p w14:paraId="00188341" w14:textId="453A6252" w:rsidR="00564DE2" w:rsidRPr="00564DE2" w:rsidRDefault="00564DE2" w:rsidP="00564DE2">
      <w:pPr>
        <w:ind w:right="-568"/>
        <w:jc w:val="both"/>
        <w:rPr>
          <w:rFonts w:ascii="Times New Roman" w:hAnsi="Times New Roman" w:cs="Times New Roman"/>
          <w:i/>
          <w:iCs/>
        </w:rPr>
      </w:pPr>
      <w:r>
        <w:rPr>
          <w:rFonts w:ascii="Times New Roman" w:hAnsi="Times New Roman" w:cs="Times New Roman"/>
          <w:i/>
          <w:iCs/>
        </w:rPr>
        <w:t xml:space="preserve">- </w:t>
      </w:r>
      <w:proofErr w:type="gramStart"/>
      <w:r w:rsidRPr="00564DE2">
        <w:rPr>
          <w:rFonts w:ascii="Times New Roman" w:hAnsi="Times New Roman" w:cs="Times New Roman"/>
          <w:i/>
          <w:iCs/>
        </w:rPr>
        <w:t>não</w:t>
      </w:r>
      <w:proofErr w:type="gramEnd"/>
      <w:r w:rsidRPr="00564DE2">
        <w:rPr>
          <w:rFonts w:ascii="Times New Roman" w:hAnsi="Times New Roman" w:cs="Times New Roman"/>
          <w:i/>
          <w:iCs/>
        </w:rPr>
        <w:t xml:space="preserve"> permitem adaptações substanciais para transformar a unidade em uso diverso.</w:t>
      </w:r>
    </w:p>
    <w:p w14:paraId="3057C781" w14:textId="6BDACC63" w:rsidR="00564DE2" w:rsidRPr="00564DE2" w:rsidRDefault="00564DE2" w:rsidP="00564DE2">
      <w:pPr>
        <w:ind w:right="-568"/>
        <w:jc w:val="both"/>
        <w:rPr>
          <w:rFonts w:ascii="Times New Roman" w:hAnsi="Times New Roman" w:cs="Times New Roman"/>
          <w:i/>
          <w:iCs/>
        </w:rPr>
      </w:pPr>
      <w:r w:rsidRPr="00564DE2">
        <w:rPr>
          <w:rFonts w:ascii="Times New Roman" w:hAnsi="Times New Roman" w:cs="Times New Roman"/>
          <w:i/>
          <w:iCs/>
        </w:rPr>
        <w:t>Essa condição excepcional reduz drasticamente o valor agregado do bem e sua liquidez no mercado.</w:t>
      </w:r>
    </w:p>
    <w:p w14:paraId="328D69BE" w14:textId="77777777" w:rsidR="00564DE2" w:rsidRPr="00564DE2" w:rsidRDefault="00564DE2" w:rsidP="00564DE2">
      <w:pPr>
        <w:ind w:right="-568"/>
        <w:jc w:val="both"/>
        <w:rPr>
          <w:rFonts w:ascii="Times New Roman" w:hAnsi="Times New Roman" w:cs="Times New Roman"/>
          <w:i/>
          <w:iCs/>
        </w:rPr>
      </w:pPr>
      <w:r w:rsidRPr="00564DE2">
        <w:rPr>
          <w:rFonts w:ascii="Times New Roman" w:hAnsi="Times New Roman" w:cs="Times New Roman"/>
          <w:i/>
          <w:iCs/>
        </w:rPr>
        <w:t>4.3</w:t>
      </w:r>
      <w:r w:rsidRPr="00564DE2">
        <w:rPr>
          <w:rFonts w:ascii="Times New Roman" w:hAnsi="Times New Roman" w:cs="Times New Roman"/>
          <w:i/>
          <w:iCs/>
        </w:rPr>
        <w:tab/>
        <w:t>Baixa atratividade para alienação judicial</w:t>
      </w:r>
    </w:p>
    <w:p w14:paraId="761E7B9B" w14:textId="77777777" w:rsidR="00564DE2" w:rsidRPr="00564DE2" w:rsidRDefault="00564DE2" w:rsidP="00564DE2">
      <w:pPr>
        <w:ind w:right="-568"/>
        <w:jc w:val="both"/>
        <w:rPr>
          <w:rFonts w:ascii="Times New Roman" w:hAnsi="Times New Roman" w:cs="Times New Roman"/>
          <w:i/>
          <w:iCs/>
        </w:rPr>
      </w:pPr>
      <w:r w:rsidRPr="00564DE2">
        <w:rPr>
          <w:rFonts w:ascii="Times New Roman" w:hAnsi="Times New Roman" w:cs="Times New Roman"/>
          <w:i/>
          <w:iCs/>
        </w:rPr>
        <w:t>Em leilões judiciais, a atratividade do bem é fator decisivo para garantir a satisfação do crédito. No caso dos quartos de hotel, verifica-se quadro desfavorável:</w:t>
      </w:r>
    </w:p>
    <w:p w14:paraId="0A78E47F" w14:textId="37084F90" w:rsidR="00564DE2" w:rsidRPr="00564DE2" w:rsidRDefault="00564DE2" w:rsidP="00564DE2">
      <w:pPr>
        <w:ind w:right="-568"/>
        <w:jc w:val="both"/>
        <w:rPr>
          <w:rFonts w:ascii="Times New Roman" w:hAnsi="Times New Roman" w:cs="Times New Roman"/>
          <w:i/>
          <w:iCs/>
        </w:rPr>
      </w:pPr>
      <w:r>
        <w:rPr>
          <w:rFonts w:ascii="Times New Roman" w:hAnsi="Times New Roman" w:cs="Times New Roman"/>
          <w:i/>
          <w:iCs/>
        </w:rPr>
        <w:t xml:space="preserve">- </w:t>
      </w:r>
      <w:r w:rsidRPr="00564DE2">
        <w:rPr>
          <w:rFonts w:ascii="Times New Roman" w:hAnsi="Times New Roman" w:cs="Times New Roman"/>
          <w:i/>
          <w:iCs/>
        </w:rPr>
        <w:t>Desinteresse de licitantes: potenciais arrematantes evitam adquirir bens cujo uso é limitado e dependente de terceiros.</w:t>
      </w:r>
    </w:p>
    <w:p w14:paraId="5AE280ED" w14:textId="590CE68C" w:rsidR="00564DE2" w:rsidRPr="00564DE2" w:rsidRDefault="00564DE2" w:rsidP="00564DE2">
      <w:pPr>
        <w:ind w:right="-568"/>
        <w:jc w:val="both"/>
        <w:rPr>
          <w:rFonts w:ascii="Times New Roman" w:hAnsi="Times New Roman" w:cs="Times New Roman"/>
          <w:i/>
          <w:iCs/>
        </w:rPr>
      </w:pPr>
      <w:r>
        <w:rPr>
          <w:rFonts w:ascii="Times New Roman" w:hAnsi="Times New Roman" w:cs="Times New Roman"/>
          <w:i/>
          <w:iCs/>
        </w:rPr>
        <w:t xml:space="preserve">- </w:t>
      </w:r>
      <w:r w:rsidRPr="00564DE2">
        <w:rPr>
          <w:rFonts w:ascii="Times New Roman" w:hAnsi="Times New Roman" w:cs="Times New Roman"/>
          <w:i/>
          <w:iCs/>
        </w:rPr>
        <w:t>Impossibilidade de utilização plena: o comprador não pode transformar, reformar ou explorar a unidade como sala comercial, apartamento ou estabelecimento independente.</w:t>
      </w:r>
    </w:p>
    <w:p w14:paraId="3E78E50E" w14:textId="643010AE" w:rsidR="00564DE2" w:rsidRPr="00564DE2" w:rsidRDefault="00564DE2" w:rsidP="00564DE2">
      <w:pPr>
        <w:ind w:right="-568"/>
        <w:jc w:val="both"/>
        <w:rPr>
          <w:rFonts w:ascii="Times New Roman" w:hAnsi="Times New Roman" w:cs="Times New Roman"/>
          <w:i/>
          <w:iCs/>
        </w:rPr>
      </w:pPr>
      <w:r>
        <w:rPr>
          <w:rFonts w:ascii="Times New Roman" w:hAnsi="Times New Roman" w:cs="Times New Roman"/>
          <w:i/>
          <w:iCs/>
        </w:rPr>
        <w:t xml:space="preserve">- </w:t>
      </w:r>
      <w:r w:rsidRPr="00564DE2">
        <w:rPr>
          <w:rFonts w:ascii="Times New Roman" w:hAnsi="Times New Roman" w:cs="Times New Roman"/>
          <w:i/>
          <w:iCs/>
        </w:rPr>
        <w:t>Dificuldade operacional e jurídica: há evidente estranheza e insegurança quanto à finalidade prática do uso cotidiano desses quartos, seja para residência, seja para atividade empresarial.</w:t>
      </w:r>
    </w:p>
    <w:p w14:paraId="620ED48C" w14:textId="77777777" w:rsidR="00564DE2" w:rsidRPr="00564DE2" w:rsidRDefault="00564DE2" w:rsidP="00564DE2">
      <w:pPr>
        <w:ind w:right="-568"/>
        <w:jc w:val="both"/>
        <w:rPr>
          <w:rFonts w:ascii="Times New Roman" w:hAnsi="Times New Roman" w:cs="Times New Roman"/>
          <w:i/>
          <w:iCs/>
        </w:rPr>
      </w:pPr>
      <w:r w:rsidRPr="00564DE2">
        <w:rPr>
          <w:rFonts w:ascii="Times New Roman" w:hAnsi="Times New Roman" w:cs="Times New Roman"/>
          <w:i/>
          <w:iCs/>
        </w:rPr>
        <w:t>4.4</w:t>
      </w:r>
      <w:r w:rsidRPr="00564DE2">
        <w:rPr>
          <w:rFonts w:ascii="Times New Roman" w:hAnsi="Times New Roman" w:cs="Times New Roman"/>
          <w:i/>
          <w:iCs/>
        </w:rPr>
        <w:tab/>
        <w:t>Inadequação para adjudicação ou uso próprio por eventuais adquirentes</w:t>
      </w:r>
    </w:p>
    <w:p w14:paraId="6DFCFBB0" w14:textId="77777777" w:rsidR="00564DE2" w:rsidRPr="00564DE2" w:rsidRDefault="00564DE2" w:rsidP="00564DE2">
      <w:pPr>
        <w:ind w:right="-568"/>
        <w:jc w:val="both"/>
        <w:rPr>
          <w:rFonts w:ascii="Times New Roman" w:hAnsi="Times New Roman" w:cs="Times New Roman"/>
          <w:i/>
          <w:iCs/>
        </w:rPr>
      </w:pPr>
      <w:r w:rsidRPr="00564DE2">
        <w:rPr>
          <w:rFonts w:ascii="Times New Roman" w:hAnsi="Times New Roman" w:cs="Times New Roman"/>
          <w:i/>
          <w:iCs/>
        </w:rPr>
        <w:t>A inviabilidade de utilização autônoma torna a adjudicação igualmente desinteressante para o credor, pois:</w:t>
      </w:r>
    </w:p>
    <w:p w14:paraId="1D50804E" w14:textId="7C19975D" w:rsidR="00564DE2" w:rsidRPr="00564DE2" w:rsidRDefault="00564DE2" w:rsidP="00564DE2">
      <w:pPr>
        <w:ind w:right="-568"/>
        <w:jc w:val="both"/>
        <w:rPr>
          <w:rFonts w:ascii="Times New Roman" w:hAnsi="Times New Roman" w:cs="Times New Roman"/>
          <w:i/>
          <w:iCs/>
        </w:rPr>
      </w:pPr>
      <w:r>
        <w:rPr>
          <w:rFonts w:ascii="Times New Roman" w:hAnsi="Times New Roman" w:cs="Times New Roman"/>
          <w:i/>
          <w:iCs/>
        </w:rPr>
        <w:t xml:space="preserve">- </w:t>
      </w:r>
      <w:proofErr w:type="gramStart"/>
      <w:r w:rsidRPr="00564DE2">
        <w:rPr>
          <w:rFonts w:ascii="Times New Roman" w:hAnsi="Times New Roman" w:cs="Times New Roman"/>
          <w:i/>
          <w:iCs/>
        </w:rPr>
        <w:t>inexiste</w:t>
      </w:r>
      <w:proofErr w:type="gramEnd"/>
      <w:r w:rsidRPr="00564DE2">
        <w:rPr>
          <w:rFonts w:ascii="Times New Roman" w:hAnsi="Times New Roman" w:cs="Times New Roman"/>
          <w:i/>
          <w:iCs/>
        </w:rPr>
        <w:t xml:space="preserve"> utilidade econômica direta;</w:t>
      </w:r>
    </w:p>
    <w:p w14:paraId="3457036F" w14:textId="78BE9CB2" w:rsidR="00564DE2" w:rsidRPr="00564DE2" w:rsidRDefault="00564DE2" w:rsidP="00564DE2">
      <w:pPr>
        <w:ind w:right="-568"/>
        <w:jc w:val="both"/>
        <w:rPr>
          <w:rFonts w:ascii="Times New Roman" w:hAnsi="Times New Roman" w:cs="Times New Roman"/>
          <w:i/>
          <w:iCs/>
        </w:rPr>
      </w:pPr>
      <w:r>
        <w:rPr>
          <w:rFonts w:ascii="Times New Roman" w:hAnsi="Times New Roman" w:cs="Times New Roman"/>
          <w:i/>
          <w:iCs/>
        </w:rPr>
        <w:t xml:space="preserve">- </w:t>
      </w:r>
      <w:proofErr w:type="gramStart"/>
      <w:r w:rsidRPr="00564DE2">
        <w:rPr>
          <w:rFonts w:ascii="Times New Roman" w:hAnsi="Times New Roman" w:cs="Times New Roman"/>
          <w:i/>
          <w:iCs/>
        </w:rPr>
        <w:t>inexiste</w:t>
      </w:r>
      <w:proofErr w:type="gramEnd"/>
      <w:r w:rsidRPr="00564DE2">
        <w:rPr>
          <w:rFonts w:ascii="Times New Roman" w:hAnsi="Times New Roman" w:cs="Times New Roman"/>
          <w:i/>
          <w:iCs/>
        </w:rPr>
        <w:t xml:space="preserve"> viabilidade de exploração independente;</w:t>
      </w:r>
    </w:p>
    <w:p w14:paraId="3216643B" w14:textId="5C2CD850" w:rsidR="00564DE2" w:rsidRPr="00564DE2" w:rsidRDefault="00564DE2" w:rsidP="00564DE2">
      <w:pPr>
        <w:ind w:right="-568"/>
        <w:jc w:val="both"/>
        <w:rPr>
          <w:rFonts w:ascii="Times New Roman" w:hAnsi="Times New Roman" w:cs="Times New Roman"/>
        </w:rPr>
      </w:pPr>
      <w:r>
        <w:rPr>
          <w:rFonts w:ascii="Times New Roman" w:hAnsi="Times New Roman" w:cs="Times New Roman"/>
          <w:i/>
          <w:iCs/>
        </w:rPr>
        <w:t xml:space="preserve">- </w:t>
      </w:r>
      <w:proofErr w:type="gramStart"/>
      <w:r w:rsidRPr="00564DE2">
        <w:rPr>
          <w:rFonts w:ascii="Times New Roman" w:hAnsi="Times New Roman" w:cs="Times New Roman"/>
          <w:i/>
          <w:iCs/>
        </w:rPr>
        <w:t>não</w:t>
      </w:r>
      <w:proofErr w:type="gramEnd"/>
      <w:r w:rsidRPr="00564DE2">
        <w:rPr>
          <w:rFonts w:ascii="Times New Roman" w:hAnsi="Times New Roman" w:cs="Times New Roman"/>
          <w:i/>
          <w:iCs/>
        </w:rPr>
        <w:t xml:space="preserve"> há perspectiva de valorização futura significativa</w:t>
      </w:r>
      <w:r w:rsidRPr="00564DE2">
        <w:rPr>
          <w:rFonts w:ascii="Times New Roman" w:hAnsi="Times New Roman" w:cs="Times New Roman"/>
        </w:rPr>
        <w:t>.</w:t>
      </w:r>
      <w:r>
        <w:rPr>
          <w:rFonts w:ascii="Times New Roman" w:hAnsi="Times New Roman" w:cs="Times New Roman"/>
        </w:rPr>
        <w:t>”</w:t>
      </w:r>
    </w:p>
    <w:p w14:paraId="210BE716" w14:textId="23665E7F" w:rsidR="00564DE2" w:rsidRPr="00564DE2" w:rsidRDefault="00564DE2" w:rsidP="00564DE2">
      <w:pPr>
        <w:ind w:right="-568"/>
        <w:jc w:val="both"/>
        <w:rPr>
          <w:rFonts w:ascii="Times New Roman" w:hAnsi="Times New Roman" w:cs="Times New Roman"/>
          <w:b/>
          <w:bCs/>
        </w:rPr>
      </w:pPr>
      <w:r w:rsidRPr="00564DE2">
        <w:rPr>
          <w:rFonts w:ascii="Times New Roman" w:hAnsi="Times New Roman" w:cs="Times New Roman"/>
          <w:b/>
          <w:bCs/>
        </w:rPr>
        <w:t xml:space="preserve"> SEM QUALQUER ROBUSTEZ O PARECER TÉCNICO DO ID </w:t>
      </w:r>
      <w:r>
        <w:rPr>
          <w:rFonts w:ascii="Times New Roman" w:hAnsi="Times New Roman" w:cs="Times New Roman"/>
          <w:b/>
          <w:bCs/>
        </w:rPr>
        <w:t>...</w:t>
      </w:r>
    </w:p>
    <w:p w14:paraId="60AD08BD" w14:textId="77777777" w:rsidR="00564DE2" w:rsidRPr="00564DE2" w:rsidRDefault="00564DE2" w:rsidP="00564DE2">
      <w:pPr>
        <w:ind w:right="-568"/>
        <w:jc w:val="both"/>
        <w:rPr>
          <w:rFonts w:ascii="Times New Roman" w:hAnsi="Times New Roman" w:cs="Times New Roman"/>
          <w:b/>
          <w:bCs/>
        </w:rPr>
      </w:pPr>
      <w:r w:rsidRPr="00564DE2">
        <w:rPr>
          <w:rFonts w:ascii="Times New Roman" w:hAnsi="Times New Roman" w:cs="Times New Roman"/>
          <w:b/>
          <w:bCs/>
        </w:rPr>
        <w:t>PROVA PERICIAL OFICIAL REALIZADA COM TODA A TÉCNICA EXIGIDA PELO EXPERT DE CONFIANÇA DE V. EXA RESPALDADO POR EXAME COMPLETO QUE EXIGIA A PERÍCIA -</w:t>
      </w:r>
    </w:p>
    <w:p w14:paraId="661221DC" w14:textId="31655B18" w:rsidR="00564DE2" w:rsidRPr="00564DE2" w:rsidRDefault="00564DE2" w:rsidP="00564DE2">
      <w:pPr>
        <w:ind w:right="-568"/>
        <w:jc w:val="both"/>
        <w:rPr>
          <w:rFonts w:ascii="Times New Roman" w:hAnsi="Times New Roman" w:cs="Times New Roman"/>
        </w:rPr>
      </w:pPr>
      <w:r w:rsidRPr="00564DE2">
        <w:rPr>
          <w:rFonts w:ascii="Times New Roman" w:hAnsi="Times New Roman" w:cs="Times New Roman"/>
        </w:rPr>
        <w:t>A alegada “i</w:t>
      </w:r>
      <w:r w:rsidRPr="00564DE2">
        <w:rPr>
          <w:rFonts w:ascii="Times New Roman" w:hAnsi="Times New Roman" w:cs="Times New Roman"/>
          <w:i/>
          <w:iCs/>
        </w:rPr>
        <w:t>mprestabilidade</w:t>
      </w:r>
      <w:r w:rsidRPr="00564DE2">
        <w:rPr>
          <w:rFonts w:ascii="Times New Roman" w:hAnsi="Times New Roman" w:cs="Times New Roman"/>
        </w:rPr>
        <w:t xml:space="preserve">” suscitada no Parecer Técnico dos Executados do Id </w:t>
      </w:r>
      <w:r>
        <w:rPr>
          <w:rFonts w:ascii="Times New Roman" w:hAnsi="Times New Roman" w:cs="Times New Roman"/>
        </w:rPr>
        <w:t>...</w:t>
      </w:r>
      <w:r w:rsidRPr="00564DE2">
        <w:rPr>
          <w:rFonts w:ascii="Times New Roman" w:hAnsi="Times New Roman" w:cs="Times New Roman"/>
        </w:rPr>
        <w:t>, intitulado “</w:t>
      </w:r>
      <w:proofErr w:type="spellStart"/>
      <w:r w:rsidRPr="00564DE2">
        <w:rPr>
          <w:rFonts w:ascii="Times New Roman" w:hAnsi="Times New Roman" w:cs="Times New Roman"/>
          <w:i/>
          <w:iCs/>
        </w:rPr>
        <w:t>contralaudo</w:t>
      </w:r>
      <w:proofErr w:type="spellEnd"/>
      <w:r w:rsidRPr="00564DE2">
        <w:rPr>
          <w:rFonts w:ascii="Times New Roman" w:hAnsi="Times New Roman" w:cs="Times New Roman"/>
        </w:rPr>
        <w:t xml:space="preserve">” encontra-se ilhada nas suas palavras, </w:t>
      </w:r>
      <w:r w:rsidRPr="00564DE2">
        <w:rPr>
          <w:rFonts w:ascii="Times New Roman" w:hAnsi="Times New Roman" w:cs="Times New Roman"/>
          <w:i/>
          <w:iCs/>
        </w:rPr>
        <w:t xml:space="preserve">data máxima </w:t>
      </w:r>
      <w:proofErr w:type="spellStart"/>
      <w:r w:rsidRPr="00564DE2">
        <w:rPr>
          <w:rFonts w:ascii="Times New Roman" w:hAnsi="Times New Roman" w:cs="Times New Roman"/>
          <w:i/>
          <w:iCs/>
        </w:rPr>
        <w:t>venia</w:t>
      </w:r>
      <w:proofErr w:type="spellEnd"/>
      <w:r w:rsidRPr="00564DE2">
        <w:rPr>
          <w:rFonts w:ascii="Times New Roman" w:hAnsi="Times New Roman" w:cs="Times New Roman"/>
          <w:i/>
          <w:iCs/>
        </w:rPr>
        <w:t>.</w:t>
      </w:r>
    </w:p>
    <w:p w14:paraId="484EAC5D" w14:textId="0DE5D111" w:rsidR="00564DE2" w:rsidRPr="00564DE2" w:rsidRDefault="00564DE2" w:rsidP="00564DE2">
      <w:pPr>
        <w:ind w:right="-568"/>
        <w:jc w:val="both"/>
        <w:rPr>
          <w:rFonts w:ascii="Times New Roman" w:hAnsi="Times New Roman" w:cs="Times New Roman"/>
        </w:rPr>
      </w:pPr>
      <w:r w:rsidRPr="00564DE2">
        <w:rPr>
          <w:rFonts w:ascii="Times New Roman" w:hAnsi="Times New Roman" w:cs="Times New Roman"/>
        </w:rPr>
        <w:t xml:space="preserve">Não tem qualquer suporte técnico, fático ou legal o caminho tingido mais uma vez com a tinta da procrastinação de se pretender decretar a invalidação do Laudo Judicial por falta de fundamentação, pois não teria adotado a </w:t>
      </w:r>
      <w:proofErr w:type="spellStart"/>
      <w:r w:rsidRPr="00564DE2">
        <w:rPr>
          <w:rFonts w:ascii="Times New Roman" w:hAnsi="Times New Roman" w:cs="Times New Roman"/>
        </w:rPr>
        <w:t>pseudo</w:t>
      </w:r>
      <w:proofErr w:type="spellEnd"/>
      <w:r w:rsidRPr="00564DE2">
        <w:rPr>
          <w:rFonts w:ascii="Times New Roman" w:hAnsi="Times New Roman" w:cs="Times New Roman"/>
        </w:rPr>
        <w:t xml:space="preserve"> lógica dos executados que os 30 [trinta] quartos de hotel penhorados estariam jungidos a um “</w:t>
      </w:r>
      <w:r w:rsidRPr="00564DE2">
        <w:rPr>
          <w:rFonts w:ascii="Times New Roman" w:hAnsi="Times New Roman" w:cs="Times New Roman"/>
          <w:i/>
          <w:iCs/>
        </w:rPr>
        <w:t>negócio hoteleiro</w:t>
      </w:r>
      <w:r w:rsidRPr="00564DE2">
        <w:rPr>
          <w:rFonts w:ascii="Times New Roman" w:hAnsi="Times New Roman" w:cs="Times New Roman"/>
        </w:rPr>
        <w:t>”.</w:t>
      </w:r>
    </w:p>
    <w:p w14:paraId="1EF50017" w14:textId="38FB3AFE" w:rsidR="00564DE2" w:rsidRPr="00564DE2" w:rsidRDefault="00564DE2" w:rsidP="00564DE2">
      <w:pPr>
        <w:ind w:right="-568"/>
        <w:jc w:val="both"/>
        <w:rPr>
          <w:rFonts w:ascii="Times New Roman" w:hAnsi="Times New Roman" w:cs="Times New Roman"/>
        </w:rPr>
      </w:pPr>
      <w:r w:rsidRPr="00564DE2">
        <w:rPr>
          <w:rFonts w:ascii="Times New Roman" w:hAnsi="Times New Roman" w:cs="Times New Roman"/>
        </w:rPr>
        <w:t xml:space="preserve">Socorre-se às ponderações do Laudo do Assistente Técnico dos exequentes, rebatendo de modo firme que o Laudo Oficial seguiu rigidamente as regras técnicas aplicáveis e que não se está </w:t>
      </w:r>
      <w:r w:rsidRPr="00564DE2">
        <w:rPr>
          <w:rFonts w:ascii="Times New Roman" w:hAnsi="Times New Roman" w:cs="Times New Roman"/>
        </w:rPr>
        <w:lastRenderedPageBreak/>
        <w:t>avaliando um “</w:t>
      </w:r>
      <w:r w:rsidRPr="00564DE2">
        <w:rPr>
          <w:rFonts w:ascii="Times New Roman" w:hAnsi="Times New Roman" w:cs="Times New Roman"/>
          <w:i/>
          <w:iCs/>
        </w:rPr>
        <w:t>fundo de comércio</w:t>
      </w:r>
      <w:r w:rsidRPr="00564DE2">
        <w:rPr>
          <w:rFonts w:ascii="Times New Roman" w:hAnsi="Times New Roman" w:cs="Times New Roman"/>
        </w:rPr>
        <w:t>” como sustenta o ilustre assistente dos executados, confira-se:</w:t>
      </w:r>
    </w:p>
    <w:p w14:paraId="05B424BE" w14:textId="60472945" w:rsidR="00564DE2" w:rsidRPr="00244B30" w:rsidRDefault="00564DE2" w:rsidP="00564DE2">
      <w:pPr>
        <w:ind w:right="-568"/>
        <w:jc w:val="both"/>
        <w:rPr>
          <w:rFonts w:ascii="Times New Roman" w:hAnsi="Times New Roman" w:cs="Times New Roman"/>
          <w:i/>
          <w:iCs/>
        </w:rPr>
      </w:pPr>
      <w:r w:rsidRPr="00564DE2">
        <w:rPr>
          <w:rFonts w:ascii="Times New Roman" w:hAnsi="Times New Roman" w:cs="Times New Roman"/>
        </w:rPr>
        <w:t>“</w:t>
      </w:r>
      <w:r w:rsidRPr="00244B30">
        <w:rPr>
          <w:rFonts w:ascii="Times New Roman" w:hAnsi="Times New Roman" w:cs="Times New Roman"/>
          <w:i/>
          <w:iCs/>
        </w:rPr>
        <w:t xml:space="preserve">5. ANÁLISE DA MANIFESTAÇÃO DE ID n. </w:t>
      </w:r>
      <w:r w:rsidRPr="00244B30">
        <w:rPr>
          <w:rFonts w:ascii="Times New Roman" w:hAnsi="Times New Roman" w:cs="Times New Roman"/>
          <w:i/>
          <w:iCs/>
        </w:rPr>
        <w:t>..</w:t>
      </w:r>
      <w:r w:rsidRPr="00244B30">
        <w:rPr>
          <w:rFonts w:ascii="Times New Roman" w:hAnsi="Times New Roman" w:cs="Times New Roman"/>
          <w:i/>
          <w:iCs/>
        </w:rPr>
        <w:t>.</w:t>
      </w:r>
    </w:p>
    <w:p w14:paraId="6AF24A3D"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5.1. Síntese da controvérsia</w:t>
      </w:r>
    </w:p>
    <w:p w14:paraId="6C16EF5B"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 xml:space="preserve">O ilustre assistente técnico dos executados sustenta, em apertada síntese, que o laudo pericial seria “imprestável” por: </w:t>
      </w:r>
    </w:p>
    <w:p w14:paraId="46E97729" w14:textId="7DCD25BE"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 xml:space="preserve"> (a) utilizar amostra de apartamentos residenciais;</w:t>
      </w:r>
    </w:p>
    <w:p w14:paraId="058D388A" w14:textId="422DE3C8"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 xml:space="preserve">(b) não realizar validação estatística aprofundada; </w:t>
      </w:r>
    </w:p>
    <w:p w14:paraId="742057E8" w14:textId="77777777" w:rsid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 xml:space="preserve">(c) adotar o método comparativo direto, e não o método de renda </w:t>
      </w:r>
      <w:r w:rsidRPr="00244B30">
        <w:rPr>
          <w:rFonts w:ascii="Times New Roman" w:hAnsi="Times New Roman" w:cs="Times New Roman"/>
          <w:i/>
          <w:iCs/>
        </w:rPr>
        <w:tab/>
        <w:t xml:space="preserve">como “obrigatório”; </w:t>
      </w:r>
    </w:p>
    <w:p w14:paraId="50340F3B" w14:textId="5A907D36"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 xml:space="preserve">(d) apresentar suposta caracterização superficial do ativo; e </w:t>
      </w:r>
    </w:p>
    <w:p w14:paraId="464D9F47" w14:textId="7BC6C0FD"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 xml:space="preserve"> (e) divergir de avaliações anteriores e de cenário de renda projetada pelo próprio assistente.</w:t>
      </w:r>
    </w:p>
    <w:p w14:paraId="12E94902" w14:textId="12E6A0AD"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Como se demonstrará, trata se de mera divergência metodológica e interpretativa, sem qualquer vício grave de forma ou de conteúdo que autorize a invalidação do laudo judicial. O trabalho pericial atendeu ao Código de Processo Civil e às normas da ABNT NBR 14653 1 e 14653 2 em nível compatível com a finalidade da prova, devendo ser mantido como elemento técnico principal para o convencimento deste Juízo.</w:t>
      </w:r>
    </w:p>
    <w:p w14:paraId="1AA288F4"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5.2. Conformidade do laudo com o CPC e com a NBR 14653</w:t>
      </w:r>
    </w:p>
    <w:p w14:paraId="2B53353D" w14:textId="22D6A703"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 xml:space="preserve">O laudo elaborado em </w:t>
      </w:r>
      <w:r w:rsidR="00244B30">
        <w:rPr>
          <w:rFonts w:ascii="Times New Roman" w:hAnsi="Times New Roman" w:cs="Times New Roman"/>
          <w:i/>
          <w:iCs/>
        </w:rPr>
        <w:t>...</w:t>
      </w:r>
      <w:r w:rsidRPr="00244B30">
        <w:rPr>
          <w:rFonts w:ascii="Times New Roman" w:hAnsi="Times New Roman" w:cs="Times New Roman"/>
          <w:i/>
          <w:iCs/>
        </w:rPr>
        <w:t xml:space="preserve"> identifica claramente: objeto da perícia (30 unidades autônomas), finalidade (avaliação de mercado para fins de cumprimento de sentença), datas de vistoria e de referência, metodologia empregada (método comparativo direto de dados de mercado), fontes de pesquisa, memória de cálculo e conclusão, atendendo aos requisitos de exposição do objeto, método e fundamentação exigidos pelos </w:t>
      </w:r>
      <w:proofErr w:type="spellStart"/>
      <w:r w:rsidRPr="00244B30">
        <w:rPr>
          <w:rFonts w:ascii="Times New Roman" w:hAnsi="Times New Roman" w:cs="Times New Roman"/>
          <w:i/>
          <w:iCs/>
        </w:rPr>
        <w:t>arts</w:t>
      </w:r>
      <w:proofErr w:type="spellEnd"/>
      <w:r w:rsidRPr="00244B30">
        <w:rPr>
          <w:rFonts w:ascii="Times New Roman" w:hAnsi="Times New Roman" w:cs="Times New Roman"/>
          <w:i/>
          <w:iCs/>
        </w:rPr>
        <w:t>. 473 e 479 do CPC.</w:t>
      </w:r>
    </w:p>
    <w:p w14:paraId="2E850A9A" w14:textId="1FD1E486"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Do ponto de vista técnico, o laudo se ancora na ABNT NBR 14653 1 (Procedimentos gerais) e na NBR 14653 2 (imóveis urbanos), adotando o método comparativo direto com ampla amostra de referências, devidamente identificadas, o que é compatível com as práticas correntes de avaliação judicial de imóveis urbanos com finalidade de execução.</w:t>
      </w:r>
    </w:p>
    <w:p w14:paraId="40F48778"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5.3. Sobre a alegada “irregularidade fundamental”: aplicação da NBR 14653 2</w:t>
      </w:r>
    </w:p>
    <w:p w14:paraId="476FECD4" w14:textId="5238B8A1"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A impugnação parte da premissa de que, por se tratar de empreendimento hoteleiro em operação, haveria obrigatoriedade absoluta de aplicação exclusiva da NBR 14653 2 para “</w:t>
      </w:r>
      <w:proofErr w:type="spellStart"/>
      <w:r w:rsidRPr="00244B30">
        <w:rPr>
          <w:rFonts w:ascii="Times New Roman" w:hAnsi="Times New Roman" w:cs="Times New Roman"/>
          <w:i/>
          <w:iCs/>
        </w:rPr>
        <w:t>empreendimentos</w:t>
      </w:r>
      <w:proofErr w:type="spellEnd"/>
      <w:r w:rsidRPr="00244B30">
        <w:rPr>
          <w:rFonts w:ascii="Times New Roman" w:hAnsi="Times New Roman" w:cs="Times New Roman"/>
          <w:i/>
          <w:iCs/>
        </w:rPr>
        <w:t xml:space="preserve"> com finalidade específica”, com uso predominante do método de renda, sob pena de nulidade da perícia.</w:t>
      </w:r>
    </w:p>
    <w:p w14:paraId="63BFEE94" w14:textId="650FCB0F"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Ocorre que, no caso concreto, o objeto da avaliação não é o “negócio hoteleiro” como empresa em marcha (</w:t>
      </w:r>
      <w:proofErr w:type="spellStart"/>
      <w:r w:rsidRPr="00244B30">
        <w:rPr>
          <w:rFonts w:ascii="Times New Roman" w:hAnsi="Times New Roman" w:cs="Times New Roman"/>
          <w:i/>
          <w:iCs/>
        </w:rPr>
        <w:t>goodwill</w:t>
      </w:r>
      <w:proofErr w:type="spellEnd"/>
      <w:r w:rsidRPr="00244B30">
        <w:rPr>
          <w:rFonts w:ascii="Times New Roman" w:hAnsi="Times New Roman" w:cs="Times New Roman"/>
          <w:i/>
          <w:iCs/>
        </w:rPr>
        <w:t>, marca, carteira de clientes, gestão), mas 30 unidades autônomas, registradas em matrículas próprias, de natureza imobiliária, penhoradas para garantia de execução. O foco jurídico é o valor de mercado desses imóveis, não a valoração do fundo de comércio hoteleiro.</w:t>
      </w:r>
    </w:p>
    <w:p w14:paraId="408EB223" w14:textId="29EDDEBC"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lastRenderedPageBreak/>
        <w:t>A própria NBR 14653 2 contempla o método comparativo direto, o método evolutivo e o método de renda, cabendo ao avaliador, com base na finalidade da avaliação e na disponibilidade de dados confiáveis, selecionar e justificar o(s) método(s) mais adequados. Não há, na norma, proibição de uso do método comparativo em tais hipóteses, tampouco previsão de nulidade automática da avaliação quando o método de renda não é adotado como principal, mas apenas recomendação de uso quando o objetivo é valorar a capacidade de geração de caixa do empreendimento como negócio.</w:t>
      </w:r>
    </w:p>
    <w:p w14:paraId="3D54B42B"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5.4. Amostra comparativa e critério de comparabilidade</w:t>
      </w:r>
    </w:p>
    <w:p w14:paraId="4FCC9652" w14:textId="5677FB95"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 xml:space="preserve">O laudo pericial, elaborado pelo Perito Sr. </w:t>
      </w:r>
      <w:r w:rsidR="00244B30">
        <w:rPr>
          <w:rFonts w:ascii="Times New Roman" w:hAnsi="Times New Roman" w:cs="Times New Roman"/>
          <w:i/>
          <w:iCs/>
        </w:rPr>
        <w:t>...</w:t>
      </w:r>
      <w:r w:rsidRPr="00244B30">
        <w:rPr>
          <w:rFonts w:ascii="Times New Roman" w:hAnsi="Times New Roman" w:cs="Times New Roman"/>
          <w:i/>
          <w:iCs/>
        </w:rPr>
        <w:t xml:space="preserve">, descreve minuciosamente a pesquisa de mercado realizada, indicando 25 referências de apartamentos, </w:t>
      </w:r>
      <w:proofErr w:type="spellStart"/>
      <w:r w:rsidRPr="00244B30">
        <w:rPr>
          <w:rFonts w:ascii="Times New Roman" w:hAnsi="Times New Roman" w:cs="Times New Roman"/>
          <w:i/>
          <w:iCs/>
        </w:rPr>
        <w:t>studios</w:t>
      </w:r>
      <w:proofErr w:type="spellEnd"/>
      <w:r w:rsidRPr="00244B30">
        <w:rPr>
          <w:rFonts w:ascii="Times New Roman" w:hAnsi="Times New Roman" w:cs="Times New Roman"/>
          <w:i/>
          <w:iCs/>
        </w:rPr>
        <w:t xml:space="preserve">, flats e unidades compactas em </w:t>
      </w:r>
      <w:r w:rsidR="00244B30">
        <w:rPr>
          <w:rFonts w:ascii="Times New Roman" w:hAnsi="Times New Roman" w:cs="Times New Roman"/>
          <w:i/>
          <w:iCs/>
        </w:rPr>
        <w:t>...</w:t>
      </w:r>
      <w:r w:rsidRPr="00244B30">
        <w:rPr>
          <w:rFonts w:ascii="Times New Roman" w:hAnsi="Times New Roman" w:cs="Times New Roman"/>
          <w:i/>
          <w:iCs/>
        </w:rPr>
        <w:t>, com especificação de área, padrão e preço de oferta, a partir dos quais se extrai o valor médio de R$/m² utilizado na avaliação das unidades penhoradas.</w:t>
      </w:r>
    </w:p>
    <w:p w14:paraId="49CD1B30" w14:textId="6564201D" w:rsidR="00564DE2" w:rsidRPr="00564DE2" w:rsidRDefault="00564DE2" w:rsidP="00564DE2">
      <w:pPr>
        <w:ind w:right="-568"/>
        <w:jc w:val="both"/>
        <w:rPr>
          <w:rFonts w:ascii="Times New Roman" w:hAnsi="Times New Roman" w:cs="Times New Roman"/>
        </w:rPr>
      </w:pPr>
      <w:r w:rsidRPr="00244B30">
        <w:rPr>
          <w:rFonts w:ascii="Times New Roman" w:hAnsi="Times New Roman" w:cs="Times New Roman"/>
          <w:i/>
          <w:iCs/>
        </w:rPr>
        <w:t>A NBR 14653 2 exige que a amostra seja composta por imóveis “comparáveis”, não necessariamente idênticos, considerando natureza de uso, localização e características construtivas, admitindo a aplicação de fatores de homogeneização quando existirem diferenças relevantes. Em mercados com escassez de transações de hotéis, a literatura técnica e manuais de avaliação recomendam, justamente, o uso de imóveis urbanos com similitude locacional, tipológica e construtiva, com devida explicitação de limitações, o que foi observado no trabalho pericial</w:t>
      </w:r>
      <w:r w:rsidRPr="00564DE2">
        <w:rPr>
          <w:rFonts w:ascii="Times New Roman" w:hAnsi="Times New Roman" w:cs="Times New Roman"/>
        </w:rPr>
        <w:t>.</w:t>
      </w:r>
    </w:p>
    <w:p w14:paraId="6EDDE8C1" w14:textId="70E79CB3"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NOVAMENTE OBSERVE QUE NÃO ESTÁ SENDO AVALIADO O FUNDO DE COMÉRCIO OU PARTE DE UM NEGÓCIO HOTELEIRO, MAS 30 UNIDADES AUTÔNOMAS PENHORADAS.</w:t>
      </w:r>
    </w:p>
    <w:p w14:paraId="2B3AD509" w14:textId="00736130"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A crítica do d. assistente, ao exigir que a amostra fosse composta exclusivamente por hotéis ou flats operacionais idênticos ao objeto, traduz interpretação extremamente rígida do conceito de “comparabilidade”, que não encontra respaldo literal na norma e, se acolhida, inviabilizaria inúmeras avaliações judiciais em cidades com menor número de transações de empreendimentos hoteleiros.</w:t>
      </w:r>
    </w:p>
    <w:p w14:paraId="0B0B89D9"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5.4.1. Avaliação de 30 unidades autônomas, e não de um negócio hoteleiro</w:t>
      </w:r>
    </w:p>
    <w:p w14:paraId="1779D7D7" w14:textId="4D30E2C9"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 xml:space="preserve">A perícia realizada recaiu sobre 30 unidades autônomas, cada uma com matrícula própria, área definida e características físicas individualizáveis, juridicamente qualificadas como imóveis urbanos integrantes de um condomínio com destinação hoteleira. Essas unidades correspondem, em essência, a apartamentos/suítes com fração ideal nas áreas comuns, e não ao estabelecimento empresarial “hotel” como um todo, que envolve marca, carteira de clientes, contratos trabalhistas, </w:t>
      </w:r>
      <w:proofErr w:type="spellStart"/>
      <w:r w:rsidRPr="00244B30">
        <w:rPr>
          <w:rFonts w:ascii="Times New Roman" w:hAnsi="Times New Roman" w:cs="Times New Roman"/>
          <w:i/>
          <w:iCs/>
        </w:rPr>
        <w:t>know</w:t>
      </w:r>
      <w:proofErr w:type="spellEnd"/>
      <w:r w:rsidRPr="00244B30">
        <w:rPr>
          <w:rFonts w:ascii="Times New Roman" w:hAnsi="Times New Roman" w:cs="Times New Roman"/>
          <w:i/>
          <w:iCs/>
        </w:rPr>
        <w:t xml:space="preserve"> </w:t>
      </w:r>
      <w:proofErr w:type="spellStart"/>
      <w:r w:rsidRPr="00244B30">
        <w:rPr>
          <w:rFonts w:ascii="Times New Roman" w:hAnsi="Times New Roman" w:cs="Times New Roman"/>
          <w:i/>
          <w:iCs/>
        </w:rPr>
        <w:t>how</w:t>
      </w:r>
      <w:proofErr w:type="spellEnd"/>
      <w:r w:rsidRPr="00244B30">
        <w:rPr>
          <w:rFonts w:ascii="Times New Roman" w:hAnsi="Times New Roman" w:cs="Times New Roman"/>
          <w:i/>
          <w:iCs/>
        </w:rPr>
        <w:t xml:space="preserve"> gerencial e demais elementos incorpóreos do fundo de comércio.</w:t>
      </w:r>
    </w:p>
    <w:p w14:paraId="72CC3C01" w14:textId="67790DB0"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 xml:space="preserve">Do ponto de vista técnico e jurídico, a diferença é relevante: na execução judicial discutida, o que está penhorado e deve ser avaliado é o patrimônio imobiliário dos devedores – as 30 unidades autônomas – e não o negócio hoteleiro explorado sobre o imóvel, que pode, inclusive, </w:t>
      </w:r>
      <w:r w:rsidRPr="00244B30">
        <w:rPr>
          <w:rFonts w:ascii="Times New Roman" w:hAnsi="Times New Roman" w:cs="Times New Roman"/>
          <w:i/>
          <w:iCs/>
        </w:rPr>
        <w:lastRenderedPageBreak/>
        <w:t>vir a ser alterado, encerrado ou transferido sem modificação da estrutura de propriedade das unidades.</w:t>
      </w:r>
    </w:p>
    <w:p w14:paraId="33374D1C" w14:textId="2A0EFC85"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Nessa perspectiva, a série ABNT NBR 14653 (partes 1 e 2) admite e até recomenda que, havendo mercado ativo de unidades imobiliárias comparáveis, se utilize o método comparativo direto de dados de mercado para determinar o valor de mercado dessas unidades, tratando as como bens imóveis urbanos, sem confundir esse valor com o valor econômico futuro do empreendimento hoteleiro.</w:t>
      </w:r>
    </w:p>
    <w:p w14:paraId="7396296B" w14:textId="1BFA3D28"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 xml:space="preserve">Avaliar o “negócio hotel” (empresa em marcha) exigiria outro escopo: levantamento detalhado de receitas e despesas operacionais, contratos de exploração, riscos de gestão, marca, fundo de comércio e projeções de fluxo de caixa, típico de avaliações econômico financeiras de empresas. </w:t>
      </w:r>
    </w:p>
    <w:p w14:paraId="7434CDA7" w14:textId="6A08DBE7" w:rsidR="00564DE2" w:rsidRPr="00564DE2" w:rsidRDefault="00564DE2" w:rsidP="00564DE2">
      <w:pPr>
        <w:ind w:right="-568"/>
        <w:jc w:val="both"/>
        <w:rPr>
          <w:rFonts w:ascii="Times New Roman" w:hAnsi="Times New Roman" w:cs="Times New Roman"/>
        </w:rPr>
      </w:pPr>
      <w:r w:rsidRPr="00244B30">
        <w:rPr>
          <w:rFonts w:ascii="Times New Roman" w:hAnsi="Times New Roman" w:cs="Times New Roman"/>
          <w:i/>
          <w:iCs/>
        </w:rPr>
        <w:t>Tal escopo extrapola o comando judicial de avaliar bens penhorados e, se adotado isoladamente, poderia conduzir a valores inflados, baseados em cenários operacionais incertos, em detrimento da segurança e da objetividade exigidas em avaliações para fins de expropriação</w:t>
      </w:r>
      <w:r w:rsidRPr="00564DE2">
        <w:rPr>
          <w:rFonts w:ascii="Times New Roman" w:hAnsi="Times New Roman" w:cs="Times New Roman"/>
        </w:rPr>
        <w:t>.</w:t>
      </w:r>
    </w:p>
    <w:p w14:paraId="461E1D73" w14:textId="70E92BD8"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Assim, a opção metodológica da perícia – focar no valor de mercado das 30 unidades autônomas, como imóveis urbanos com destinação hoteleira, e não no valor global do negócio hoteleiro – é tecnicamente correta, juridicamente adequada ao objeto da execução e plenamente compatível com as normas de avaliação de bens.</w:t>
      </w:r>
    </w:p>
    <w:p w14:paraId="0C5C9CBF"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5.5. Validação estatística e grau de fundamentação</w:t>
      </w:r>
    </w:p>
    <w:p w14:paraId="14A965AA" w14:textId="3C43F222"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O “</w:t>
      </w:r>
      <w:proofErr w:type="spellStart"/>
      <w:r w:rsidRPr="00244B30">
        <w:rPr>
          <w:rFonts w:ascii="Times New Roman" w:hAnsi="Times New Roman" w:cs="Times New Roman"/>
          <w:i/>
          <w:iCs/>
        </w:rPr>
        <w:t>contralaudo</w:t>
      </w:r>
      <w:proofErr w:type="spellEnd"/>
      <w:r w:rsidRPr="00244B30">
        <w:rPr>
          <w:rFonts w:ascii="Times New Roman" w:hAnsi="Times New Roman" w:cs="Times New Roman"/>
          <w:i/>
          <w:iCs/>
        </w:rPr>
        <w:t>” afirma que o laudo seria inválido por não apresentar cálculo de desvio padrão, coeficiente de variação e testes de normalidade, além de indicar grau de fundamentação 1 e precisão 2.</w:t>
      </w:r>
    </w:p>
    <w:p w14:paraId="48CE5777" w14:textId="15ACD526"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É certo que a NBR 14653 1 recomenda o uso de ferramentas estatísticas e a declaração do grau de fundamentação; contudo, a própria norma esclarece que o grau decorre da quantidade e da qualidade dos dados acessíveis, admitindo graus menores em mercados com amostra limitada ou heterogênea, desde que as limitações sejam explicitadas. O laudo esclarece que utilizou dados de oferta, aplicando fator de homogeneização (0,9) para aproximar os preços anunciados dos valores efetivamente praticados, o que é procedimento amplamente aceito em avaliações imobiliárias.</w:t>
      </w:r>
    </w:p>
    <w:p w14:paraId="6CCE21D0" w14:textId="2279E1A2"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A ausência de determinados testes estatísticos avançados não converte, por si, o laudo em peça “imprestável”; o que a norma e a doutrina exigem é coerência metodológica, transparência nas fontes, exposição do raciocínio e possibilidade de reconstituição dos cálculos, critérios amplamente atendidos pelas tabelas e quadros constantes do relatório pericial.</w:t>
      </w:r>
    </w:p>
    <w:p w14:paraId="3FFB64EC" w14:textId="38D1BAA0"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 xml:space="preserve">Ademais, a afirmação de que “fundamentação grau 1 e precisão 2” seriam, automaticamente, “nível inadequado para perícia judicial” distorce o próprio espírito da NBR 14653. A norma estabelece uma escala de graus de fundamentação e precisão (I, II e III), em ordem crescente, justamente para permitir que o avaliador enquadre o trabalho conforme a quantidade e a </w:t>
      </w:r>
      <w:r w:rsidRPr="00244B30">
        <w:rPr>
          <w:rFonts w:ascii="Times New Roman" w:hAnsi="Times New Roman" w:cs="Times New Roman"/>
          <w:i/>
          <w:iCs/>
        </w:rPr>
        <w:lastRenderedPageBreak/>
        <w:t>qualidade dos dados disponíveis, a natureza do bem e a finalidade da avaliação, sem tornar o grau máximo uma exigência absoluta em todos os casos.</w:t>
      </w:r>
    </w:p>
    <w:p w14:paraId="13430C62" w14:textId="5ACFDDA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 xml:space="preserve">Em mercados com amostras limitadas ou heterogêneas – situação típica de imóveis especiais ou de centros urbanos médios –, a própria NBR 14653 admite graus mais modestos, desde que: (a) o enquadramento seja declarado; (b) o procedimento metodológico seja transparente; e (c) os limites do modelo sejam claramente expostos. No caso do Hotel </w:t>
      </w:r>
      <w:r w:rsidR="00244B30" w:rsidRPr="00244B30">
        <w:rPr>
          <w:rFonts w:ascii="Times New Roman" w:hAnsi="Times New Roman" w:cs="Times New Roman"/>
          <w:i/>
          <w:iCs/>
        </w:rPr>
        <w:t>...</w:t>
      </w:r>
      <w:r w:rsidRPr="00244B30">
        <w:rPr>
          <w:rFonts w:ascii="Times New Roman" w:hAnsi="Times New Roman" w:cs="Times New Roman"/>
          <w:i/>
          <w:iCs/>
        </w:rPr>
        <w:t>, o perito informou, de forma honesta e técnica, que o modelo inferencial alcançou fundamentação 1 e precisão 2, sem ocultar o grau, o que é exatamente o que a norma exige: especificar o nível de rigor atingido, não prometer um grau que os dados de mercado não suportam.</w:t>
      </w:r>
    </w:p>
    <w:p w14:paraId="175D9DA4" w14:textId="73773664"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Além disso, a NBR 14653 não diz que perícias judiciais só são válidas se tiverem grau 3 de fundamentação e precisão; o que a norma e os manuais de avaliação de imóveis exigem é coerência entre o grau declarado e a robustez dos dados, bem como adequação entre o nível de rigor e a finalidade da avaliação. Em muitas avaliações judiciais de imóveis urbanos, especialmente em execução, aceita se laudo classificado como simplificado ou com grau de fundamentação inferior ao máximo, desde que o raciocínio seja reconstituível, as fontes de mercado sejam identificadas e os cálculos estejam claros – requisitos que o laudo em questão cumpre.</w:t>
      </w:r>
    </w:p>
    <w:p w14:paraId="18CF17C9" w14:textId="3F6E9BA8"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Portanto, o fato de o perito indicar fundamentação 1 e precisão 2 não caracteriza “fundamentação insuficiente” no sentido de vício invalidante; ao contrário, mostra conformidade com a NBR 14653 ao explicitar o grau compatível com a realidade dos dados disponíveis. A impugnação, ao tratar o grau 3 como “obrigatório” para qualquer perícia judicial, transforma uma recomendação de melhor prática em exigência absoluta que a própria norma não impõe, convertendo uma discussão de “qualidade relativa” em alegação de nulidade que não encontra amparo técnico e legal.</w:t>
      </w:r>
    </w:p>
    <w:p w14:paraId="5BD0416D"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Sobre a alegada “ausência de validação estatística”</w:t>
      </w:r>
    </w:p>
    <w:p w14:paraId="1FCA0F82" w14:textId="1156434B"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A crítica parte de duas premissas equivocadas: (a) que a NBR 14653 1 exigiria, em qualquer avaliação com uso de dados de mercado, a aplicação obrigatória de um pacote completo de procedimentos estatísticos “rigorosos” (desvio padrão, testes de normalidade formais, eliminação de outliers por métodos sofisticados etc.); e (b) que o laudo do perito não teria aplicado qualquer critério estatístico ou de filtragem da amostra. Nenhuma dessas premissas se sustenta.</w:t>
      </w:r>
    </w:p>
    <w:p w14:paraId="1217548A" w14:textId="35603DC2"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 xml:space="preserve">Em primeiro lugar, a série NBR 14653 trata a inferência estatística como um recurso que deve ser utilizado de forma compatível com a quantidade e qualidade de dados disponíveis, com a finalidade da avaliação e com o grau de fundamentação pretendido, não como checklist obrigatório e integral para todo e qualquer laudo. A norma recomenda o uso de medidas de dispersão, de análise de consistência e de eliminação de valores distorcidos, mas não impõe que, em avaliações com amostras relativamente pequenas e heterogêneas, o avaliador aplique testes formais de normalidade ou modelos estatísticos avançados sob pena de nulidade do trabalho. </w:t>
      </w:r>
    </w:p>
    <w:p w14:paraId="02A952BD" w14:textId="482E0714"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lastRenderedPageBreak/>
        <w:t>O que a norma exige é: transparência na amostra, clareza nos critérios de seleção/filtragem e possibilidade de reconstituir o raciocínio.</w:t>
      </w:r>
    </w:p>
    <w:p w14:paraId="34D7C75F"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Em segundo lugar, o laudo do perito está longe de ser “sem validação estatística”. Houve:</w:t>
      </w:r>
    </w:p>
    <w:p w14:paraId="55084F85" w14:textId="2ADA67A8" w:rsidR="00564DE2" w:rsidRPr="00244B30" w:rsidRDefault="00244B30" w:rsidP="00564DE2">
      <w:pPr>
        <w:ind w:right="-568"/>
        <w:jc w:val="both"/>
        <w:rPr>
          <w:rFonts w:ascii="Times New Roman" w:hAnsi="Times New Roman" w:cs="Times New Roman"/>
          <w:i/>
          <w:iCs/>
        </w:rPr>
      </w:pPr>
      <w:r>
        <w:rPr>
          <w:rFonts w:ascii="Times New Roman" w:hAnsi="Times New Roman" w:cs="Times New Roman"/>
          <w:i/>
          <w:iCs/>
        </w:rPr>
        <w:t xml:space="preserve">- </w:t>
      </w:r>
      <w:proofErr w:type="gramStart"/>
      <w:r w:rsidR="00564DE2" w:rsidRPr="00244B30">
        <w:rPr>
          <w:rFonts w:ascii="Times New Roman" w:hAnsi="Times New Roman" w:cs="Times New Roman"/>
          <w:i/>
          <w:iCs/>
        </w:rPr>
        <w:t>montagem</w:t>
      </w:r>
      <w:proofErr w:type="gramEnd"/>
      <w:r w:rsidR="00564DE2" w:rsidRPr="00244B30">
        <w:rPr>
          <w:rFonts w:ascii="Times New Roman" w:hAnsi="Times New Roman" w:cs="Times New Roman"/>
          <w:i/>
          <w:iCs/>
        </w:rPr>
        <w:t xml:space="preserve"> de uma amostra ampla com 25 referências, explicitando área, valor total e valor unitário por m²;</w:t>
      </w:r>
    </w:p>
    <w:p w14:paraId="3ADF8126" w14:textId="6F534FCE" w:rsidR="00564DE2" w:rsidRPr="00244B30" w:rsidRDefault="00244B30" w:rsidP="00564DE2">
      <w:pPr>
        <w:ind w:right="-568"/>
        <w:jc w:val="both"/>
        <w:rPr>
          <w:rFonts w:ascii="Times New Roman" w:hAnsi="Times New Roman" w:cs="Times New Roman"/>
          <w:i/>
          <w:iCs/>
        </w:rPr>
      </w:pPr>
      <w:r>
        <w:rPr>
          <w:rFonts w:ascii="Times New Roman" w:hAnsi="Times New Roman" w:cs="Times New Roman"/>
          <w:i/>
          <w:iCs/>
        </w:rPr>
        <w:t xml:space="preserve">- </w:t>
      </w:r>
      <w:proofErr w:type="gramStart"/>
      <w:r w:rsidR="00564DE2" w:rsidRPr="00244B30">
        <w:rPr>
          <w:rFonts w:ascii="Times New Roman" w:hAnsi="Times New Roman" w:cs="Times New Roman"/>
          <w:i/>
          <w:iCs/>
        </w:rPr>
        <w:t>cálculo</w:t>
      </w:r>
      <w:proofErr w:type="gramEnd"/>
      <w:r w:rsidR="00564DE2" w:rsidRPr="00244B30">
        <w:rPr>
          <w:rFonts w:ascii="Times New Roman" w:hAnsi="Times New Roman" w:cs="Times New Roman"/>
          <w:i/>
          <w:iCs/>
        </w:rPr>
        <w:t xml:space="preserve"> de média unitária e identificação de valores extremos;</w:t>
      </w:r>
    </w:p>
    <w:p w14:paraId="2B6A74DC" w14:textId="1C65D2A4" w:rsidR="00564DE2" w:rsidRPr="00244B30" w:rsidRDefault="00244B30" w:rsidP="00564DE2">
      <w:pPr>
        <w:ind w:right="-568"/>
        <w:jc w:val="both"/>
        <w:rPr>
          <w:rFonts w:ascii="Times New Roman" w:hAnsi="Times New Roman" w:cs="Times New Roman"/>
          <w:i/>
          <w:iCs/>
        </w:rPr>
      </w:pPr>
      <w:r>
        <w:rPr>
          <w:rFonts w:ascii="Times New Roman" w:hAnsi="Times New Roman" w:cs="Times New Roman"/>
          <w:i/>
          <w:iCs/>
        </w:rPr>
        <w:t xml:space="preserve">- </w:t>
      </w:r>
      <w:proofErr w:type="gramStart"/>
      <w:r w:rsidR="00564DE2" w:rsidRPr="00244B30">
        <w:rPr>
          <w:rFonts w:ascii="Times New Roman" w:hAnsi="Times New Roman" w:cs="Times New Roman"/>
          <w:i/>
          <w:iCs/>
        </w:rPr>
        <w:t>aplicação</w:t>
      </w:r>
      <w:proofErr w:type="gramEnd"/>
      <w:r w:rsidR="00564DE2" w:rsidRPr="00244B30">
        <w:rPr>
          <w:rFonts w:ascii="Times New Roman" w:hAnsi="Times New Roman" w:cs="Times New Roman"/>
          <w:i/>
          <w:iCs/>
        </w:rPr>
        <w:t xml:space="preserve"> de critério de corte percentual (±20% da média inicial) para eliminar outliers, com apresentação clara das amostras descartadas e da média final recalculada;</w:t>
      </w:r>
    </w:p>
    <w:p w14:paraId="7E92F399" w14:textId="0C5F3672" w:rsidR="00564DE2" w:rsidRPr="00244B30" w:rsidRDefault="00244B30" w:rsidP="00564DE2">
      <w:pPr>
        <w:ind w:right="-568"/>
        <w:jc w:val="both"/>
        <w:rPr>
          <w:rFonts w:ascii="Times New Roman" w:hAnsi="Times New Roman" w:cs="Times New Roman"/>
          <w:i/>
          <w:iCs/>
        </w:rPr>
      </w:pPr>
      <w:r>
        <w:rPr>
          <w:rFonts w:ascii="Times New Roman" w:hAnsi="Times New Roman" w:cs="Times New Roman"/>
          <w:i/>
          <w:iCs/>
        </w:rPr>
        <w:t xml:space="preserve">- </w:t>
      </w:r>
      <w:proofErr w:type="gramStart"/>
      <w:r w:rsidR="00564DE2" w:rsidRPr="00244B30">
        <w:rPr>
          <w:rFonts w:ascii="Times New Roman" w:hAnsi="Times New Roman" w:cs="Times New Roman"/>
          <w:i/>
          <w:iCs/>
        </w:rPr>
        <w:t>uso</w:t>
      </w:r>
      <w:proofErr w:type="gramEnd"/>
      <w:r w:rsidR="00564DE2" w:rsidRPr="00244B30">
        <w:rPr>
          <w:rFonts w:ascii="Times New Roman" w:hAnsi="Times New Roman" w:cs="Times New Roman"/>
          <w:i/>
          <w:iCs/>
        </w:rPr>
        <w:t xml:space="preserve"> de fator de homogeneização (0,9) para ajustar dados de oferta à realidade de transação, com justificativa técnica expressa.</w:t>
      </w:r>
    </w:p>
    <w:p w14:paraId="79D7419F" w14:textId="3BB862FE"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Esses procedimentos – embora não rotulados com linguagem acadêmica – constituem, na prática, formas de tratamento estatístico e de controle de dispersão da amostra, plenamente aceitas em avaliações imobiliárias com método comparativo direto, especialmente em perícias judiciais em que se trabalha com dados de mercado obtidos em portais e anúncios. Não se trata, portanto, de “ausência” de estatística, mas de uso de estatística em nível compatível com o grau de fundamentação declarado e com a realidade do mercado local.</w:t>
      </w:r>
    </w:p>
    <w:p w14:paraId="51FD7B61"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Transformar as recomendações de “procedimentos estatísticos rigorosos” em exigência absoluta de aplicação de todos os testes existentes, em toda e qualquer perícia, significa extrapolar o texto e o espírito da NBR 14653 1. A divergência entre o assistente e o perito, aqui, é de escola e de intensidade de tratamento (grau de sofisticação desejado), não de cumprimento mínimo das exigências normativas. Enquanto o laudo mostra, passo a passo, como a amostra foi montada, filtrada e convertida em valor unitário médio, a impugnação não demonstra onde haveria erro matemático concreto ou manipulação indevida de dados, limitando se a exigir um nível de formalismo estatístico superior ao que a própria norma torna obrigatório para avaliações judiciais com grau de fundamentação declarado como 1.</w:t>
      </w:r>
    </w:p>
    <w:p w14:paraId="6AFE7A0B"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5.6. Método comparativo direto versus método de renda</w:t>
      </w:r>
    </w:p>
    <w:p w14:paraId="02BF9BBA" w14:textId="2BBA913A"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O assistente trata o método de renda como “obrigatório” para hotéis, concluindo que a não utilização deste tornaria o laudo metodologicamente inválido.</w:t>
      </w:r>
    </w:p>
    <w:p w14:paraId="4374C167" w14:textId="2F622794"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Conquanto o método de renda seja, de fato, muito apropriado quando o objetivo é valorar a capacidade de geração de caixa de empreendimentos operacionais, ele não é o único previsto na NBR 14653 2. A própria norma admite a conjugação de métodos, bem como o uso predominante do método comparativo em avaliações cujo foco recai sobre a base imobiliária, como no caso em tela, em que se busca o valor de mercado das unidades autônomas penhoradas, para fins de expropriação em cumprimento de sentença.</w:t>
      </w:r>
    </w:p>
    <w:p w14:paraId="4E24F59A" w14:textId="113C3984"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 xml:space="preserve">Além disso, o cenário de renda proposto pelo </w:t>
      </w:r>
      <w:proofErr w:type="spellStart"/>
      <w:r w:rsidRPr="00244B30">
        <w:rPr>
          <w:rFonts w:ascii="Times New Roman" w:hAnsi="Times New Roman" w:cs="Times New Roman"/>
          <w:i/>
          <w:iCs/>
        </w:rPr>
        <w:t>contralaudo</w:t>
      </w:r>
      <w:proofErr w:type="spellEnd"/>
      <w:r w:rsidRPr="00244B30">
        <w:rPr>
          <w:rFonts w:ascii="Times New Roman" w:hAnsi="Times New Roman" w:cs="Times New Roman"/>
          <w:i/>
          <w:iCs/>
        </w:rPr>
        <w:t xml:space="preserve"> funda se em hipóteses altamente sensíveis (taxa de ocupação de 70%, tarifa média diária de R$ </w:t>
      </w:r>
      <w:r w:rsidR="00244B30">
        <w:rPr>
          <w:rFonts w:ascii="Times New Roman" w:hAnsi="Times New Roman" w:cs="Times New Roman"/>
          <w:i/>
          <w:iCs/>
        </w:rPr>
        <w:t>...</w:t>
      </w:r>
      <w:r w:rsidRPr="00244B30">
        <w:rPr>
          <w:rFonts w:ascii="Times New Roman" w:hAnsi="Times New Roman" w:cs="Times New Roman"/>
          <w:i/>
          <w:iCs/>
        </w:rPr>
        <w:t xml:space="preserve">, despesas fixas e variáveis fixadas em 60% da receita e taxa de capitalização de 12% ao ano), apoiadas em recortes pontuais de plataforma de reservas </w:t>
      </w:r>
      <w:proofErr w:type="spellStart"/>
      <w:r w:rsidRPr="00244B30">
        <w:rPr>
          <w:rFonts w:ascii="Times New Roman" w:hAnsi="Times New Roman" w:cs="Times New Roman"/>
          <w:i/>
          <w:iCs/>
        </w:rPr>
        <w:t>on</w:t>
      </w:r>
      <w:proofErr w:type="spellEnd"/>
      <w:r w:rsidRPr="00244B30">
        <w:rPr>
          <w:rFonts w:ascii="Times New Roman" w:hAnsi="Times New Roman" w:cs="Times New Roman"/>
          <w:i/>
          <w:iCs/>
        </w:rPr>
        <w:t xml:space="preserve"> </w:t>
      </w:r>
      <w:proofErr w:type="spellStart"/>
      <w:r w:rsidRPr="00244B30">
        <w:rPr>
          <w:rFonts w:ascii="Times New Roman" w:hAnsi="Times New Roman" w:cs="Times New Roman"/>
          <w:i/>
          <w:iCs/>
        </w:rPr>
        <w:t>line</w:t>
      </w:r>
      <w:proofErr w:type="spellEnd"/>
      <w:r w:rsidRPr="00244B30">
        <w:rPr>
          <w:rFonts w:ascii="Times New Roman" w:hAnsi="Times New Roman" w:cs="Times New Roman"/>
          <w:i/>
          <w:iCs/>
        </w:rPr>
        <w:t xml:space="preserve">. Pequenas variações nesses parâmetros alteram </w:t>
      </w:r>
      <w:r w:rsidRPr="00244B30">
        <w:rPr>
          <w:rFonts w:ascii="Times New Roman" w:hAnsi="Times New Roman" w:cs="Times New Roman"/>
          <w:i/>
          <w:iCs/>
        </w:rPr>
        <w:lastRenderedPageBreak/>
        <w:t>drasticamente o valor final, revelando elevado grau de incerteza, incompatível com a prudência que deve nortear avaliações para fins de execução judicial.</w:t>
      </w:r>
    </w:p>
    <w:p w14:paraId="7AEF0376" w14:textId="792BD4E0"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Observe que a realidade dos fatos é bem diferente da ilusão apresentada no documento “</w:t>
      </w:r>
      <w:proofErr w:type="spellStart"/>
      <w:r w:rsidRPr="00244B30">
        <w:rPr>
          <w:rFonts w:ascii="Times New Roman" w:hAnsi="Times New Roman" w:cs="Times New Roman"/>
          <w:i/>
          <w:iCs/>
        </w:rPr>
        <w:t>contralaudo</w:t>
      </w:r>
      <w:proofErr w:type="spellEnd"/>
      <w:r w:rsidRPr="00244B30">
        <w:rPr>
          <w:rFonts w:ascii="Times New Roman" w:hAnsi="Times New Roman" w:cs="Times New Roman"/>
          <w:i/>
          <w:iCs/>
        </w:rPr>
        <w:t xml:space="preserve">”. Na página </w:t>
      </w:r>
      <w:r w:rsidR="00244B30">
        <w:rPr>
          <w:rFonts w:ascii="Times New Roman" w:hAnsi="Times New Roman" w:cs="Times New Roman"/>
          <w:i/>
          <w:iCs/>
        </w:rPr>
        <w:t>...</w:t>
      </w:r>
      <w:r w:rsidRPr="00244B30">
        <w:rPr>
          <w:rFonts w:ascii="Times New Roman" w:hAnsi="Times New Roman" w:cs="Times New Roman"/>
          <w:i/>
          <w:iCs/>
        </w:rPr>
        <w:t xml:space="preserve"> do referido documento, o assistente técnico aponta que a diária média do hotel seria de R$</w:t>
      </w:r>
      <w:r w:rsidR="00244B30">
        <w:rPr>
          <w:rFonts w:ascii="Times New Roman" w:hAnsi="Times New Roman" w:cs="Times New Roman"/>
          <w:i/>
          <w:iCs/>
        </w:rPr>
        <w:t>...</w:t>
      </w:r>
      <w:r w:rsidRPr="00244B30">
        <w:rPr>
          <w:rFonts w:ascii="Times New Roman" w:hAnsi="Times New Roman" w:cs="Times New Roman"/>
          <w:i/>
          <w:iCs/>
        </w:rPr>
        <w:t xml:space="preserve"> e assim chegaria ao valor de R$</w:t>
      </w:r>
      <w:r w:rsidR="00244B30">
        <w:rPr>
          <w:rFonts w:ascii="Times New Roman" w:hAnsi="Times New Roman" w:cs="Times New Roman"/>
          <w:i/>
          <w:iCs/>
        </w:rPr>
        <w:t xml:space="preserve"> ...</w:t>
      </w:r>
      <w:r w:rsidRPr="00244B30">
        <w:rPr>
          <w:rFonts w:ascii="Times New Roman" w:hAnsi="Times New Roman" w:cs="Times New Roman"/>
          <w:i/>
          <w:iCs/>
        </w:rPr>
        <w:t>, ocorre que o valor da diária anunciado no próprio sítio eletrônico do hotel é de R$...</w:t>
      </w:r>
    </w:p>
    <w:p w14:paraId="315C253B" w14:textId="2192846C"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 xml:space="preserve">Parece que o valor médio sugerido pelo assistente técnico </w:t>
      </w:r>
      <w:proofErr w:type="spellStart"/>
      <w:r w:rsidRPr="00244B30">
        <w:rPr>
          <w:rFonts w:ascii="Times New Roman" w:hAnsi="Times New Roman" w:cs="Times New Roman"/>
          <w:i/>
          <w:iCs/>
        </w:rPr>
        <w:t>ex</w:t>
      </w:r>
      <w:proofErr w:type="spellEnd"/>
      <w:r w:rsidRPr="00244B30">
        <w:rPr>
          <w:rFonts w:ascii="Times New Roman" w:hAnsi="Times New Roman" w:cs="Times New Roman"/>
          <w:i/>
          <w:iCs/>
        </w:rPr>
        <w:t xml:space="preserve"> adverso </w:t>
      </w:r>
      <w:proofErr w:type="gramStart"/>
      <w:r w:rsidRPr="00244B30">
        <w:rPr>
          <w:rFonts w:ascii="Times New Roman" w:hAnsi="Times New Roman" w:cs="Times New Roman"/>
          <w:i/>
          <w:iCs/>
        </w:rPr>
        <w:t>é</w:t>
      </w:r>
      <w:proofErr w:type="gramEnd"/>
      <w:r w:rsidRPr="00244B30">
        <w:rPr>
          <w:rFonts w:ascii="Times New Roman" w:hAnsi="Times New Roman" w:cs="Times New Roman"/>
          <w:i/>
          <w:iCs/>
        </w:rPr>
        <w:t xml:space="preserve"> mas um artifício para um “NÚMERO DE CHEGADA” do que um valor sóbrio. Qual a origem deste número? </w:t>
      </w:r>
    </w:p>
    <w:p w14:paraId="370D256C"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5.6.1. “Tratamento simplificado de dados de oferta”</w:t>
      </w:r>
    </w:p>
    <w:p w14:paraId="0E6163AC"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 xml:space="preserve">A crítica de “tratamento simplificado” desconsidera que o laudo pericial adota, na verdade, um conjunto estruturado de procedimentos típicos do método comparativo direto com dados de oferta. O perito: (a) levantou amostra ampla de imóveis comparáveis, identificando individualmente cada referência (endereço, área, padrão, valor total e R$/m²); (b) calculou a média de valores unitários, com filtragem de outliers por critério percentual em torno da média; e (c) aplicou fator de homogeneização específico (0,9) para converter preços de oferta em estimativas prudentes de valores de transação. </w:t>
      </w:r>
    </w:p>
    <w:p w14:paraId="1529F5FF" w14:textId="0CEEDE35"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Esse encadeamento – coleta estruturada, filtragem de extremos, cálculo de média e ajuste de oferta – é exatamente o que a literatura de engenharia de avaliações descreve como tratamento adequado de dados de mercado quando se trabalha com anúncios, não podendo ser reduzido a “simplificação” ou “arbitrariedade”.</w:t>
      </w:r>
    </w:p>
    <w:p w14:paraId="6FBC7695" w14:textId="42CF48DB"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Do ponto de vista normativo, a série ABNT NBR 14653 e manuais públicos de avaliação de imóveis reconhecem expressamente: (i) a legitimidade do uso de dados de oferta quando os dados de transação são escassos; e (</w:t>
      </w:r>
      <w:proofErr w:type="spellStart"/>
      <w:r w:rsidRPr="00244B30">
        <w:rPr>
          <w:rFonts w:ascii="Times New Roman" w:hAnsi="Times New Roman" w:cs="Times New Roman"/>
          <w:i/>
          <w:iCs/>
        </w:rPr>
        <w:t>ii</w:t>
      </w:r>
      <w:proofErr w:type="spellEnd"/>
      <w:r w:rsidRPr="00244B30">
        <w:rPr>
          <w:rFonts w:ascii="Times New Roman" w:hAnsi="Times New Roman" w:cs="Times New Roman"/>
          <w:i/>
          <w:iCs/>
        </w:rPr>
        <w:t>) a necessidade de aplicar fatores de homogeneização (“fator oferta”) para aproximar esses anúncios de valores efetivos de mercado, cabendo ao avaliador, dentro de seu juízo técnico, adotar procedimentos razoáveis e transparentes para tal ajuste. A partir do momento em que o laudo divulga a amostra, expõe o critério de filtragem, declara o fator de 0,9 e mostra o efeito numérico desse fator nos quadros de cálculo, afasta se a ideia de “tratamento simplificado” no sentido pejorativo: há, sim, um tratamento compatível com as práticas correntes, passível de auditoria por outros profissionais e suficiente para sustentar uma avaliação judicial que busca estimar o valor de mercado das unidades, não produzir um modelo acadêmico de inferência estatística.</w:t>
      </w:r>
    </w:p>
    <w:p w14:paraId="2C1E1FE7"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5.7. Caracterização do ativo e memorial de cálculo</w:t>
      </w:r>
    </w:p>
    <w:p w14:paraId="0376F162" w14:textId="2645CF56"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 xml:space="preserve">O laudo pericial descreve as unidades avaliadas, suas áreas aproximadas, padrão construtivo, estado de conservação, inserção urbana (Praça </w:t>
      </w:r>
      <w:r w:rsidR="00244B30">
        <w:rPr>
          <w:rFonts w:ascii="Times New Roman" w:hAnsi="Times New Roman" w:cs="Times New Roman"/>
          <w:i/>
          <w:iCs/>
        </w:rPr>
        <w:t>...</w:t>
      </w:r>
      <w:r w:rsidRPr="00244B30">
        <w:rPr>
          <w:rFonts w:ascii="Times New Roman" w:hAnsi="Times New Roman" w:cs="Times New Roman"/>
          <w:i/>
          <w:iCs/>
        </w:rPr>
        <w:t>, região central, proximidade a eixos viários e comércio), bem como apresenta relatório fotográfico abrangendo ambientes internos e entorno, o que atende à exigência de identificação e caracterização do bem determinada pela NBR 14653 1.</w:t>
      </w:r>
    </w:p>
    <w:p w14:paraId="5D18F485" w14:textId="5F2FEA89"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 xml:space="preserve">O memorial de cálculo é apresentado de forma clara, com indicação das referências utilizadas, cálculo do valor médio de R$/m², aplicação do fator de homogeneização (0,9) e obtenção do </w:t>
      </w:r>
      <w:r w:rsidRPr="00244B30">
        <w:rPr>
          <w:rFonts w:ascii="Times New Roman" w:hAnsi="Times New Roman" w:cs="Times New Roman"/>
          <w:i/>
          <w:iCs/>
        </w:rPr>
        <w:lastRenderedPageBreak/>
        <w:t>valor global e dos valores por unidade, de modo a permitir a conferência dos resultados por qualquer profissional técnico ou por este Juízo. Exigir que o laudo reproduza, em ambiente judicial, a mesma estrutura de um tratado acadêmico de estatística extrapola o que a norma efetivamente pretende.</w:t>
      </w:r>
    </w:p>
    <w:p w14:paraId="21698615"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5.7.1 Aplicação do fator 0,9 em dados de oferta</w:t>
      </w:r>
    </w:p>
    <w:p w14:paraId="6B771E72" w14:textId="0EED2502"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A aplicação do fator multiplicativo de 0,9 pode (e deve) ser defendida tecnicamente como etapa de homogeneização de dados de oferta para aproximá</w:t>
      </w:r>
      <w:r w:rsidR="00244B30">
        <w:rPr>
          <w:rFonts w:ascii="Times New Roman" w:hAnsi="Times New Roman" w:cs="Times New Roman"/>
          <w:i/>
          <w:iCs/>
        </w:rPr>
        <w:t>-</w:t>
      </w:r>
      <w:r w:rsidRPr="00244B30">
        <w:rPr>
          <w:rFonts w:ascii="Times New Roman" w:hAnsi="Times New Roman" w:cs="Times New Roman"/>
          <w:i/>
          <w:iCs/>
        </w:rPr>
        <w:t>los de valores efetivos de transação.</w:t>
      </w:r>
    </w:p>
    <w:p w14:paraId="204CC92E" w14:textId="3AB1818A"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No laudo pericial, as referências de mercado foram obtidas, em grande parte, em portais imobiliários, ou seja, são preços de oferta anunciados por vendedores e corretores, não necessariamente valores finais de negócio fechado. A experiência de mercado e a literatura de avaliações indicam que tais preços costumam incluir margem de negociação, situando se, em média, acima do valor efetivo praticado nas transações, especialmente em mercados urbanos.</w:t>
      </w:r>
    </w:p>
    <w:p w14:paraId="5E5FA160" w14:textId="46C34D5F"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A NBR 14653 1 e os manuais de avaliação de imóveis admitem expressamente o uso de fatores de homogeneização para tratar diferenças entre dados de oferta e de venda, desde que o procedimento seja transparente e compatível com a realidade do mercado local. Nesse contexto, o fator multiplicativo de 0,9 (desconto de 10%) foi aplicado para converter os preços anunciados em estimativas mais prudentes de valores transacionados, reduzindo o risco de superavaliação por uso direto de pedidos de venda.</w:t>
      </w:r>
    </w:p>
    <w:p w14:paraId="15BEBC7D"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Do ponto de vista metodológico, o fator 0,9:</w:t>
      </w:r>
    </w:p>
    <w:p w14:paraId="5151CE5E" w14:textId="35350C98" w:rsidR="00564DE2" w:rsidRPr="00244B30" w:rsidRDefault="00244B30" w:rsidP="00564DE2">
      <w:pPr>
        <w:ind w:right="-568"/>
        <w:jc w:val="both"/>
        <w:rPr>
          <w:rFonts w:ascii="Times New Roman" w:hAnsi="Times New Roman" w:cs="Times New Roman"/>
          <w:i/>
          <w:iCs/>
        </w:rPr>
      </w:pPr>
      <w:r>
        <w:rPr>
          <w:rFonts w:ascii="Times New Roman" w:hAnsi="Times New Roman" w:cs="Times New Roman"/>
          <w:i/>
          <w:iCs/>
        </w:rPr>
        <w:t xml:space="preserve">- </w:t>
      </w:r>
      <w:proofErr w:type="gramStart"/>
      <w:r w:rsidR="00564DE2" w:rsidRPr="00244B30">
        <w:rPr>
          <w:rFonts w:ascii="Times New Roman" w:hAnsi="Times New Roman" w:cs="Times New Roman"/>
          <w:i/>
          <w:iCs/>
        </w:rPr>
        <w:t>atua</w:t>
      </w:r>
      <w:proofErr w:type="gramEnd"/>
      <w:r w:rsidR="00564DE2" w:rsidRPr="00244B30">
        <w:rPr>
          <w:rFonts w:ascii="Times New Roman" w:hAnsi="Times New Roman" w:cs="Times New Roman"/>
          <w:i/>
          <w:iCs/>
        </w:rPr>
        <w:t xml:space="preserve"> como correção sistemática de viés de alta nos anúncios, amparada em prática consagrada em avaliações imobiliárias;</w:t>
      </w:r>
    </w:p>
    <w:p w14:paraId="4A66C683" w14:textId="45C6C3E8" w:rsidR="00564DE2" w:rsidRPr="00244B30" w:rsidRDefault="00244B30" w:rsidP="00564DE2">
      <w:pPr>
        <w:ind w:right="-568"/>
        <w:jc w:val="both"/>
        <w:rPr>
          <w:rFonts w:ascii="Times New Roman" w:hAnsi="Times New Roman" w:cs="Times New Roman"/>
          <w:i/>
          <w:iCs/>
        </w:rPr>
      </w:pPr>
      <w:r>
        <w:rPr>
          <w:rFonts w:ascii="Times New Roman" w:hAnsi="Times New Roman" w:cs="Times New Roman"/>
          <w:i/>
          <w:iCs/>
        </w:rPr>
        <w:t xml:space="preserve">- </w:t>
      </w:r>
      <w:proofErr w:type="gramStart"/>
      <w:r w:rsidR="00564DE2" w:rsidRPr="00244B30">
        <w:rPr>
          <w:rFonts w:ascii="Times New Roman" w:hAnsi="Times New Roman" w:cs="Times New Roman"/>
          <w:i/>
          <w:iCs/>
        </w:rPr>
        <w:t>mantém</w:t>
      </w:r>
      <w:proofErr w:type="gramEnd"/>
      <w:r w:rsidR="00564DE2" w:rsidRPr="00244B30">
        <w:rPr>
          <w:rFonts w:ascii="Times New Roman" w:hAnsi="Times New Roman" w:cs="Times New Roman"/>
          <w:i/>
          <w:iCs/>
        </w:rPr>
        <w:t xml:space="preserve"> a coerência interna do tratamento dos dados, por ser aplicado uniformemente às referências de oferta;</w:t>
      </w:r>
    </w:p>
    <w:p w14:paraId="4D61AEC1" w14:textId="12498B09" w:rsidR="00564DE2" w:rsidRPr="00244B30" w:rsidRDefault="00244B30" w:rsidP="00564DE2">
      <w:pPr>
        <w:ind w:right="-568"/>
        <w:jc w:val="both"/>
        <w:rPr>
          <w:rFonts w:ascii="Times New Roman" w:hAnsi="Times New Roman" w:cs="Times New Roman"/>
          <w:i/>
          <w:iCs/>
        </w:rPr>
      </w:pPr>
      <w:r>
        <w:rPr>
          <w:rFonts w:ascii="Times New Roman" w:hAnsi="Times New Roman" w:cs="Times New Roman"/>
          <w:i/>
          <w:iCs/>
        </w:rPr>
        <w:t xml:space="preserve">- </w:t>
      </w:r>
      <w:r w:rsidR="00564DE2" w:rsidRPr="00244B30">
        <w:rPr>
          <w:rFonts w:ascii="Times New Roman" w:hAnsi="Times New Roman" w:cs="Times New Roman"/>
          <w:i/>
          <w:iCs/>
        </w:rPr>
        <w:t>é devidamente explicitado no laudo, permitindo ao Juízo e às partes compreender e, se desejarem, testar o impacto desse ajuste sobre o valor final.</w:t>
      </w:r>
    </w:p>
    <w:p w14:paraId="5C6AA0D5" w14:textId="2A67876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Assim, longe de representar “erro” ou “arbitrariedade”, o uso do fator 0,9 configura medida técnica de prudência e homogeneização, alinhada às normas da série ABNT NBR 14653 e aos guias públicos de avaliação de imóveis, que recomendam sempre diferenciar preços pedidos de preços efetivamente praticados no mercado.</w:t>
      </w:r>
    </w:p>
    <w:p w14:paraId="01A8E094"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5.8. Avaliações anteriores e divergência de valores</w:t>
      </w:r>
    </w:p>
    <w:p w14:paraId="3C6538A0" w14:textId="60C2378F"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A impugnação ressalta que o valor apurado na perícia estaria abaixo de avaliações anteriores (inclusive por oficiais de justiça), pretendendo fazer do histórico de laudos um “padrão de verdade” a ser necessariamente repetido.</w:t>
      </w:r>
    </w:p>
    <w:p w14:paraId="123A1497"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 xml:space="preserve">Nem o CPC nem a NBR 14653 conferem primazia a avaliações pretéritas em detrimento da perícia atual. Pelo contrário, a norma técnica enfatiza a data de referência e as condições de mercado vigentes, admitindo naturalmente que novos estudos, mais abrangentes e atualizados, conduzam a valores distintos dos anteriormente apurados. A simples divergência numérica em </w:t>
      </w:r>
      <w:r w:rsidRPr="00244B30">
        <w:rPr>
          <w:rFonts w:ascii="Times New Roman" w:hAnsi="Times New Roman" w:cs="Times New Roman"/>
          <w:i/>
          <w:iCs/>
        </w:rPr>
        <w:lastRenderedPageBreak/>
        <w:t>relação a avaliações anteriores não comprova erro técnico, ainda mais quando estes laudos pretéritos não seguiram, com a mesma profundidade, os procedimentos normativos de avaliação de bens.</w:t>
      </w:r>
    </w:p>
    <w:p w14:paraId="49F58B6C" w14:textId="5D0534CF"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 xml:space="preserve">Além disso, boa parte das avaliações anteriores das unidades autônomas presentes no Edifício onde está o Hotel </w:t>
      </w:r>
      <w:r w:rsidR="00244B30">
        <w:rPr>
          <w:rFonts w:ascii="Times New Roman" w:hAnsi="Times New Roman" w:cs="Times New Roman"/>
          <w:i/>
          <w:iCs/>
        </w:rPr>
        <w:t>...</w:t>
      </w:r>
      <w:r w:rsidRPr="00244B30">
        <w:rPr>
          <w:rFonts w:ascii="Times New Roman" w:hAnsi="Times New Roman" w:cs="Times New Roman"/>
          <w:i/>
          <w:iCs/>
        </w:rPr>
        <w:t xml:space="preserve"> foi realizada de forma sumária por oficiais de justiça, sem a mesma profundidade de pesquisa de mercado, homogeneização e tratamento estatístico empregados no laudo pericial atual, que apresenta: (i) extensa amostra de referências; (</w:t>
      </w:r>
      <w:proofErr w:type="spellStart"/>
      <w:r w:rsidRPr="00244B30">
        <w:rPr>
          <w:rFonts w:ascii="Times New Roman" w:hAnsi="Times New Roman" w:cs="Times New Roman"/>
          <w:i/>
          <w:iCs/>
        </w:rPr>
        <w:t>ii</w:t>
      </w:r>
      <w:proofErr w:type="spellEnd"/>
      <w:r w:rsidRPr="00244B30">
        <w:rPr>
          <w:rFonts w:ascii="Times New Roman" w:hAnsi="Times New Roman" w:cs="Times New Roman"/>
          <w:i/>
          <w:iCs/>
        </w:rPr>
        <w:t>) cálculo explícito de valores unitários por metro quadrado; (</w:t>
      </w:r>
      <w:proofErr w:type="spellStart"/>
      <w:r w:rsidRPr="00244B30">
        <w:rPr>
          <w:rFonts w:ascii="Times New Roman" w:hAnsi="Times New Roman" w:cs="Times New Roman"/>
          <w:i/>
          <w:iCs/>
        </w:rPr>
        <w:t>iii</w:t>
      </w:r>
      <w:proofErr w:type="spellEnd"/>
      <w:r w:rsidRPr="00244B30">
        <w:rPr>
          <w:rFonts w:ascii="Times New Roman" w:hAnsi="Times New Roman" w:cs="Times New Roman"/>
          <w:i/>
          <w:iCs/>
        </w:rPr>
        <w:t>) aplicação de fator de ajuste a dados de oferta; e (</w:t>
      </w:r>
      <w:proofErr w:type="spellStart"/>
      <w:r w:rsidRPr="00244B30">
        <w:rPr>
          <w:rFonts w:ascii="Times New Roman" w:hAnsi="Times New Roman" w:cs="Times New Roman"/>
          <w:i/>
          <w:iCs/>
        </w:rPr>
        <w:t>iv</w:t>
      </w:r>
      <w:proofErr w:type="spellEnd"/>
      <w:r w:rsidRPr="00244B30">
        <w:rPr>
          <w:rFonts w:ascii="Times New Roman" w:hAnsi="Times New Roman" w:cs="Times New Roman"/>
          <w:i/>
          <w:iCs/>
        </w:rPr>
        <w:t>) quadro consolidado por unidade. Essa maior aderência às práticas recomendadas pela série NBR 14653 e por manuais públicos de avaliação de imóveis torna tecnicamente esperado que haja ajustes de valor em relação a laudos pretéritos menos rigorosos, não havendo na norma qualquer exigência de que o perito “replique” avaliações anteriores ou mantenha artificialmente o mesmo patamar apenas por histórico.</w:t>
      </w:r>
    </w:p>
    <w:p w14:paraId="50896786" w14:textId="2BC7D16D"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Em suma, não há norma de "consistência com passado". A NBR 14653 não contém dispositivo que obrigue novas avaliações a manter proximidade com valores históricos. Ao contrário: cada avaliação deve refletir as condições de mercado no presente, com metodologia apropriada. Divergência em relação a avaliações pretéritas não configura vício; reflete, provavelmente, aprimoramento metodológico e atualização de dados mercadológicos.</w:t>
      </w:r>
    </w:p>
    <w:p w14:paraId="42556881"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5.9. Enquadramento jurídico da impugnação e do “</w:t>
      </w:r>
      <w:proofErr w:type="spellStart"/>
      <w:r w:rsidRPr="00244B30">
        <w:rPr>
          <w:rFonts w:ascii="Times New Roman" w:hAnsi="Times New Roman" w:cs="Times New Roman"/>
          <w:i/>
          <w:iCs/>
        </w:rPr>
        <w:t>contralaudo</w:t>
      </w:r>
      <w:proofErr w:type="spellEnd"/>
      <w:r w:rsidRPr="00244B30">
        <w:rPr>
          <w:rFonts w:ascii="Times New Roman" w:hAnsi="Times New Roman" w:cs="Times New Roman"/>
          <w:i/>
          <w:iCs/>
        </w:rPr>
        <w:t>”</w:t>
      </w:r>
    </w:p>
    <w:p w14:paraId="782CC16E" w14:textId="73EE01B9"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À luz do art. 371 e do art. 479 do CPC, o laudo oficial goza de presunção relativa de imparcialidade, cabendo ao juiz apreciá</w:t>
      </w:r>
      <w:r w:rsidR="00244B30">
        <w:rPr>
          <w:rFonts w:ascii="Times New Roman" w:hAnsi="Times New Roman" w:cs="Times New Roman"/>
          <w:i/>
          <w:iCs/>
        </w:rPr>
        <w:t>-</w:t>
      </w:r>
      <w:r w:rsidRPr="00244B30">
        <w:rPr>
          <w:rFonts w:ascii="Times New Roman" w:hAnsi="Times New Roman" w:cs="Times New Roman"/>
          <w:i/>
          <w:iCs/>
        </w:rPr>
        <w:t xml:space="preserve">lo em conjunto com os demais elementos dos autos, indicando, na sentença, as razões pelas quais acolhe ou afasta suas conclusões. Pareceres de assistentes técnicos, como o </w:t>
      </w:r>
      <w:proofErr w:type="spellStart"/>
      <w:r w:rsidRPr="00244B30">
        <w:rPr>
          <w:rFonts w:ascii="Times New Roman" w:hAnsi="Times New Roman" w:cs="Times New Roman"/>
          <w:i/>
          <w:iCs/>
        </w:rPr>
        <w:t>contralaudo</w:t>
      </w:r>
      <w:proofErr w:type="spellEnd"/>
      <w:r w:rsidRPr="00244B30">
        <w:rPr>
          <w:rFonts w:ascii="Times New Roman" w:hAnsi="Times New Roman" w:cs="Times New Roman"/>
          <w:i/>
          <w:iCs/>
        </w:rPr>
        <w:t xml:space="preserve"> juntado, constituem manifestação de parte, sujeita a vieses e a escolhas metodológicas direcionadas aos interesses de quem os contratou.</w:t>
      </w:r>
    </w:p>
    <w:p w14:paraId="37CF2914" w14:textId="0CC516B6"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 xml:space="preserve">No presente caso, o </w:t>
      </w:r>
      <w:proofErr w:type="spellStart"/>
      <w:r w:rsidRPr="00244B30">
        <w:rPr>
          <w:rFonts w:ascii="Times New Roman" w:hAnsi="Times New Roman" w:cs="Times New Roman"/>
          <w:i/>
          <w:iCs/>
        </w:rPr>
        <w:t>contralaudo</w:t>
      </w:r>
      <w:proofErr w:type="spellEnd"/>
      <w:r w:rsidRPr="00244B30">
        <w:rPr>
          <w:rFonts w:ascii="Times New Roman" w:hAnsi="Times New Roman" w:cs="Times New Roman"/>
          <w:i/>
          <w:iCs/>
        </w:rPr>
        <w:t xml:space="preserve"> não demonstra vício formal, omissão grave ou contradição interna no laudo pericial. Limita se a opor metodologia diversa (método de renda com parâmetros otimistas) e interpretação maximalista da NBR 14653 1/2, o que, quando muito, pode ensejar esclarecimentos complementares, jamais a nulidade da perícia ou a substituição automática do trabalho pericial oficial.</w:t>
      </w:r>
    </w:p>
    <w:p w14:paraId="2167C66D"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5.10. CONCLUSÃO TÉCNICA</w:t>
      </w:r>
    </w:p>
    <w:p w14:paraId="2533F521"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5.10.1. Adequação metodológica comprovada</w:t>
      </w:r>
    </w:p>
    <w:p w14:paraId="6C10D0A2" w14:textId="00050B61"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O laudo pericial, elaborado conforme o PTAM (Parecer Técnico de Avaliação Mercadológica), adota o método comparativo direto de dados de mercado em conformidade integral com a série ABNT NBR 14653 1 e 14653 2. A escolha metodológica encontra fundamento nas normas técnicas aplicáveis, considerando que o objeto da perícia é a avaliação de valor de mercado de 30 unidades autônomas penhoradas, e não a valoração do negócio hoteleiro como empresa em marcha. Essa delimitação de escopo é legítima, tecnicamente apropriada e plenamente respaldada pela jurisprudência de perícias judiciais em contextos de execução.</w:t>
      </w:r>
    </w:p>
    <w:p w14:paraId="5F7699C4" w14:textId="5C9231BF"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5.10.2. Amostra comparativa e comparabilidade</w:t>
      </w:r>
    </w:p>
    <w:p w14:paraId="6BF91F1C" w14:textId="664EA0BA"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lastRenderedPageBreak/>
        <w:t xml:space="preserve">A amostra de 25 referências de apartamentos, </w:t>
      </w:r>
      <w:proofErr w:type="spellStart"/>
      <w:r w:rsidRPr="00244B30">
        <w:rPr>
          <w:rFonts w:ascii="Times New Roman" w:hAnsi="Times New Roman" w:cs="Times New Roman"/>
          <w:i/>
          <w:iCs/>
        </w:rPr>
        <w:t>studios</w:t>
      </w:r>
      <w:proofErr w:type="spellEnd"/>
      <w:r w:rsidRPr="00244B30">
        <w:rPr>
          <w:rFonts w:ascii="Times New Roman" w:hAnsi="Times New Roman" w:cs="Times New Roman"/>
          <w:i/>
          <w:iCs/>
        </w:rPr>
        <w:t xml:space="preserve"> e flats em </w:t>
      </w:r>
      <w:r w:rsidR="00244B30">
        <w:rPr>
          <w:rFonts w:ascii="Times New Roman" w:hAnsi="Times New Roman" w:cs="Times New Roman"/>
          <w:i/>
          <w:iCs/>
        </w:rPr>
        <w:t>...</w:t>
      </w:r>
      <w:r w:rsidRPr="00244B30">
        <w:rPr>
          <w:rFonts w:ascii="Times New Roman" w:hAnsi="Times New Roman" w:cs="Times New Roman"/>
          <w:i/>
          <w:iCs/>
        </w:rPr>
        <w:t xml:space="preserve"> demonstra similitude razoável em padrão construtivo, dimensões e inserção urbana com as unidades avaliadas do Hotel </w:t>
      </w:r>
      <w:r w:rsidR="00244B30">
        <w:rPr>
          <w:rFonts w:ascii="Times New Roman" w:hAnsi="Times New Roman" w:cs="Times New Roman"/>
          <w:i/>
          <w:iCs/>
        </w:rPr>
        <w:t>...</w:t>
      </w:r>
      <w:r w:rsidRPr="00244B30">
        <w:rPr>
          <w:rFonts w:ascii="Times New Roman" w:hAnsi="Times New Roman" w:cs="Times New Roman"/>
          <w:i/>
          <w:iCs/>
        </w:rPr>
        <w:t>. Embora não se trate de hotéis operacionais idênticos, a NBR 14653 2 admite expressamente o uso de imóveis "comparáveis" (não necessariamente idênticos), permitindo a aplicação de fatores de homogeneização. A exigência rígida de que a amostra fosse composta exclusivamente por hotéis operacionais inviabilizaria inúmeras avaliações judiciais em mercados com escassa transação de empreendimentos hoteleiros, afrontando as próprias finalidades das normas técnicas.</w:t>
      </w:r>
    </w:p>
    <w:p w14:paraId="4F2B5B26"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5.10.3. Tratamento estatístico e grau de fundamentação</w:t>
      </w:r>
    </w:p>
    <w:p w14:paraId="42F9AF63" w14:textId="7178FD99"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O laudo indica explicitamente grau de fundamentação 1 e precisão 2, refletindo a realidade de um mercado com amostra limitada. Embora a NBR 14653 1 recomende graus mais altos, a norma esclarece que o grau decorre da quantidade e qualidade de dados disponíveis, admitindo níveis menores em situações heterogêneas ou com dados escassos. O tratamento estatístico apresentado – cálculo de média, filtragem de outliers por critério percentual de ±20% e aplicação de fator de homogeneização – está em consonância com as práticas correntes de avaliação imobiliária e é suficiente para suportar uma perícia judicial de caráter simplificado.</w:t>
      </w:r>
    </w:p>
    <w:p w14:paraId="7FCA4965"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5.10.4. Fator multiplicativo de 0,9 e homogeneização de dados</w:t>
      </w:r>
    </w:p>
    <w:p w14:paraId="44DB7D25" w14:textId="49A5C45A"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O uso de fator 0,9 para converter preços de oferta em estimativas de valores transacionados é procedimento amplamente aceito na engenharia de avaliações, baseado no reconhecimento de que vendedores usualmente superestimam valores iniciais, esperando margem de negociação. O perito apresentou claramente a justificativa técnica, divulgou o fator e mostrou o impacto numérico nos quadros de cálculo, permitindo auditoria completa do procedimento. Não há, portanto, arbitrariedade ou "simplificação indevida", mas aplicação prudente de técnica consagrada.</w:t>
      </w:r>
    </w:p>
    <w:p w14:paraId="335CCB36"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5.10.5. Não exigibilidade do método de renda</w:t>
      </w:r>
    </w:p>
    <w:p w14:paraId="546EB5E3" w14:textId="776A8E94"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O método de capitalização de resultados (método de renda), embora apropriado para avaliar a capacidade de geração de caixa de empreendimentos operacionais, não é obrigatório quando a finalidade da avaliação é fixar o valor de mercado de unidades autônomas para fins de expropriação judicial. A opção pelo método comparativo é legítima, especialmente quando: (a) há mercado ativo de imóveis similares; (b) os dados de renda/fluxo de caixa do hotel não são documentados nos autos ou demandariam suposições especulativas; e (c) a finalidade jurídica reclama prudência, evitando inflação de valores baseada em cenários operacionais incertos.</w:t>
      </w:r>
    </w:p>
    <w:p w14:paraId="3644AAB2"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5.10.6. Caracterização do ativo e memória de cálculo</w:t>
      </w:r>
    </w:p>
    <w:p w14:paraId="7653167E" w14:textId="4DECB475"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O laudo identifica claramente os 30 apartamentos, apresenta fotografias, descreve a localização e inserção urbana, e fornece quadros de cálculo que permitem reconstituição dos valores por unidade. A memória é suficientemente clara e transparente para fins de perícia judicial, não exigindo estrutura de tratado acadêmico de estatística multivariada para ser considerada válida.</w:t>
      </w:r>
    </w:p>
    <w:p w14:paraId="6C92E6F2"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5.10.7. Divergência com avaliações pretéritas</w:t>
      </w:r>
    </w:p>
    <w:p w14:paraId="1511CA3D" w14:textId="0CD3CD8A"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lastRenderedPageBreak/>
        <w:t>A diferença em relação a avaliações anteriores não configura vício do laudo. A série NBR 14653 enfatiza a primazia da data de referência e das condições mercadológicas vigentes, não impondo que perícias novas repliquem valores antigos. Laudos de ofício anteriores, muitas vezes menos estruturados e com menor profundidade de pesquisa, legitimamente conduzem a valores distintos quando reavaliados com metodologia mais rigorosa e dados atualizados.</w:t>
      </w:r>
    </w:p>
    <w:p w14:paraId="66885488"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5.10.8. Enquadramento jurídico</w:t>
      </w:r>
    </w:p>
    <w:p w14:paraId="171FE576" w14:textId="4F99F578"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O laudo oficial goza de presunção relativa de imparcialidade (art. 371, 479 do CPC), cabendo ao Juízo apreciá</w:t>
      </w:r>
      <w:r w:rsidR="00244B30">
        <w:rPr>
          <w:rFonts w:ascii="Times New Roman" w:hAnsi="Times New Roman" w:cs="Times New Roman"/>
          <w:i/>
          <w:iCs/>
        </w:rPr>
        <w:t>-</w:t>
      </w:r>
      <w:r w:rsidRPr="00244B30">
        <w:rPr>
          <w:rFonts w:ascii="Times New Roman" w:hAnsi="Times New Roman" w:cs="Times New Roman"/>
          <w:i/>
          <w:iCs/>
        </w:rPr>
        <w:t xml:space="preserve">lo em conjunto com os demais elementos dos autos. O </w:t>
      </w:r>
      <w:proofErr w:type="spellStart"/>
      <w:r w:rsidRPr="00244B30">
        <w:rPr>
          <w:rFonts w:ascii="Times New Roman" w:hAnsi="Times New Roman" w:cs="Times New Roman"/>
          <w:i/>
          <w:iCs/>
        </w:rPr>
        <w:t>contralaudo</w:t>
      </w:r>
      <w:proofErr w:type="spellEnd"/>
      <w:r w:rsidRPr="00244B30">
        <w:rPr>
          <w:rFonts w:ascii="Times New Roman" w:hAnsi="Times New Roman" w:cs="Times New Roman"/>
          <w:i/>
          <w:iCs/>
        </w:rPr>
        <w:t xml:space="preserve">, embora tecnicamente argumentativo, constitui manifestação de parte interessada, sujeita a vieses metodológicos. Divergência entre avaliadores quanto a escolha de método ou grau de sofisticação é inerente à engenharia de avaliações; não gera, por si, nulidade ou </w:t>
      </w:r>
      <w:proofErr w:type="spellStart"/>
      <w:r w:rsidRPr="00244B30">
        <w:rPr>
          <w:rFonts w:ascii="Times New Roman" w:hAnsi="Times New Roman" w:cs="Times New Roman"/>
          <w:i/>
          <w:iCs/>
        </w:rPr>
        <w:t>injustificabilidade</w:t>
      </w:r>
      <w:proofErr w:type="spellEnd"/>
      <w:r w:rsidRPr="00244B30">
        <w:rPr>
          <w:rFonts w:ascii="Times New Roman" w:hAnsi="Times New Roman" w:cs="Times New Roman"/>
          <w:i/>
          <w:iCs/>
        </w:rPr>
        <w:t xml:space="preserve"> da perícia oficial.</w:t>
      </w:r>
    </w:p>
    <w:p w14:paraId="3DB2A39A" w14:textId="77777777" w:rsidR="00564DE2" w:rsidRPr="00244B30" w:rsidRDefault="00564DE2" w:rsidP="00564DE2">
      <w:pPr>
        <w:ind w:right="-568"/>
        <w:jc w:val="both"/>
        <w:rPr>
          <w:rFonts w:ascii="Times New Roman" w:hAnsi="Times New Roman" w:cs="Times New Roman"/>
          <w:i/>
          <w:iCs/>
        </w:rPr>
      </w:pPr>
      <w:r w:rsidRPr="00244B30">
        <w:rPr>
          <w:rFonts w:ascii="Times New Roman" w:hAnsi="Times New Roman" w:cs="Times New Roman"/>
          <w:i/>
          <w:iCs/>
        </w:rPr>
        <w:t>Sob o ponto de vista técnico de engenharia civil, o laudo pericial não apresenta vícios metodológicos graves que justifiquem sua invalidação ou substituição. O trabalho atende aos requisitos mínimos de clareza, fundamentação e conformidade com as normas técnicas ABNT NBR 14653, sendo adequado para servir como prova técnica ao convencimento de Vossa Excelência. As críticas formuladas refletem, em grande medida, divergência de preferência metodológica e interpretação mais rígida das normas, não configurando, porém, defeitos essenciais de conteúdo ou forma que autorizem rejeição da perícia.</w:t>
      </w:r>
    </w:p>
    <w:p w14:paraId="6AFED851" w14:textId="6D2300D1" w:rsidR="00564DE2" w:rsidRPr="00564DE2" w:rsidRDefault="00564DE2" w:rsidP="00564DE2">
      <w:pPr>
        <w:ind w:right="-568"/>
        <w:jc w:val="both"/>
        <w:rPr>
          <w:rFonts w:ascii="Times New Roman" w:hAnsi="Times New Roman" w:cs="Times New Roman"/>
        </w:rPr>
      </w:pPr>
      <w:r w:rsidRPr="00244B30">
        <w:rPr>
          <w:rFonts w:ascii="Times New Roman" w:hAnsi="Times New Roman" w:cs="Times New Roman"/>
          <w:i/>
          <w:iCs/>
        </w:rPr>
        <w:t xml:space="preserve">Recomenda se, portanto, a rejeição da impugnação e a manutenção do laudo pericial como elemento probatório principal da avaliação das 30 unidades presente no Edifício do Hotel </w:t>
      </w:r>
      <w:r w:rsidR="00B50765">
        <w:rPr>
          <w:rFonts w:ascii="Times New Roman" w:hAnsi="Times New Roman" w:cs="Times New Roman"/>
          <w:i/>
          <w:iCs/>
        </w:rPr>
        <w:t>..</w:t>
      </w:r>
      <w:r w:rsidRPr="00564DE2">
        <w:rPr>
          <w:rFonts w:ascii="Times New Roman" w:hAnsi="Times New Roman" w:cs="Times New Roman"/>
        </w:rPr>
        <w:t>.”</w:t>
      </w:r>
    </w:p>
    <w:p w14:paraId="69580016" w14:textId="13546A73" w:rsidR="00564DE2" w:rsidRPr="00564DE2" w:rsidRDefault="00564DE2" w:rsidP="00564DE2">
      <w:pPr>
        <w:ind w:right="-568"/>
        <w:jc w:val="both"/>
        <w:rPr>
          <w:rFonts w:ascii="Times New Roman" w:hAnsi="Times New Roman" w:cs="Times New Roman"/>
        </w:rPr>
      </w:pPr>
      <w:r w:rsidRPr="00564DE2">
        <w:rPr>
          <w:rFonts w:ascii="Times New Roman" w:hAnsi="Times New Roman" w:cs="Times New Roman"/>
        </w:rPr>
        <w:t>Portanto, irretocável o Laudo Pericial do Perito Oficial juntado no Id 10576615155.</w:t>
      </w:r>
    </w:p>
    <w:p w14:paraId="700838A3" w14:textId="77777777" w:rsidR="00564DE2" w:rsidRPr="00B50765" w:rsidRDefault="00564DE2" w:rsidP="00564DE2">
      <w:pPr>
        <w:ind w:right="-568"/>
        <w:jc w:val="both"/>
        <w:rPr>
          <w:rFonts w:ascii="Times New Roman" w:hAnsi="Times New Roman" w:cs="Times New Roman"/>
          <w:b/>
          <w:bCs/>
        </w:rPr>
      </w:pPr>
      <w:r w:rsidRPr="00564DE2">
        <w:rPr>
          <w:rFonts w:ascii="Times New Roman" w:hAnsi="Times New Roman" w:cs="Times New Roman"/>
        </w:rPr>
        <w:t xml:space="preserve"> </w:t>
      </w:r>
      <w:r w:rsidRPr="00B50765">
        <w:rPr>
          <w:rFonts w:ascii="Times New Roman" w:hAnsi="Times New Roman" w:cs="Times New Roman"/>
          <w:b/>
          <w:bCs/>
        </w:rPr>
        <w:t>O ABSOLUTO DESCABIMENTO DOS PEDIDOS DE “</w:t>
      </w:r>
      <w:r w:rsidRPr="00B50765">
        <w:rPr>
          <w:rFonts w:ascii="Times New Roman" w:hAnsi="Times New Roman" w:cs="Times New Roman"/>
          <w:b/>
          <w:bCs/>
          <w:i/>
          <w:iCs/>
        </w:rPr>
        <w:t>DESTITUIÇÃO</w:t>
      </w:r>
      <w:r w:rsidRPr="00B50765">
        <w:rPr>
          <w:rFonts w:ascii="Times New Roman" w:hAnsi="Times New Roman" w:cs="Times New Roman"/>
          <w:b/>
          <w:bCs/>
        </w:rPr>
        <w:t>” DO PERITO OFICIAL E DE RESPOSTA A “QUESITOS SUPLEMENTARES” FORMULADOS A DESTEMPO PELOS EXECUTADOS -</w:t>
      </w:r>
    </w:p>
    <w:p w14:paraId="521D54BE" w14:textId="28847201" w:rsidR="00564DE2" w:rsidRPr="00564DE2" w:rsidRDefault="00564DE2" w:rsidP="00564DE2">
      <w:pPr>
        <w:ind w:right="-568"/>
        <w:jc w:val="both"/>
        <w:rPr>
          <w:rFonts w:ascii="Times New Roman" w:hAnsi="Times New Roman" w:cs="Times New Roman"/>
        </w:rPr>
      </w:pPr>
      <w:r w:rsidRPr="00564DE2">
        <w:rPr>
          <w:rFonts w:ascii="Times New Roman" w:hAnsi="Times New Roman" w:cs="Times New Roman"/>
        </w:rPr>
        <w:t>Os executados apontaram supostos equívocos técnicos graves do Laudo Pericial, e por isso, pediram a “</w:t>
      </w:r>
      <w:r w:rsidRPr="00B50765">
        <w:rPr>
          <w:rFonts w:ascii="Times New Roman" w:hAnsi="Times New Roman" w:cs="Times New Roman"/>
          <w:i/>
          <w:iCs/>
        </w:rPr>
        <w:t>destituição</w:t>
      </w:r>
      <w:r w:rsidRPr="00564DE2">
        <w:rPr>
          <w:rFonts w:ascii="Times New Roman" w:hAnsi="Times New Roman" w:cs="Times New Roman"/>
        </w:rPr>
        <w:t>” do perito oficial.</w:t>
      </w:r>
    </w:p>
    <w:p w14:paraId="694D7819" w14:textId="7C165AFD" w:rsidR="00564DE2" w:rsidRPr="00564DE2" w:rsidRDefault="00564DE2" w:rsidP="00564DE2">
      <w:pPr>
        <w:ind w:right="-568"/>
        <w:jc w:val="both"/>
        <w:rPr>
          <w:rFonts w:ascii="Times New Roman" w:hAnsi="Times New Roman" w:cs="Times New Roman"/>
        </w:rPr>
      </w:pPr>
      <w:r w:rsidRPr="00564DE2">
        <w:rPr>
          <w:rFonts w:ascii="Times New Roman" w:hAnsi="Times New Roman" w:cs="Times New Roman"/>
        </w:rPr>
        <w:t xml:space="preserve">Ora, nada mais absurdo. E outra vez a estratégia de protelar, </w:t>
      </w:r>
      <w:r w:rsidRPr="00B50765">
        <w:rPr>
          <w:rFonts w:ascii="Times New Roman" w:hAnsi="Times New Roman" w:cs="Times New Roman"/>
          <w:i/>
          <w:iCs/>
        </w:rPr>
        <w:t xml:space="preserve">data </w:t>
      </w:r>
      <w:proofErr w:type="spellStart"/>
      <w:r w:rsidRPr="00B50765">
        <w:rPr>
          <w:rFonts w:ascii="Times New Roman" w:hAnsi="Times New Roman" w:cs="Times New Roman"/>
          <w:i/>
          <w:iCs/>
        </w:rPr>
        <w:t>venia</w:t>
      </w:r>
      <w:proofErr w:type="spellEnd"/>
      <w:r w:rsidRPr="00564DE2">
        <w:rPr>
          <w:rFonts w:ascii="Times New Roman" w:hAnsi="Times New Roman" w:cs="Times New Roman"/>
        </w:rPr>
        <w:t>.</w:t>
      </w:r>
    </w:p>
    <w:p w14:paraId="52FE082F" w14:textId="00AD98D2" w:rsidR="00564DE2" w:rsidRPr="00564DE2" w:rsidRDefault="00564DE2" w:rsidP="00564DE2">
      <w:pPr>
        <w:ind w:right="-568"/>
        <w:jc w:val="both"/>
        <w:rPr>
          <w:rFonts w:ascii="Times New Roman" w:hAnsi="Times New Roman" w:cs="Times New Roman"/>
        </w:rPr>
      </w:pPr>
      <w:r w:rsidRPr="00564DE2">
        <w:rPr>
          <w:rFonts w:ascii="Times New Roman" w:hAnsi="Times New Roman" w:cs="Times New Roman"/>
        </w:rPr>
        <w:t>A discordância com o laudo pericial ---procedimento usual--- não justifica o pedido de “</w:t>
      </w:r>
      <w:r w:rsidRPr="00B50765">
        <w:rPr>
          <w:rFonts w:ascii="Times New Roman" w:hAnsi="Times New Roman" w:cs="Times New Roman"/>
          <w:i/>
          <w:iCs/>
        </w:rPr>
        <w:t>destituição</w:t>
      </w:r>
      <w:r w:rsidRPr="00564DE2">
        <w:rPr>
          <w:rFonts w:ascii="Times New Roman" w:hAnsi="Times New Roman" w:cs="Times New Roman"/>
        </w:rPr>
        <w:t>” do perito oficial, pois a “</w:t>
      </w:r>
      <w:r w:rsidRPr="00B50765">
        <w:rPr>
          <w:rFonts w:ascii="Times New Roman" w:hAnsi="Times New Roman" w:cs="Times New Roman"/>
          <w:i/>
          <w:iCs/>
        </w:rPr>
        <w:t>nova tese</w:t>
      </w:r>
      <w:r w:rsidRPr="00564DE2">
        <w:rPr>
          <w:rFonts w:ascii="Times New Roman" w:hAnsi="Times New Roman" w:cs="Times New Roman"/>
        </w:rPr>
        <w:t>” aportada de que os 30 [trinta] “</w:t>
      </w:r>
      <w:r w:rsidRPr="00B50765">
        <w:rPr>
          <w:rFonts w:ascii="Times New Roman" w:hAnsi="Times New Roman" w:cs="Times New Roman"/>
          <w:i/>
          <w:iCs/>
        </w:rPr>
        <w:t>quartos de hotel</w:t>
      </w:r>
      <w:r w:rsidRPr="00564DE2">
        <w:rPr>
          <w:rFonts w:ascii="Times New Roman" w:hAnsi="Times New Roman" w:cs="Times New Roman"/>
        </w:rPr>
        <w:t>” penhorado se encaixam como um negócio hoteleiro, desencontra estofo na constrição desses bens.</w:t>
      </w:r>
    </w:p>
    <w:p w14:paraId="134D56CB" w14:textId="1ECC5BFA" w:rsidR="00564DE2" w:rsidRPr="00564DE2" w:rsidRDefault="00564DE2" w:rsidP="00564DE2">
      <w:pPr>
        <w:ind w:right="-568"/>
        <w:jc w:val="both"/>
        <w:rPr>
          <w:rFonts w:ascii="Times New Roman" w:hAnsi="Times New Roman" w:cs="Times New Roman"/>
        </w:rPr>
      </w:pPr>
      <w:r w:rsidRPr="00564DE2">
        <w:rPr>
          <w:rFonts w:ascii="Times New Roman" w:hAnsi="Times New Roman" w:cs="Times New Roman"/>
        </w:rPr>
        <w:t>Por falta de amparo fático e legal, haverá de ser indeferida.</w:t>
      </w:r>
    </w:p>
    <w:p w14:paraId="058BE486" w14:textId="77777777" w:rsidR="00B50765" w:rsidRDefault="00564DE2" w:rsidP="00564DE2">
      <w:pPr>
        <w:ind w:right="-568"/>
        <w:jc w:val="both"/>
        <w:rPr>
          <w:rFonts w:ascii="Times New Roman" w:hAnsi="Times New Roman" w:cs="Times New Roman"/>
        </w:rPr>
      </w:pPr>
      <w:r w:rsidRPr="00564DE2">
        <w:rPr>
          <w:rFonts w:ascii="Times New Roman" w:hAnsi="Times New Roman" w:cs="Times New Roman"/>
        </w:rPr>
        <w:t>Também inoportuno o pedido de que o perito oficial venha a “</w:t>
      </w:r>
      <w:r w:rsidRPr="00B50765">
        <w:rPr>
          <w:rFonts w:ascii="Times New Roman" w:hAnsi="Times New Roman" w:cs="Times New Roman"/>
          <w:i/>
          <w:iCs/>
        </w:rPr>
        <w:t>responder aos Quesitos Suplementares abaixo, reservando-se ao direito de apresentar novos quesitos suplementares após os esclarecimentos periciais</w:t>
      </w:r>
      <w:r w:rsidRPr="00564DE2">
        <w:rPr>
          <w:rFonts w:ascii="Times New Roman" w:hAnsi="Times New Roman" w:cs="Times New Roman"/>
        </w:rPr>
        <w:t>” [sic].</w:t>
      </w:r>
    </w:p>
    <w:p w14:paraId="78E7C321" w14:textId="5DC5BA60" w:rsidR="00564DE2" w:rsidRPr="00564DE2" w:rsidRDefault="00564DE2" w:rsidP="00564DE2">
      <w:pPr>
        <w:ind w:right="-568"/>
        <w:jc w:val="both"/>
        <w:rPr>
          <w:rFonts w:ascii="Times New Roman" w:hAnsi="Times New Roman" w:cs="Times New Roman"/>
        </w:rPr>
      </w:pPr>
      <w:r w:rsidRPr="00564DE2">
        <w:rPr>
          <w:rFonts w:ascii="Times New Roman" w:hAnsi="Times New Roman" w:cs="Times New Roman"/>
        </w:rPr>
        <w:lastRenderedPageBreak/>
        <w:t>Completamente em descompasso com a lei instrumental civil o pedido para que o ilustre Perito Oficial responda a “</w:t>
      </w:r>
      <w:r w:rsidRPr="00B50765">
        <w:rPr>
          <w:rFonts w:ascii="Times New Roman" w:hAnsi="Times New Roman" w:cs="Times New Roman"/>
          <w:i/>
          <w:iCs/>
        </w:rPr>
        <w:t>Quesitos Suplementares</w:t>
      </w:r>
      <w:r w:rsidRPr="00564DE2">
        <w:rPr>
          <w:rFonts w:ascii="Times New Roman" w:hAnsi="Times New Roman" w:cs="Times New Roman"/>
        </w:rPr>
        <w:t xml:space="preserve">” e depois venha </w:t>
      </w:r>
      <w:proofErr w:type="gramStart"/>
      <w:r w:rsidRPr="00564DE2">
        <w:rPr>
          <w:rFonts w:ascii="Times New Roman" w:hAnsi="Times New Roman" w:cs="Times New Roman"/>
        </w:rPr>
        <w:t>responder  a</w:t>
      </w:r>
      <w:proofErr w:type="gramEnd"/>
      <w:r w:rsidRPr="00564DE2">
        <w:rPr>
          <w:rFonts w:ascii="Times New Roman" w:hAnsi="Times New Roman" w:cs="Times New Roman"/>
        </w:rPr>
        <w:t xml:space="preserve"> “</w:t>
      </w:r>
      <w:r w:rsidRPr="00B50765">
        <w:rPr>
          <w:rFonts w:ascii="Times New Roman" w:hAnsi="Times New Roman" w:cs="Times New Roman"/>
          <w:i/>
          <w:iCs/>
        </w:rPr>
        <w:t>Segundos Quesitos Suplementares</w:t>
      </w:r>
      <w:r w:rsidRPr="00564DE2">
        <w:rPr>
          <w:rFonts w:ascii="Times New Roman" w:hAnsi="Times New Roman" w:cs="Times New Roman"/>
        </w:rPr>
        <w:t xml:space="preserve">”, </w:t>
      </w:r>
      <w:r w:rsidRPr="00B50765">
        <w:rPr>
          <w:rFonts w:ascii="Times New Roman" w:hAnsi="Times New Roman" w:cs="Times New Roman"/>
          <w:i/>
          <w:iCs/>
        </w:rPr>
        <w:t xml:space="preserve">suma </w:t>
      </w:r>
      <w:proofErr w:type="spellStart"/>
      <w:r w:rsidRPr="00B50765">
        <w:rPr>
          <w:rFonts w:ascii="Times New Roman" w:hAnsi="Times New Roman" w:cs="Times New Roman"/>
          <w:i/>
          <w:iCs/>
        </w:rPr>
        <w:t>venia</w:t>
      </w:r>
      <w:proofErr w:type="spellEnd"/>
      <w:r w:rsidRPr="00564DE2">
        <w:rPr>
          <w:rFonts w:ascii="Times New Roman" w:hAnsi="Times New Roman" w:cs="Times New Roman"/>
        </w:rPr>
        <w:t>, quando já encerrada a perícia, com a entrega do Laudo Oficial.</w:t>
      </w:r>
    </w:p>
    <w:p w14:paraId="20DBA9E5" w14:textId="6F38C632" w:rsidR="00564DE2" w:rsidRPr="00564DE2" w:rsidRDefault="00564DE2" w:rsidP="00564DE2">
      <w:pPr>
        <w:ind w:right="-568"/>
        <w:jc w:val="both"/>
        <w:rPr>
          <w:rFonts w:ascii="Times New Roman" w:hAnsi="Times New Roman" w:cs="Times New Roman"/>
        </w:rPr>
      </w:pPr>
      <w:r w:rsidRPr="00564DE2">
        <w:rPr>
          <w:rFonts w:ascii="Times New Roman" w:hAnsi="Times New Roman" w:cs="Times New Roman"/>
        </w:rPr>
        <w:t xml:space="preserve">O intento da pretensão dos executados trazido no Id </w:t>
      </w:r>
      <w:r w:rsidR="00B50765">
        <w:rPr>
          <w:rFonts w:ascii="Times New Roman" w:hAnsi="Times New Roman" w:cs="Times New Roman"/>
        </w:rPr>
        <w:t>...</w:t>
      </w:r>
      <w:r w:rsidRPr="00564DE2">
        <w:rPr>
          <w:rFonts w:ascii="Times New Roman" w:hAnsi="Times New Roman" w:cs="Times New Roman"/>
        </w:rPr>
        <w:t>transparece até não mais poder a insana tentativa de reabrir fase processual exaurida, em frontal violação ao art. 469 do CPC, que dispõe:</w:t>
      </w:r>
    </w:p>
    <w:p w14:paraId="2611755C" w14:textId="70842C0A" w:rsidR="00564DE2" w:rsidRPr="00564DE2" w:rsidRDefault="00564DE2" w:rsidP="00564DE2">
      <w:pPr>
        <w:ind w:right="-568"/>
        <w:jc w:val="both"/>
        <w:rPr>
          <w:rFonts w:ascii="Times New Roman" w:hAnsi="Times New Roman" w:cs="Times New Roman"/>
        </w:rPr>
      </w:pPr>
      <w:r w:rsidRPr="00B50765">
        <w:rPr>
          <w:rFonts w:ascii="Times New Roman" w:hAnsi="Times New Roman" w:cs="Times New Roman"/>
          <w:i/>
          <w:iCs/>
        </w:rPr>
        <w:t>Art. 469.</w:t>
      </w:r>
      <w:r w:rsidR="00B50765" w:rsidRPr="00B50765">
        <w:rPr>
          <w:rFonts w:ascii="Times New Roman" w:hAnsi="Times New Roman" w:cs="Times New Roman"/>
          <w:i/>
          <w:iCs/>
        </w:rPr>
        <w:t xml:space="preserve"> </w:t>
      </w:r>
      <w:r w:rsidRPr="00B50765">
        <w:rPr>
          <w:rFonts w:ascii="Times New Roman" w:hAnsi="Times New Roman" w:cs="Times New Roman"/>
          <w:i/>
          <w:iCs/>
        </w:rPr>
        <w:t>As partes poderão apresentar quesitos suplementares durante a diligência, podendo o perito, se entender necessários, solicitá-los ao juiz</w:t>
      </w:r>
      <w:r w:rsidRPr="00564DE2">
        <w:rPr>
          <w:rFonts w:ascii="Times New Roman" w:hAnsi="Times New Roman" w:cs="Times New Roman"/>
        </w:rPr>
        <w:t>.</w:t>
      </w:r>
      <w:r w:rsidRPr="00564DE2">
        <w:rPr>
          <w:rFonts w:ascii="Times New Roman" w:hAnsi="Times New Roman" w:cs="Times New Roman"/>
        </w:rPr>
        <w:tab/>
      </w:r>
    </w:p>
    <w:p w14:paraId="75014A13" w14:textId="199A64C3" w:rsidR="00564DE2" w:rsidRPr="00564DE2" w:rsidRDefault="00564DE2" w:rsidP="00564DE2">
      <w:pPr>
        <w:ind w:right="-568"/>
        <w:jc w:val="both"/>
        <w:rPr>
          <w:rFonts w:ascii="Times New Roman" w:hAnsi="Times New Roman" w:cs="Times New Roman"/>
        </w:rPr>
      </w:pPr>
      <w:r w:rsidRPr="00564DE2">
        <w:rPr>
          <w:rFonts w:ascii="Times New Roman" w:hAnsi="Times New Roman" w:cs="Times New Roman"/>
        </w:rPr>
        <w:t xml:space="preserve">A norma é clara e objetiva: quesitos suplementares somente podem ser formulados durante a diligência pericial, isto é, na fase ativa de produção da prova técnica, antes do encerramento dos trabalhos do </w:t>
      </w:r>
      <w:r w:rsidRPr="00B50765">
        <w:rPr>
          <w:rFonts w:ascii="Times New Roman" w:hAnsi="Times New Roman" w:cs="Times New Roman"/>
          <w:i/>
          <w:iCs/>
        </w:rPr>
        <w:t>expert.</w:t>
      </w:r>
    </w:p>
    <w:p w14:paraId="409F21B8" w14:textId="63823F71" w:rsidR="00564DE2" w:rsidRPr="00564DE2" w:rsidRDefault="00564DE2" w:rsidP="00564DE2">
      <w:pPr>
        <w:ind w:right="-568"/>
        <w:jc w:val="both"/>
        <w:rPr>
          <w:rFonts w:ascii="Times New Roman" w:hAnsi="Times New Roman" w:cs="Times New Roman"/>
        </w:rPr>
      </w:pPr>
      <w:r w:rsidRPr="00564DE2">
        <w:rPr>
          <w:rFonts w:ascii="Times New Roman" w:hAnsi="Times New Roman" w:cs="Times New Roman"/>
        </w:rPr>
        <w:t>Encerrada a perícia – com laudo protocolado, contraditório exercido opera-se a preclusão temporal, não sendo juridicamente possível admitir novo rol de quesitos:</w:t>
      </w:r>
    </w:p>
    <w:p w14:paraId="33DD620B" w14:textId="77777777" w:rsidR="00564DE2" w:rsidRPr="00564DE2" w:rsidRDefault="00564DE2" w:rsidP="00564DE2">
      <w:pPr>
        <w:ind w:right="-568"/>
        <w:jc w:val="both"/>
        <w:rPr>
          <w:rFonts w:ascii="Times New Roman" w:hAnsi="Times New Roman" w:cs="Times New Roman"/>
        </w:rPr>
      </w:pPr>
      <w:r w:rsidRPr="00B50765">
        <w:rPr>
          <w:rFonts w:ascii="Times New Roman" w:hAnsi="Times New Roman" w:cs="Times New Roman"/>
          <w:i/>
          <w:iCs/>
        </w:rPr>
        <w:t>Art. 223, CPC. - Decorrido o prazo, extingue-se, independentemente de declaração judicial, o direito de praticar ou de emendar o ato processual, ficando assegurado, porém, à parte provar que o não realizou por justa causa</w:t>
      </w:r>
      <w:r w:rsidRPr="00564DE2">
        <w:rPr>
          <w:rFonts w:ascii="Times New Roman" w:hAnsi="Times New Roman" w:cs="Times New Roman"/>
        </w:rPr>
        <w:t>.</w:t>
      </w:r>
    </w:p>
    <w:p w14:paraId="52E60F56" w14:textId="2ECFB4F6" w:rsidR="00564DE2" w:rsidRPr="00564DE2" w:rsidRDefault="00564DE2" w:rsidP="00564DE2">
      <w:pPr>
        <w:ind w:right="-568"/>
        <w:jc w:val="both"/>
        <w:rPr>
          <w:rFonts w:ascii="Times New Roman" w:hAnsi="Times New Roman" w:cs="Times New Roman"/>
        </w:rPr>
      </w:pPr>
      <w:r w:rsidRPr="00564DE2">
        <w:rPr>
          <w:rFonts w:ascii="Times New Roman" w:hAnsi="Times New Roman" w:cs="Times New Roman"/>
        </w:rPr>
        <w:t>Sem mais delongas, firme o colendo TRIBUNAL DE JUSTIÇA DE MINAS GERAIS:</w:t>
      </w:r>
    </w:p>
    <w:p w14:paraId="64F7F39A" w14:textId="4550D7CE" w:rsidR="00564DE2" w:rsidRPr="00564DE2" w:rsidRDefault="00B50765" w:rsidP="00564DE2">
      <w:pPr>
        <w:ind w:right="-568"/>
        <w:jc w:val="both"/>
        <w:rPr>
          <w:rFonts w:ascii="Times New Roman" w:hAnsi="Times New Roman" w:cs="Times New Roman"/>
        </w:rPr>
      </w:pPr>
      <w:r>
        <w:rPr>
          <w:rFonts w:ascii="Times New Roman" w:hAnsi="Times New Roman" w:cs="Times New Roman"/>
        </w:rPr>
        <w:t>“</w:t>
      </w:r>
      <w:r w:rsidR="00564DE2" w:rsidRPr="00B50765">
        <w:rPr>
          <w:rFonts w:ascii="Times New Roman" w:hAnsi="Times New Roman" w:cs="Times New Roman"/>
          <w:i/>
          <w:iCs/>
        </w:rPr>
        <w:t>APELAÇÃO CÍVEL - PROCEDIMENTO COMUM - AÇÃO DE OBRIGAÇÃO DE FAZER C/C PERDAS E DANOS - ...- Havendo estipulação de prazo razoável para pronunciamento das partes acerca da perícia realizada pelo expert, a sua impugnação na fase recursal revela-se descabida, já preclusa a oportunidade para fazê-lo.</w:t>
      </w:r>
      <w:r w:rsidRPr="00B50765">
        <w:rPr>
          <w:rFonts w:ascii="Times New Roman" w:hAnsi="Times New Roman" w:cs="Times New Roman"/>
          <w:i/>
          <w:iCs/>
        </w:rPr>
        <w:t xml:space="preserve"> </w:t>
      </w:r>
      <w:r w:rsidR="00564DE2" w:rsidRPr="00B50765">
        <w:rPr>
          <w:rFonts w:ascii="Times New Roman" w:hAnsi="Times New Roman" w:cs="Times New Roman"/>
          <w:i/>
          <w:iCs/>
        </w:rPr>
        <w:t>Os quesitos suplementares somente podem ser interpostos até a apresentação do laudo, durante a diligência, sob pena de preclusão</w:t>
      </w:r>
      <w:r w:rsidR="00564DE2" w:rsidRPr="00564DE2">
        <w:rPr>
          <w:rFonts w:ascii="Times New Roman" w:hAnsi="Times New Roman" w:cs="Times New Roman"/>
        </w:rPr>
        <w:t>.</w:t>
      </w:r>
      <w:r>
        <w:rPr>
          <w:rFonts w:ascii="Times New Roman" w:hAnsi="Times New Roman" w:cs="Times New Roman"/>
        </w:rPr>
        <w:t xml:space="preserve">” </w:t>
      </w:r>
      <w:proofErr w:type="gramStart"/>
      <w:r w:rsidR="00564DE2" w:rsidRPr="00564DE2">
        <w:rPr>
          <w:rFonts w:ascii="Times New Roman" w:hAnsi="Times New Roman" w:cs="Times New Roman"/>
        </w:rPr>
        <w:t>[</w:t>
      </w:r>
      <w:proofErr w:type="gramEnd"/>
      <w:r w:rsidR="00564DE2" w:rsidRPr="00564DE2">
        <w:rPr>
          <w:rFonts w:ascii="Times New Roman" w:hAnsi="Times New Roman" w:cs="Times New Roman"/>
        </w:rPr>
        <w:t xml:space="preserve">TJMG – Apel. Cível 1.0000.23.222961-7/002, Rel. Pereira da Silva, 11ª CÂMARA CÍVEL, </w:t>
      </w:r>
      <w:proofErr w:type="spellStart"/>
      <w:r w:rsidR="00564DE2" w:rsidRPr="00564DE2">
        <w:rPr>
          <w:rFonts w:ascii="Times New Roman" w:hAnsi="Times New Roman" w:cs="Times New Roman"/>
        </w:rPr>
        <w:t>DJe</w:t>
      </w:r>
      <w:proofErr w:type="spellEnd"/>
      <w:r w:rsidR="00564DE2" w:rsidRPr="00564DE2">
        <w:rPr>
          <w:rFonts w:ascii="Times New Roman" w:hAnsi="Times New Roman" w:cs="Times New Roman"/>
        </w:rPr>
        <w:t xml:space="preserve"> 19.11.2025].</w:t>
      </w:r>
    </w:p>
    <w:p w14:paraId="52B6E0C3" w14:textId="39B1D402" w:rsidR="00564DE2" w:rsidRPr="00564DE2" w:rsidRDefault="00B50765" w:rsidP="00564DE2">
      <w:pPr>
        <w:ind w:right="-568"/>
        <w:jc w:val="both"/>
        <w:rPr>
          <w:rFonts w:ascii="Times New Roman" w:hAnsi="Times New Roman" w:cs="Times New Roman"/>
        </w:rPr>
      </w:pPr>
      <w:r>
        <w:rPr>
          <w:rFonts w:ascii="Times New Roman" w:hAnsi="Times New Roman" w:cs="Times New Roman"/>
        </w:rPr>
        <w:t>“</w:t>
      </w:r>
      <w:r w:rsidR="00564DE2" w:rsidRPr="00B50765">
        <w:rPr>
          <w:rFonts w:ascii="Times New Roman" w:hAnsi="Times New Roman" w:cs="Times New Roman"/>
          <w:i/>
          <w:iCs/>
        </w:rPr>
        <w:t>O artigo 469 do Código de Processo Civil preconiza: As partes poderão apresentar quesitos suplementares durante a diligência, que poderão ser respondidos pelo perito previamente ou na audiência de instrução e julgamento. Do artigo aludido depreende-se que os quesitos suplementares deverão ser apresentados durante a diligência, isto é, os quesitos suplementares poderão ser apresentados somente enquanto perito não encaminhou o laudo pericial. Sendo os quesitos apresentados posteriormente à entrega da perícia, é coerente o indeferimento dos mesmos</w:t>
      </w:r>
      <w:r w:rsidR="00564DE2" w:rsidRPr="00564DE2">
        <w:rPr>
          <w:rFonts w:ascii="Times New Roman" w:hAnsi="Times New Roman" w:cs="Times New Roman"/>
        </w:rPr>
        <w:t>”.</w:t>
      </w:r>
      <w:r>
        <w:rPr>
          <w:rFonts w:ascii="Times New Roman" w:hAnsi="Times New Roman" w:cs="Times New Roman"/>
        </w:rPr>
        <w:t xml:space="preserve"> </w:t>
      </w:r>
      <w:r w:rsidR="00564DE2" w:rsidRPr="00564DE2">
        <w:rPr>
          <w:rFonts w:ascii="Times New Roman" w:hAnsi="Times New Roman" w:cs="Times New Roman"/>
        </w:rPr>
        <w:t xml:space="preserve">[TJMG, AI 1.0000.17.015485-0/006, 13ª Câmara Cível, Relator Des. Rogério Medeiros, </w:t>
      </w:r>
      <w:proofErr w:type="spellStart"/>
      <w:r w:rsidR="00564DE2" w:rsidRPr="00564DE2">
        <w:rPr>
          <w:rFonts w:ascii="Times New Roman" w:hAnsi="Times New Roman" w:cs="Times New Roman"/>
        </w:rPr>
        <w:t>DJe</w:t>
      </w:r>
      <w:proofErr w:type="spellEnd"/>
      <w:r w:rsidR="00564DE2" w:rsidRPr="00564DE2">
        <w:rPr>
          <w:rFonts w:ascii="Times New Roman" w:hAnsi="Times New Roman" w:cs="Times New Roman"/>
        </w:rPr>
        <w:t xml:space="preserve"> 12.08.21].</w:t>
      </w:r>
    </w:p>
    <w:p w14:paraId="494ED4E7" w14:textId="761F33DB" w:rsidR="00564DE2" w:rsidRPr="00B50765" w:rsidRDefault="00564DE2" w:rsidP="00564DE2">
      <w:pPr>
        <w:ind w:right="-568"/>
        <w:jc w:val="both"/>
        <w:rPr>
          <w:rFonts w:ascii="Times New Roman" w:hAnsi="Times New Roman" w:cs="Times New Roman"/>
          <w:b/>
          <w:bCs/>
        </w:rPr>
      </w:pPr>
      <w:r w:rsidRPr="00B50765">
        <w:rPr>
          <w:rFonts w:ascii="Times New Roman" w:hAnsi="Times New Roman" w:cs="Times New Roman"/>
          <w:b/>
          <w:bCs/>
        </w:rPr>
        <w:t>PEDIDOS</w:t>
      </w:r>
    </w:p>
    <w:p w14:paraId="799B6EBA" w14:textId="18045051" w:rsidR="00564DE2" w:rsidRPr="00564DE2" w:rsidRDefault="00564DE2" w:rsidP="00564DE2">
      <w:pPr>
        <w:ind w:right="-568"/>
        <w:jc w:val="both"/>
        <w:rPr>
          <w:rFonts w:ascii="Times New Roman" w:hAnsi="Times New Roman" w:cs="Times New Roman"/>
        </w:rPr>
      </w:pPr>
      <w:proofErr w:type="spellStart"/>
      <w:r w:rsidRPr="00B50765">
        <w:rPr>
          <w:rFonts w:ascii="Times New Roman" w:hAnsi="Times New Roman" w:cs="Times New Roman"/>
          <w:b/>
          <w:bCs/>
          <w:i/>
          <w:iCs/>
        </w:rPr>
        <w:t>Ex</w:t>
      </w:r>
      <w:proofErr w:type="spellEnd"/>
      <w:r w:rsidRPr="00B50765">
        <w:rPr>
          <w:rFonts w:ascii="Times New Roman" w:hAnsi="Times New Roman" w:cs="Times New Roman"/>
          <w:b/>
          <w:bCs/>
          <w:i/>
          <w:iCs/>
        </w:rPr>
        <w:t xml:space="preserve"> positis</w:t>
      </w:r>
      <w:r w:rsidRPr="00564DE2">
        <w:rPr>
          <w:rFonts w:ascii="Times New Roman" w:hAnsi="Times New Roman" w:cs="Times New Roman"/>
        </w:rPr>
        <w:t>, os exequentes requerem:</w:t>
      </w:r>
    </w:p>
    <w:p w14:paraId="563D6B9C" w14:textId="44FFFC71" w:rsidR="00564DE2" w:rsidRPr="00564DE2" w:rsidRDefault="00B50765" w:rsidP="00564DE2">
      <w:pPr>
        <w:ind w:right="-568"/>
        <w:jc w:val="both"/>
        <w:rPr>
          <w:rFonts w:ascii="Times New Roman" w:hAnsi="Times New Roman" w:cs="Times New Roman"/>
        </w:rPr>
      </w:pPr>
      <w:r w:rsidRPr="00B50765">
        <w:rPr>
          <w:rFonts w:ascii="Times New Roman" w:hAnsi="Times New Roman" w:cs="Times New Roman"/>
        </w:rPr>
        <w:t>a)</w:t>
      </w:r>
      <w:r>
        <w:rPr>
          <w:rFonts w:ascii="Times New Roman" w:hAnsi="Times New Roman" w:cs="Times New Roman"/>
        </w:rPr>
        <w:t xml:space="preserve"> </w:t>
      </w:r>
      <w:r w:rsidR="00564DE2" w:rsidRPr="00B50765">
        <w:rPr>
          <w:rFonts w:ascii="Times New Roman" w:hAnsi="Times New Roman" w:cs="Times New Roman"/>
        </w:rPr>
        <w:t xml:space="preserve">seja HOMOLOGADA A AVALIAÇÃO DOS 30 [trinta] apartamentos penhorados pelo preço médio encontrado no Laudo Pericial do Juízo no valor de R$ </w:t>
      </w:r>
      <w:r>
        <w:rPr>
          <w:rFonts w:ascii="Times New Roman" w:hAnsi="Times New Roman" w:cs="Times New Roman"/>
        </w:rPr>
        <w:t>...</w:t>
      </w:r>
      <w:r w:rsidR="00564DE2" w:rsidRPr="00B50765">
        <w:rPr>
          <w:rFonts w:ascii="Times New Roman" w:hAnsi="Times New Roman" w:cs="Times New Roman"/>
        </w:rPr>
        <w:t xml:space="preserve"> [</w:t>
      </w:r>
      <w:r>
        <w:rPr>
          <w:rFonts w:ascii="Times New Roman" w:hAnsi="Times New Roman" w:cs="Times New Roman"/>
        </w:rPr>
        <w:t>...</w:t>
      </w:r>
      <w:r w:rsidR="00564DE2" w:rsidRPr="00B50765">
        <w:rPr>
          <w:rFonts w:ascii="Times New Roman" w:hAnsi="Times New Roman" w:cs="Times New Roman"/>
        </w:rPr>
        <w:t>];</w:t>
      </w:r>
    </w:p>
    <w:p w14:paraId="0D561624" w14:textId="3610FE7E" w:rsidR="00564DE2" w:rsidRPr="00564DE2" w:rsidRDefault="00564DE2" w:rsidP="00564DE2">
      <w:pPr>
        <w:ind w:right="-568"/>
        <w:jc w:val="both"/>
        <w:rPr>
          <w:rFonts w:ascii="Times New Roman" w:hAnsi="Times New Roman" w:cs="Times New Roman"/>
        </w:rPr>
      </w:pPr>
      <w:r w:rsidRPr="00564DE2">
        <w:rPr>
          <w:rFonts w:ascii="Times New Roman" w:hAnsi="Times New Roman" w:cs="Times New Roman"/>
        </w:rPr>
        <w:lastRenderedPageBreak/>
        <w:t>b)</w:t>
      </w:r>
      <w:r w:rsidR="00B50765">
        <w:rPr>
          <w:rFonts w:ascii="Times New Roman" w:hAnsi="Times New Roman" w:cs="Times New Roman"/>
        </w:rPr>
        <w:t xml:space="preserve"> </w:t>
      </w:r>
      <w:r w:rsidRPr="00564DE2">
        <w:rPr>
          <w:rFonts w:ascii="Times New Roman" w:hAnsi="Times New Roman" w:cs="Times New Roman"/>
        </w:rPr>
        <w:t>sejam INDEFERIDOS OS PEDIDOS DE “</w:t>
      </w:r>
      <w:r w:rsidRPr="00B50765">
        <w:rPr>
          <w:rFonts w:ascii="Times New Roman" w:hAnsi="Times New Roman" w:cs="Times New Roman"/>
          <w:i/>
          <w:iCs/>
        </w:rPr>
        <w:t>DESTITUIÇÃO</w:t>
      </w:r>
      <w:r w:rsidRPr="00564DE2">
        <w:rPr>
          <w:rFonts w:ascii="Times New Roman" w:hAnsi="Times New Roman" w:cs="Times New Roman"/>
        </w:rPr>
        <w:t>” DO PERITO OFICIAL, pela premissa de discordância com a conclusão do laudo, não havendo previsão legal nesse sentido e, igualmente seja INDEFERIDO O PEDIDO DE RESPOSTA AOS QUESITOS “</w:t>
      </w:r>
      <w:r w:rsidRPr="00B50765">
        <w:rPr>
          <w:rFonts w:ascii="Times New Roman" w:hAnsi="Times New Roman" w:cs="Times New Roman"/>
          <w:i/>
          <w:iCs/>
        </w:rPr>
        <w:t>SUPLEMENTARES</w:t>
      </w:r>
      <w:r w:rsidRPr="00564DE2">
        <w:rPr>
          <w:rFonts w:ascii="Times New Roman" w:hAnsi="Times New Roman" w:cs="Times New Roman"/>
        </w:rPr>
        <w:t xml:space="preserve">” apresentados pelos executados, pois a prescrição legal do art. 469 do CPC permite a apresentação de suplementares durante a diligência pericial, ou seja, enquanto os trabalhos técnicos ainda estão em andamento e antes da entrega do laudo em juízo; </w:t>
      </w:r>
    </w:p>
    <w:p w14:paraId="50DE04A4" w14:textId="66C1BE69" w:rsidR="00564DE2" w:rsidRPr="00564DE2" w:rsidRDefault="00564DE2" w:rsidP="00564DE2">
      <w:pPr>
        <w:ind w:right="-568"/>
        <w:jc w:val="both"/>
        <w:rPr>
          <w:rFonts w:ascii="Times New Roman" w:hAnsi="Times New Roman" w:cs="Times New Roman"/>
        </w:rPr>
      </w:pPr>
      <w:r w:rsidRPr="00564DE2">
        <w:rPr>
          <w:rFonts w:ascii="Times New Roman" w:hAnsi="Times New Roman" w:cs="Times New Roman"/>
        </w:rPr>
        <w:t>c)</w:t>
      </w:r>
      <w:r w:rsidR="00B50765">
        <w:rPr>
          <w:rFonts w:ascii="Times New Roman" w:hAnsi="Times New Roman" w:cs="Times New Roman"/>
        </w:rPr>
        <w:t xml:space="preserve"> </w:t>
      </w:r>
      <w:r w:rsidRPr="00564DE2">
        <w:rPr>
          <w:rFonts w:ascii="Times New Roman" w:hAnsi="Times New Roman" w:cs="Times New Roman"/>
        </w:rPr>
        <w:t xml:space="preserve">depois de homologada a avaliação, seja CONCEDIDA VISTA AOS EXEQUENTES, </w:t>
      </w:r>
      <w:proofErr w:type="gramStart"/>
      <w:r w:rsidRPr="00564DE2">
        <w:rPr>
          <w:rFonts w:ascii="Times New Roman" w:hAnsi="Times New Roman" w:cs="Times New Roman"/>
        </w:rPr>
        <w:t>para, análise</w:t>
      </w:r>
      <w:proofErr w:type="gramEnd"/>
      <w:r w:rsidRPr="00564DE2">
        <w:rPr>
          <w:rFonts w:ascii="Times New Roman" w:hAnsi="Times New Roman" w:cs="Times New Roman"/>
        </w:rPr>
        <w:t xml:space="preserve"> das suas prerrogativas de adjudicação dos bens penhorados na forma legal [CPC, art. 825,</w:t>
      </w:r>
      <w:r w:rsidR="00B50765">
        <w:rPr>
          <w:rFonts w:ascii="Times New Roman" w:hAnsi="Times New Roman" w:cs="Times New Roman"/>
        </w:rPr>
        <w:t xml:space="preserve"> </w:t>
      </w:r>
      <w:r w:rsidRPr="00564DE2">
        <w:rPr>
          <w:rFonts w:ascii="Times New Roman" w:hAnsi="Times New Roman" w:cs="Times New Roman"/>
        </w:rPr>
        <w:t>I].</w:t>
      </w:r>
    </w:p>
    <w:p w14:paraId="7064EED4" w14:textId="5C8BF084" w:rsidR="00564DE2" w:rsidRPr="00564DE2" w:rsidRDefault="00564DE2" w:rsidP="00B50765">
      <w:pPr>
        <w:spacing w:after="0" w:line="240" w:lineRule="auto"/>
        <w:ind w:right="-567"/>
        <w:jc w:val="center"/>
        <w:rPr>
          <w:rFonts w:ascii="Times New Roman" w:hAnsi="Times New Roman" w:cs="Times New Roman"/>
        </w:rPr>
      </w:pPr>
      <w:r w:rsidRPr="00564DE2">
        <w:rPr>
          <w:rFonts w:ascii="Times New Roman" w:hAnsi="Times New Roman" w:cs="Times New Roman"/>
        </w:rPr>
        <w:t>P</w:t>
      </w:r>
      <w:r w:rsidR="00B50765">
        <w:rPr>
          <w:rFonts w:ascii="Times New Roman" w:hAnsi="Times New Roman" w:cs="Times New Roman"/>
        </w:rPr>
        <w:t>ede</w:t>
      </w:r>
      <w:r w:rsidRPr="00564DE2">
        <w:rPr>
          <w:rFonts w:ascii="Times New Roman" w:hAnsi="Times New Roman" w:cs="Times New Roman"/>
        </w:rPr>
        <w:t xml:space="preserve"> Deferimento.</w:t>
      </w:r>
    </w:p>
    <w:p w14:paraId="1771078E" w14:textId="5C1AA389" w:rsidR="00564DE2" w:rsidRDefault="00B50765" w:rsidP="00B50765">
      <w:pPr>
        <w:spacing w:after="0" w:line="240" w:lineRule="auto"/>
        <w:ind w:right="-567"/>
        <w:jc w:val="center"/>
        <w:rPr>
          <w:rFonts w:ascii="Times New Roman" w:hAnsi="Times New Roman" w:cs="Times New Roman"/>
        </w:rPr>
      </w:pPr>
      <w:r>
        <w:rPr>
          <w:rFonts w:ascii="Times New Roman" w:hAnsi="Times New Roman" w:cs="Times New Roman"/>
        </w:rPr>
        <w:t>(Local e data)</w:t>
      </w:r>
    </w:p>
    <w:p w14:paraId="05750D1F" w14:textId="2C90E0E9" w:rsidR="00B50765" w:rsidRPr="00564DE2" w:rsidRDefault="00B50765" w:rsidP="00B50765">
      <w:pPr>
        <w:spacing w:after="0" w:line="240" w:lineRule="auto"/>
        <w:ind w:right="-567"/>
        <w:jc w:val="center"/>
        <w:rPr>
          <w:rFonts w:ascii="Times New Roman" w:hAnsi="Times New Roman" w:cs="Times New Roman"/>
        </w:rPr>
      </w:pPr>
      <w:r>
        <w:rPr>
          <w:rFonts w:ascii="Times New Roman" w:hAnsi="Times New Roman" w:cs="Times New Roman"/>
        </w:rPr>
        <w:t>(Assinatura e OAB dos Advogados)</w:t>
      </w:r>
    </w:p>
    <w:sectPr w:rsidR="00B50765" w:rsidRPr="00564DE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1904CC"/>
    <w:multiLevelType w:val="hybridMultilevel"/>
    <w:tmpl w:val="6C429D8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2064554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DE2"/>
    <w:rsid w:val="00244B30"/>
    <w:rsid w:val="005542FC"/>
    <w:rsid w:val="00564DE2"/>
    <w:rsid w:val="00B5076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75C4E6"/>
  <w15:chartTrackingRefBased/>
  <w15:docId w15:val="{CE4683B9-BF2D-4EAB-B669-8E91AE839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564D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564D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564DE2"/>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564DE2"/>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564DE2"/>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564DE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564DE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564DE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564DE2"/>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564DE2"/>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564DE2"/>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564DE2"/>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564DE2"/>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564DE2"/>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564DE2"/>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564DE2"/>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564DE2"/>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564DE2"/>
    <w:rPr>
      <w:rFonts w:eastAsiaTheme="majorEastAsia" w:cstheme="majorBidi"/>
      <w:color w:val="272727" w:themeColor="text1" w:themeTint="D8"/>
    </w:rPr>
  </w:style>
  <w:style w:type="paragraph" w:styleId="Ttulo">
    <w:name w:val="Title"/>
    <w:basedOn w:val="Normal"/>
    <w:next w:val="Normal"/>
    <w:link w:val="TtuloChar"/>
    <w:uiPriority w:val="10"/>
    <w:qFormat/>
    <w:rsid w:val="00564D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564DE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564DE2"/>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564DE2"/>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564DE2"/>
    <w:pPr>
      <w:spacing w:before="160"/>
      <w:jc w:val="center"/>
    </w:pPr>
    <w:rPr>
      <w:i/>
      <w:iCs/>
      <w:color w:val="404040" w:themeColor="text1" w:themeTint="BF"/>
    </w:rPr>
  </w:style>
  <w:style w:type="character" w:customStyle="1" w:styleId="CitaoChar">
    <w:name w:val="Citação Char"/>
    <w:basedOn w:val="Fontepargpadro"/>
    <w:link w:val="Citao"/>
    <w:uiPriority w:val="29"/>
    <w:rsid w:val="00564DE2"/>
    <w:rPr>
      <w:i/>
      <w:iCs/>
      <w:color w:val="404040" w:themeColor="text1" w:themeTint="BF"/>
    </w:rPr>
  </w:style>
  <w:style w:type="paragraph" w:styleId="PargrafodaLista">
    <w:name w:val="List Paragraph"/>
    <w:basedOn w:val="Normal"/>
    <w:uiPriority w:val="34"/>
    <w:qFormat/>
    <w:rsid w:val="00564DE2"/>
    <w:pPr>
      <w:ind w:left="720"/>
      <w:contextualSpacing/>
    </w:pPr>
  </w:style>
  <w:style w:type="character" w:styleId="nfaseIntensa">
    <w:name w:val="Intense Emphasis"/>
    <w:basedOn w:val="Fontepargpadro"/>
    <w:uiPriority w:val="21"/>
    <w:qFormat/>
    <w:rsid w:val="00564DE2"/>
    <w:rPr>
      <w:i/>
      <w:iCs/>
      <w:color w:val="2F5496" w:themeColor="accent1" w:themeShade="BF"/>
    </w:rPr>
  </w:style>
  <w:style w:type="paragraph" w:styleId="CitaoIntensa">
    <w:name w:val="Intense Quote"/>
    <w:basedOn w:val="Normal"/>
    <w:next w:val="Normal"/>
    <w:link w:val="CitaoIntensaChar"/>
    <w:uiPriority w:val="30"/>
    <w:qFormat/>
    <w:rsid w:val="00564D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564DE2"/>
    <w:rPr>
      <w:i/>
      <w:iCs/>
      <w:color w:val="2F5496" w:themeColor="accent1" w:themeShade="BF"/>
    </w:rPr>
  </w:style>
  <w:style w:type="character" w:styleId="RefernciaIntensa">
    <w:name w:val="Intense Reference"/>
    <w:basedOn w:val="Fontepargpadro"/>
    <w:uiPriority w:val="32"/>
    <w:qFormat/>
    <w:rsid w:val="00564D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16</Pages>
  <Words>6643</Words>
  <Characters>35873</Characters>
  <Application>Microsoft Office Word</Application>
  <DocSecurity>0</DocSecurity>
  <Lines>298</Lines>
  <Paragraphs>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Christiane Gieseke</dc:creator>
  <cp:keywords/>
  <dc:description/>
  <cp:lastModifiedBy>Christiane Gieseke</cp:lastModifiedBy>
  <cp:revision>1</cp:revision>
  <dcterms:created xsi:type="dcterms:W3CDTF">2025-12-12T15:54:00Z</dcterms:created>
  <dcterms:modified xsi:type="dcterms:W3CDTF">2025-12-12T16:20:00Z</dcterms:modified>
</cp:coreProperties>
</file>