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4C0E" w14:textId="77777777" w:rsidR="00301735" w:rsidRPr="00301735" w:rsidRDefault="00301735" w:rsidP="00301735">
      <w:pPr>
        <w:spacing w:after="0" w:line="240" w:lineRule="auto"/>
        <w:ind w:right="-567"/>
        <w:jc w:val="center"/>
        <w:rPr>
          <w:rFonts w:ascii="Arial Black" w:hAnsi="Arial Black" w:cs="Times New Roman"/>
        </w:rPr>
      </w:pPr>
      <w:r w:rsidRPr="00301735">
        <w:rPr>
          <w:rFonts w:ascii="Arial Black" w:hAnsi="Arial Black" w:cs="Times New Roman"/>
        </w:rPr>
        <w:t>MODELO DE PETIÇÃO</w:t>
      </w:r>
    </w:p>
    <w:p w14:paraId="40FD906C" w14:textId="77777777" w:rsidR="00301735" w:rsidRPr="00301735" w:rsidRDefault="00301735" w:rsidP="00301735">
      <w:pPr>
        <w:spacing w:after="0" w:line="240" w:lineRule="auto"/>
        <w:ind w:right="-567"/>
        <w:jc w:val="center"/>
        <w:rPr>
          <w:rFonts w:ascii="Arial Black" w:hAnsi="Arial Black" w:cs="Times New Roman"/>
        </w:rPr>
      </w:pPr>
      <w:r w:rsidRPr="00301735">
        <w:rPr>
          <w:rFonts w:ascii="Arial Black" w:hAnsi="Arial Black" w:cs="Times New Roman"/>
        </w:rPr>
        <w:t>CUMPRIMENTO DE SENTENÇA. IMPENHORABILIDADE BENS PARTICULARES DOS HERDEIROS. SIGILO DOCUMENTOS. PETIÇÃO</w:t>
      </w:r>
    </w:p>
    <w:p w14:paraId="5A9A692F" w14:textId="77777777" w:rsidR="00301735" w:rsidRPr="00301735" w:rsidRDefault="00301735" w:rsidP="00301735">
      <w:pPr>
        <w:spacing w:after="0" w:line="240" w:lineRule="auto"/>
        <w:ind w:right="-567"/>
        <w:jc w:val="right"/>
        <w:rPr>
          <w:rFonts w:ascii="Arial Black" w:hAnsi="Arial Black" w:cs="Times New Roman"/>
        </w:rPr>
      </w:pPr>
      <w:proofErr w:type="spellStart"/>
      <w:r w:rsidRPr="00301735">
        <w:rPr>
          <w:rFonts w:ascii="Arial Black" w:hAnsi="Arial Black" w:cs="Times New Roman"/>
        </w:rPr>
        <w:t>Rénan</w:t>
      </w:r>
      <w:proofErr w:type="spellEnd"/>
      <w:r w:rsidRPr="00301735">
        <w:rPr>
          <w:rFonts w:ascii="Arial Black" w:hAnsi="Arial Black" w:cs="Times New Roman"/>
        </w:rPr>
        <w:t xml:space="preserve"> </w:t>
      </w:r>
      <w:proofErr w:type="spellStart"/>
      <w:r w:rsidRPr="00301735">
        <w:rPr>
          <w:rFonts w:ascii="Arial Black" w:hAnsi="Arial Black" w:cs="Times New Roman"/>
        </w:rPr>
        <w:t>Kfuri</w:t>
      </w:r>
      <w:proofErr w:type="spellEnd"/>
      <w:r w:rsidRPr="00301735">
        <w:rPr>
          <w:rFonts w:ascii="Arial Black" w:hAnsi="Arial Black" w:cs="Times New Roman"/>
        </w:rPr>
        <w:t xml:space="preserve"> Lopes</w:t>
      </w:r>
    </w:p>
    <w:p w14:paraId="70C203C4" w14:textId="77777777" w:rsidR="00301735" w:rsidRPr="00301735" w:rsidRDefault="00301735" w:rsidP="00301735">
      <w:pPr>
        <w:ind w:right="-568"/>
        <w:jc w:val="both"/>
        <w:rPr>
          <w:rFonts w:ascii="Times New Roman" w:hAnsi="Times New Roman" w:cs="Times New Roman"/>
        </w:rPr>
      </w:pPr>
    </w:p>
    <w:p w14:paraId="1095C199" w14:textId="77777777" w:rsidR="00301735" w:rsidRDefault="00301735" w:rsidP="00301735">
      <w:pPr>
        <w:ind w:right="-568"/>
        <w:jc w:val="both"/>
        <w:rPr>
          <w:rFonts w:ascii="Times New Roman" w:hAnsi="Times New Roman" w:cs="Times New Roman"/>
        </w:rPr>
      </w:pPr>
      <w:r w:rsidRPr="00301735">
        <w:rPr>
          <w:rFonts w:ascii="Times New Roman" w:hAnsi="Times New Roman" w:cs="Times New Roman"/>
        </w:rPr>
        <w:t>E</w:t>
      </w:r>
      <w:r>
        <w:rPr>
          <w:rFonts w:ascii="Times New Roman" w:hAnsi="Times New Roman" w:cs="Times New Roman"/>
        </w:rPr>
        <w:t>xmo. Sr. Juiz de Direito da ... Vara Cível da Comarca de ...</w:t>
      </w:r>
    </w:p>
    <w:p w14:paraId="4376907B" w14:textId="6E0046D0" w:rsidR="00301735" w:rsidRPr="00301735" w:rsidRDefault="00301735" w:rsidP="00301735">
      <w:pPr>
        <w:ind w:right="-568"/>
        <w:jc w:val="both"/>
        <w:rPr>
          <w:rFonts w:ascii="Times New Roman" w:hAnsi="Times New Roman" w:cs="Times New Roman"/>
        </w:rPr>
      </w:pPr>
      <w:proofErr w:type="spellStart"/>
      <w:proofErr w:type="gramStart"/>
      <w:r w:rsidRPr="00301735">
        <w:rPr>
          <w:rFonts w:ascii="Times New Roman" w:hAnsi="Times New Roman" w:cs="Times New Roman"/>
        </w:rPr>
        <w:t>eProc</w:t>
      </w:r>
      <w:proofErr w:type="spellEnd"/>
      <w:r w:rsidRPr="00301735">
        <w:rPr>
          <w:rFonts w:ascii="Times New Roman" w:hAnsi="Times New Roman" w:cs="Times New Roman"/>
        </w:rPr>
        <w:t xml:space="preserve">  </w:t>
      </w:r>
      <w:r>
        <w:rPr>
          <w:rFonts w:ascii="Times New Roman" w:hAnsi="Times New Roman" w:cs="Times New Roman"/>
        </w:rPr>
        <w:t>...</w:t>
      </w:r>
      <w:proofErr w:type="gramEnd"/>
    </w:p>
    <w:p w14:paraId="661FF74F" w14:textId="5E6F4264"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 </w:t>
      </w:r>
      <w:proofErr w:type="gramStart"/>
      <w:r w:rsidRPr="00301735">
        <w:rPr>
          <w:rFonts w:ascii="Times New Roman" w:hAnsi="Times New Roman" w:cs="Times New Roman"/>
        </w:rPr>
        <w:t>sobre</w:t>
      </w:r>
      <w:proofErr w:type="gramEnd"/>
      <w:r w:rsidRPr="00301735">
        <w:rPr>
          <w:rFonts w:ascii="Times New Roman" w:hAnsi="Times New Roman" w:cs="Times New Roman"/>
        </w:rPr>
        <w:t xml:space="preserve"> o despacho do evento </w:t>
      </w:r>
      <w:r>
        <w:rPr>
          <w:rFonts w:ascii="Times New Roman" w:hAnsi="Times New Roman" w:cs="Times New Roman"/>
        </w:rPr>
        <w:t>...</w:t>
      </w:r>
      <w:r w:rsidRPr="00301735">
        <w:rPr>
          <w:rFonts w:ascii="Times New Roman" w:hAnsi="Times New Roman" w:cs="Times New Roman"/>
        </w:rPr>
        <w:t xml:space="preserve">, INFOJUD do evento </w:t>
      </w:r>
      <w:r>
        <w:rPr>
          <w:rFonts w:ascii="Times New Roman" w:hAnsi="Times New Roman" w:cs="Times New Roman"/>
        </w:rPr>
        <w:t>...</w:t>
      </w:r>
      <w:r w:rsidRPr="00301735">
        <w:rPr>
          <w:rFonts w:ascii="Times New Roman" w:hAnsi="Times New Roman" w:cs="Times New Roman"/>
        </w:rPr>
        <w:t xml:space="preserve"> e </w:t>
      </w:r>
      <w:proofErr w:type="spellStart"/>
      <w:r w:rsidRPr="00301735">
        <w:rPr>
          <w:rFonts w:ascii="Times New Roman" w:hAnsi="Times New Roman" w:cs="Times New Roman"/>
        </w:rPr>
        <w:t>Renajud</w:t>
      </w:r>
      <w:proofErr w:type="spellEnd"/>
      <w:r w:rsidRPr="00301735">
        <w:rPr>
          <w:rFonts w:ascii="Times New Roman" w:hAnsi="Times New Roman" w:cs="Times New Roman"/>
        </w:rPr>
        <w:t xml:space="preserve"> eventos </w:t>
      </w:r>
      <w:r>
        <w:rPr>
          <w:rFonts w:ascii="Times New Roman" w:hAnsi="Times New Roman" w:cs="Times New Roman"/>
        </w:rPr>
        <w:t>...</w:t>
      </w:r>
      <w:r w:rsidRPr="00301735">
        <w:rPr>
          <w:rFonts w:ascii="Times New Roman" w:hAnsi="Times New Roman" w:cs="Times New Roman"/>
        </w:rPr>
        <w:t xml:space="preserve"> -</w:t>
      </w:r>
    </w:p>
    <w:p w14:paraId="1F3650E3" w14:textId="2030EC95" w:rsidR="00301735" w:rsidRPr="00301735" w:rsidRDefault="00301735" w:rsidP="00301735">
      <w:pPr>
        <w:ind w:right="-568"/>
        <w:jc w:val="both"/>
        <w:rPr>
          <w:rFonts w:ascii="Times New Roman" w:hAnsi="Times New Roman" w:cs="Times New Roman"/>
        </w:rPr>
      </w:pPr>
      <w:r>
        <w:rPr>
          <w:rFonts w:ascii="Times New Roman" w:hAnsi="Times New Roman" w:cs="Times New Roman"/>
        </w:rPr>
        <w:t>(nome)</w:t>
      </w:r>
      <w:r w:rsidRPr="00301735">
        <w:rPr>
          <w:rFonts w:ascii="Times New Roman" w:hAnsi="Times New Roman" w:cs="Times New Roman"/>
        </w:rPr>
        <w:t xml:space="preserve"> e </w:t>
      </w:r>
      <w:r>
        <w:rPr>
          <w:rFonts w:ascii="Times New Roman" w:hAnsi="Times New Roman" w:cs="Times New Roman"/>
        </w:rPr>
        <w:t>(nome)</w:t>
      </w:r>
      <w:r w:rsidRPr="00301735">
        <w:rPr>
          <w:rFonts w:ascii="Times New Roman" w:hAnsi="Times New Roman" w:cs="Times New Roman"/>
        </w:rPr>
        <w:t xml:space="preserve">, executados, pelos comuns advogados </w:t>
      </w:r>
      <w:r w:rsidRPr="00301735">
        <w:rPr>
          <w:rFonts w:ascii="Times New Roman" w:hAnsi="Times New Roman" w:cs="Times New Roman"/>
          <w:i/>
          <w:iCs/>
        </w:rPr>
        <w:t>in fine</w:t>
      </w:r>
      <w:r w:rsidRPr="00301735">
        <w:rPr>
          <w:rFonts w:ascii="Times New Roman" w:hAnsi="Times New Roman" w:cs="Times New Roman"/>
        </w:rPr>
        <w:t xml:space="preserve"> assinados, nos autos epigrafados em fase de “</w:t>
      </w:r>
      <w:r w:rsidRPr="00301735">
        <w:rPr>
          <w:rFonts w:ascii="Times New Roman" w:hAnsi="Times New Roman" w:cs="Times New Roman"/>
          <w:i/>
          <w:iCs/>
        </w:rPr>
        <w:t>cumprimento de sentença</w:t>
      </w:r>
      <w:r w:rsidRPr="00301735">
        <w:rPr>
          <w:rFonts w:ascii="Times New Roman" w:hAnsi="Times New Roman" w:cs="Times New Roman"/>
        </w:rPr>
        <w:t xml:space="preserve">” que contende com </w:t>
      </w:r>
      <w:r>
        <w:rPr>
          <w:rFonts w:ascii="Times New Roman" w:hAnsi="Times New Roman" w:cs="Times New Roman"/>
        </w:rPr>
        <w:t>...</w:t>
      </w:r>
      <w:r w:rsidRPr="00301735">
        <w:rPr>
          <w:rFonts w:ascii="Times New Roman" w:hAnsi="Times New Roman" w:cs="Times New Roman"/>
        </w:rPr>
        <w:t xml:space="preserve">, executado, vêm, respeitosamente, manifestar sobre os documentos juntados nos eventos </w:t>
      </w:r>
      <w:r>
        <w:rPr>
          <w:rFonts w:ascii="Times New Roman" w:hAnsi="Times New Roman" w:cs="Times New Roman"/>
        </w:rPr>
        <w:t>...</w:t>
      </w:r>
      <w:r w:rsidRPr="00301735">
        <w:rPr>
          <w:rFonts w:ascii="Times New Roman" w:hAnsi="Times New Roman" w:cs="Times New Roman"/>
        </w:rPr>
        <w:t xml:space="preserve"> [INFOJUD] e </w:t>
      </w:r>
      <w:proofErr w:type="gramStart"/>
      <w:r>
        <w:rPr>
          <w:rFonts w:ascii="Times New Roman" w:hAnsi="Times New Roman" w:cs="Times New Roman"/>
        </w:rPr>
        <w:t>...</w:t>
      </w:r>
      <w:r w:rsidRPr="00301735">
        <w:rPr>
          <w:rFonts w:ascii="Times New Roman" w:hAnsi="Times New Roman" w:cs="Times New Roman"/>
        </w:rPr>
        <w:t>[</w:t>
      </w:r>
      <w:proofErr w:type="gramEnd"/>
      <w:r w:rsidRPr="00301735">
        <w:rPr>
          <w:rFonts w:ascii="Times New Roman" w:hAnsi="Times New Roman" w:cs="Times New Roman"/>
        </w:rPr>
        <w:t>RENAJUD], pelas razões de direito adiante articuladas:</w:t>
      </w:r>
    </w:p>
    <w:p w14:paraId="01C9E6BD" w14:textId="4706AB1C" w:rsidR="00301735" w:rsidRPr="00301735" w:rsidRDefault="00301735" w:rsidP="00301735">
      <w:pPr>
        <w:ind w:right="-568"/>
        <w:jc w:val="both"/>
        <w:rPr>
          <w:rFonts w:ascii="Times New Roman" w:hAnsi="Times New Roman" w:cs="Times New Roman"/>
          <w:b/>
          <w:bCs/>
        </w:rPr>
      </w:pPr>
      <w:r w:rsidRPr="00301735">
        <w:rPr>
          <w:rFonts w:ascii="Times New Roman" w:hAnsi="Times New Roman" w:cs="Times New Roman"/>
          <w:b/>
          <w:bCs/>
        </w:rPr>
        <w:t>OS INTERLOCUTÓRIOS DOS EVENTOS “</w:t>
      </w:r>
      <w:r w:rsidRPr="00301735">
        <w:rPr>
          <w:rFonts w:ascii="Times New Roman" w:hAnsi="Times New Roman" w:cs="Times New Roman"/>
          <w:b/>
          <w:bCs/>
        </w:rPr>
        <w:t>...</w:t>
      </w:r>
      <w:r w:rsidRPr="00301735">
        <w:rPr>
          <w:rFonts w:ascii="Times New Roman" w:hAnsi="Times New Roman" w:cs="Times New Roman"/>
          <w:b/>
          <w:bCs/>
        </w:rPr>
        <w:t>” E “</w:t>
      </w:r>
      <w:r w:rsidRPr="00301735">
        <w:rPr>
          <w:rFonts w:ascii="Times New Roman" w:hAnsi="Times New Roman" w:cs="Times New Roman"/>
          <w:b/>
          <w:bCs/>
        </w:rPr>
        <w:t>...</w:t>
      </w:r>
      <w:r w:rsidRPr="00301735">
        <w:rPr>
          <w:rFonts w:ascii="Times New Roman" w:hAnsi="Times New Roman" w:cs="Times New Roman"/>
          <w:b/>
          <w:bCs/>
        </w:rPr>
        <w:t xml:space="preserve">” </w:t>
      </w:r>
    </w:p>
    <w:p w14:paraId="39A5A512" w14:textId="63DDF925" w:rsidR="00301735" w:rsidRPr="00301735" w:rsidRDefault="00301735" w:rsidP="00301735">
      <w:pPr>
        <w:ind w:right="-568"/>
        <w:jc w:val="both"/>
        <w:rPr>
          <w:rFonts w:ascii="Times New Roman" w:hAnsi="Times New Roman" w:cs="Times New Roman"/>
        </w:rPr>
      </w:pPr>
      <w:proofErr w:type="spellStart"/>
      <w:r w:rsidRPr="00301735">
        <w:rPr>
          <w:rFonts w:ascii="Times New Roman" w:hAnsi="Times New Roman" w:cs="Times New Roman"/>
          <w:i/>
          <w:iCs/>
        </w:rPr>
        <w:t>Ab</w:t>
      </w:r>
      <w:proofErr w:type="spellEnd"/>
      <w:r w:rsidRPr="00301735">
        <w:rPr>
          <w:rFonts w:ascii="Times New Roman" w:hAnsi="Times New Roman" w:cs="Times New Roman"/>
          <w:i/>
          <w:iCs/>
        </w:rPr>
        <w:t xml:space="preserve"> initio</w:t>
      </w:r>
      <w:r w:rsidRPr="00301735">
        <w:rPr>
          <w:rFonts w:ascii="Times New Roman" w:hAnsi="Times New Roman" w:cs="Times New Roman"/>
        </w:rPr>
        <w:t xml:space="preserve">, </w:t>
      </w:r>
      <w:r w:rsidRPr="00301735">
        <w:rPr>
          <w:rFonts w:ascii="Times New Roman" w:hAnsi="Times New Roman" w:cs="Times New Roman"/>
          <w:i/>
          <w:iCs/>
        </w:rPr>
        <w:t>mister</w:t>
      </w:r>
      <w:r w:rsidRPr="00301735">
        <w:rPr>
          <w:rFonts w:ascii="Times New Roman" w:hAnsi="Times New Roman" w:cs="Times New Roman"/>
        </w:rPr>
        <w:t xml:space="preserve"> avivar que se trata de um “</w:t>
      </w:r>
      <w:r w:rsidRPr="00301735">
        <w:rPr>
          <w:rFonts w:ascii="Times New Roman" w:hAnsi="Times New Roman" w:cs="Times New Roman"/>
          <w:i/>
          <w:iCs/>
        </w:rPr>
        <w:t>cumprimento de sentença</w:t>
      </w:r>
      <w:r w:rsidRPr="00301735">
        <w:rPr>
          <w:rFonts w:ascii="Times New Roman" w:hAnsi="Times New Roman" w:cs="Times New Roman"/>
        </w:rPr>
        <w:t>” originado de uma ação indenizatória promovida contra o falecido “</w:t>
      </w:r>
      <w:r>
        <w:rPr>
          <w:rFonts w:ascii="Times New Roman" w:hAnsi="Times New Roman" w:cs="Times New Roman"/>
        </w:rPr>
        <w:t>...</w:t>
      </w:r>
      <w:r w:rsidRPr="00301735">
        <w:rPr>
          <w:rFonts w:ascii="Times New Roman" w:hAnsi="Times New Roman" w:cs="Times New Roman"/>
        </w:rPr>
        <w:t xml:space="preserve">” pai dos ora executados </w:t>
      </w:r>
      <w:r>
        <w:rPr>
          <w:rFonts w:ascii="Times New Roman" w:hAnsi="Times New Roman" w:cs="Times New Roman"/>
        </w:rPr>
        <w:t>...</w:t>
      </w:r>
      <w:r w:rsidRPr="00301735">
        <w:rPr>
          <w:rFonts w:ascii="Times New Roman" w:hAnsi="Times New Roman" w:cs="Times New Roman"/>
        </w:rPr>
        <w:t xml:space="preserve"> e </w:t>
      </w:r>
      <w:r>
        <w:rPr>
          <w:rFonts w:ascii="Times New Roman" w:hAnsi="Times New Roman" w:cs="Times New Roman"/>
        </w:rPr>
        <w:t>...</w:t>
      </w:r>
      <w:r w:rsidRPr="00301735">
        <w:rPr>
          <w:rFonts w:ascii="Times New Roman" w:hAnsi="Times New Roman" w:cs="Times New Roman"/>
        </w:rPr>
        <w:t xml:space="preserve"> </w:t>
      </w:r>
    </w:p>
    <w:p w14:paraId="667A45A5" w14:textId="4E19612F"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No r. interlocutório do evento </w:t>
      </w:r>
      <w:r>
        <w:rPr>
          <w:rFonts w:ascii="Times New Roman" w:hAnsi="Times New Roman" w:cs="Times New Roman"/>
        </w:rPr>
        <w:t>...</w:t>
      </w:r>
      <w:r w:rsidRPr="00301735">
        <w:rPr>
          <w:rFonts w:ascii="Times New Roman" w:hAnsi="Times New Roman" w:cs="Times New Roman"/>
        </w:rPr>
        <w:t xml:space="preserve"> ficou assentado que:</w:t>
      </w:r>
    </w:p>
    <w:p w14:paraId="456B7219" w14:textId="7E4983FF" w:rsidR="00301735" w:rsidRPr="00301735" w:rsidRDefault="00301735" w:rsidP="00301735">
      <w:pPr>
        <w:ind w:right="-568"/>
        <w:jc w:val="both"/>
        <w:rPr>
          <w:rFonts w:ascii="Times New Roman" w:hAnsi="Times New Roman" w:cs="Times New Roman"/>
        </w:rPr>
      </w:pPr>
      <w:r>
        <w:rPr>
          <w:rFonts w:ascii="Segoe UI Symbol" w:hAnsi="Segoe UI Symbol" w:cs="Segoe UI Symbol"/>
        </w:rPr>
        <w:t xml:space="preserve">- </w:t>
      </w:r>
      <w:proofErr w:type="gramStart"/>
      <w:r w:rsidRPr="00301735">
        <w:rPr>
          <w:rFonts w:ascii="Times New Roman" w:hAnsi="Times New Roman" w:cs="Times New Roman"/>
        </w:rPr>
        <w:t>os</w:t>
      </w:r>
      <w:proofErr w:type="gramEnd"/>
      <w:r w:rsidRPr="00301735">
        <w:rPr>
          <w:rFonts w:ascii="Times New Roman" w:hAnsi="Times New Roman" w:cs="Times New Roman"/>
        </w:rPr>
        <w:t xml:space="preserve"> executados </w:t>
      </w:r>
      <w:r>
        <w:rPr>
          <w:rFonts w:ascii="Times New Roman" w:hAnsi="Times New Roman" w:cs="Times New Roman"/>
        </w:rPr>
        <w:t>...</w:t>
      </w:r>
      <w:r w:rsidRPr="00301735">
        <w:rPr>
          <w:rFonts w:ascii="Times New Roman" w:hAnsi="Times New Roman" w:cs="Times New Roman"/>
        </w:rPr>
        <w:t xml:space="preserve"> e </w:t>
      </w:r>
      <w:r>
        <w:rPr>
          <w:rFonts w:ascii="Times New Roman" w:hAnsi="Times New Roman" w:cs="Times New Roman"/>
        </w:rPr>
        <w:t>...</w:t>
      </w:r>
      <w:r w:rsidRPr="00301735">
        <w:rPr>
          <w:rFonts w:ascii="Times New Roman" w:hAnsi="Times New Roman" w:cs="Times New Roman"/>
        </w:rPr>
        <w:t xml:space="preserve"> comparecem aos autos pela “</w:t>
      </w:r>
      <w:r w:rsidRPr="00301735">
        <w:rPr>
          <w:rFonts w:ascii="Times New Roman" w:hAnsi="Times New Roman" w:cs="Times New Roman"/>
          <w:i/>
          <w:iCs/>
        </w:rPr>
        <w:t xml:space="preserve">condição de herdeiros e sucessores do falecido </w:t>
      </w:r>
      <w:r>
        <w:rPr>
          <w:rFonts w:ascii="Times New Roman" w:hAnsi="Times New Roman" w:cs="Times New Roman"/>
          <w:i/>
          <w:iCs/>
        </w:rPr>
        <w:t>...</w:t>
      </w:r>
      <w:r w:rsidRPr="00301735">
        <w:rPr>
          <w:rFonts w:ascii="Times New Roman" w:hAnsi="Times New Roman" w:cs="Times New Roman"/>
          <w:i/>
          <w:iCs/>
        </w:rPr>
        <w:t xml:space="preserve"> - esse responsável pela obrigação constituída pela sentença</w:t>
      </w:r>
      <w:r w:rsidRPr="00301735">
        <w:rPr>
          <w:rFonts w:ascii="Times New Roman" w:hAnsi="Times New Roman" w:cs="Times New Roman"/>
        </w:rPr>
        <w:t>...”;</w:t>
      </w:r>
    </w:p>
    <w:p w14:paraId="4ABDD8DA" w14:textId="6EC13472" w:rsidR="00301735" w:rsidRPr="00301735" w:rsidRDefault="00301735" w:rsidP="00301735">
      <w:pPr>
        <w:ind w:right="-568"/>
        <w:jc w:val="both"/>
        <w:rPr>
          <w:rFonts w:ascii="Times New Roman" w:hAnsi="Times New Roman" w:cs="Times New Roman"/>
        </w:rPr>
      </w:pPr>
      <w:r>
        <w:rPr>
          <w:rFonts w:ascii="Segoe UI Symbol" w:hAnsi="Segoe UI Symbol" w:cs="Segoe UI Symbol"/>
        </w:rPr>
        <w:t xml:space="preserve">- </w:t>
      </w:r>
      <w:proofErr w:type="gramStart"/>
      <w:r w:rsidRPr="00301735">
        <w:rPr>
          <w:rFonts w:ascii="Times New Roman" w:hAnsi="Times New Roman" w:cs="Times New Roman"/>
        </w:rPr>
        <w:t>em</w:t>
      </w:r>
      <w:proofErr w:type="gramEnd"/>
      <w:r w:rsidRPr="00301735">
        <w:rPr>
          <w:rFonts w:ascii="Times New Roman" w:hAnsi="Times New Roman" w:cs="Times New Roman"/>
        </w:rPr>
        <w:t xml:space="preserve"> relação aos bens deixados pelo pai “</w:t>
      </w:r>
      <w:r>
        <w:rPr>
          <w:rFonts w:ascii="Times New Roman" w:hAnsi="Times New Roman" w:cs="Times New Roman"/>
        </w:rPr>
        <w:t>...</w:t>
      </w:r>
      <w:r w:rsidRPr="00301735">
        <w:rPr>
          <w:rFonts w:ascii="Times New Roman" w:hAnsi="Times New Roman" w:cs="Times New Roman"/>
        </w:rPr>
        <w:t xml:space="preserve">”  que foram objeto do inventário do falecido e no inventário de </w:t>
      </w:r>
      <w:r>
        <w:rPr>
          <w:rFonts w:ascii="Times New Roman" w:hAnsi="Times New Roman" w:cs="Times New Roman"/>
        </w:rPr>
        <w:t>...</w:t>
      </w:r>
      <w:r w:rsidRPr="00301735">
        <w:rPr>
          <w:rFonts w:ascii="Times New Roman" w:hAnsi="Times New Roman" w:cs="Times New Roman"/>
        </w:rPr>
        <w:t xml:space="preserve"> [pai de </w:t>
      </w:r>
      <w:r>
        <w:rPr>
          <w:rFonts w:ascii="Times New Roman" w:hAnsi="Times New Roman" w:cs="Times New Roman"/>
        </w:rPr>
        <w:t>...</w:t>
      </w:r>
      <w:r w:rsidRPr="00301735">
        <w:rPr>
          <w:rFonts w:ascii="Times New Roman" w:hAnsi="Times New Roman" w:cs="Times New Roman"/>
        </w:rPr>
        <w:t xml:space="preserve"> e avó dos ora executados </w:t>
      </w:r>
      <w:r>
        <w:rPr>
          <w:rFonts w:ascii="Times New Roman" w:hAnsi="Times New Roman" w:cs="Times New Roman"/>
        </w:rPr>
        <w:t>...</w:t>
      </w:r>
      <w:r w:rsidRPr="00301735">
        <w:rPr>
          <w:rFonts w:ascii="Times New Roman" w:hAnsi="Times New Roman" w:cs="Times New Roman"/>
        </w:rPr>
        <w:t xml:space="preserve"> e </w:t>
      </w:r>
      <w:r>
        <w:rPr>
          <w:rFonts w:ascii="Times New Roman" w:hAnsi="Times New Roman" w:cs="Times New Roman"/>
        </w:rPr>
        <w:t>...</w:t>
      </w:r>
      <w:r w:rsidRPr="00301735">
        <w:rPr>
          <w:rFonts w:ascii="Times New Roman" w:hAnsi="Times New Roman" w:cs="Times New Roman"/>
        </w:rPr>
        <w:t xml:space="preserve">] foram objeto de penhora no inventário n. </w:t>
      </w:r>
      <w:r>
        <w:rPr>
          <w:rFonts w:ascii="Times New Roman" w:hAnsi="Times New Roman" w:cs="Times New Roman"/>
        </w:rPr>
        <w:t>...</w:t>
      </w:r>
      <w:r w:rsidRPr="00301735">
        <w:rPr>
          <w:rFonts w:ascii="Times New Roman" w:hAnsi="Times New Roman" w:cs="Times New Roman"/>
        </w:rPr>
        <w:t xml:space="preserve"> o quinhão hereditário a ser partilhado;</w:t>
      </w:r>
    </w:p>
    <w:p w14:paraId="3D3AC42A" w14:textId="0249A02B" w:rsidR="00301735" w:rsidRPr="00301735" w:rsidRDefault="00301735" w:rsidP="00301735">
      <w:pPr>
        <w:ind w:right="-568"/>
        <w:jc w:val="both"/>
        <w:rPr>
          <w:rFonts w:ascii="Times New Roman" w:hAnsi="Times New Roman" w:cs="Times New Roman"/>
        </w:rPr>
      </w:pPr>
      <w:r>
        <w:rPr>
          <w:rFonts w:ascii="Segoe UI Symbol" w:hAnsi="Segoe UI Symbol" w:cs="Segoe UI Symbol"/>
        </w:rPr>
        <w:t xml:space="preserve">- </w:t>
      </w:r>
      <w:proofErr w:type="gramStart"/>
      <w:r w:rsidRPr="00301735">
        <w:rPr>
          <w:rFonts w:ascii="Times New Roman" w:hAnsi="Times New Roman" w:cs="Times New Roman"/>
        </w:rPr>
        <w:t>não</w:t>
      </w:r>
      <w:proofErr w:type="gramEnd"/>
      <w:r w:rsidRPr="00301735">
        <w:rPr>
          <w:rFonts w:ascii="Times New Roman" w:hAnsi="Times New Roman" w:cs="Times New Roman"/>
        </w:rPr>
        <w:t xml:space="preserve"> há demonstração de que os herdeiros, ora executados, tivessem herdado dinheiro e, portanto, inviável ordenar-se a penhora ou qualquer medida de constrição sobre contas bancárias, porque o produto da alienação dos imóveis partilhados foi depositado em conta judicial.</w:t>
      </w:r>
    </w:p>
    <w:p w14:paraId="33AC2510" w14:textId="1F8517AE"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Para facilitar, os trechos do r. </w:t>
      </w:r>
      <w:r w:rsidRPr="00301735">
        <w:rPr>
          <w:rFonts w:ascii="Times New Roman" w:hAnsi="Times New Roman" w:cs="Times New Roman"/>
          <w:i/>
          <w:iCs/>
        </w:rPr>
        <w:t>decisum</w:t>
      </w:r>
      <w:r w:rsidRPr="00301735">
        <w:rPr>
          <w:rFonts w:ascii="Times New Roman" w:hAnsi="Times New Roman" w:cs="Times New Roman"/>
        </w:rPr>
        <w:t xml:space="preserve"> do evento </w:t>
      </w:r>
      <w:r>
        <w:rPr>
          <w:rFonts w:ascii="Times New Roman" w:hAnsi="Times New Roman" w:cs="Times New Roman"/>
        </w:rPr>
        <w:t>...</w:t>
      </w:r>
      <w:r w:rsidRPr="00301735">
        <w:rPr>
          <w:rFonts w:ascii="Times New Roman" w:hAnsi="Times New Roman" w:cs="Times New Roman"/>
        </w:rPr>
        <w:t>:</w:t>
      </w:r>
    </w:p>
    <w:p w14:paraId="782A80D6" w14:textId="18A9263C" w:rsidR="00301735" w:rsidRPr="009B0DAF" w:rsidRDefault="00301735" w:rsidP="00301735">
      <w:pPr>
        <w:ind w:right="-568"/>
        <w:jc w:val="both"/>
        <w:rPr>
          <w:rFonts w:ascii="Times New Roman" w:hAnsi="Times New Roman" w:cs="Times New Roman"/>
          <w:i/>
          <w:iCs/>
        </w:rPr>
      </w:pPr>
      <w:r w:rsidRPr="00301735">
        <w:rPr>
          <w:rFonts w:ascii="Times New Roman" w:hAnsi="Times New Roman" w:cs="Times New Roman"/>
        </w:rPr>
        <w:t>“</w:t>
      </w:r>
      <w:r w:rsidRPr="009B0DAF">
        <w:rPr>
          <w:rFonts w:ascii="Times New Roman" w:hAnsi="Times New Roman" w:cs="Times New Roman"/>
          <w:i/>
          <w:iCs/>
        </w:rPr>
        <w:t xml:space="preserve">Cumprimento de Sentença n. </w:t>
      </w:r>
      <w:r w:rsidRPr="009B0DAF">
        <w:rPr>
          <w:rFonts w:ascii="Times New Roman" w:hAnsi="Times New Roman" w:cs="Times New Roman"/>
          <w:i/>
          <w:iCs/>
        </w:rPr>
        <w:t>...</w:t>
      </w:r>
    </w:p>
    <w:p w14:paraId="639052B2" w14:textId="2C2C92FB"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DESPACHO/DECISÃO</w:t>
      </w:r>
    </w:p>
    <w:p w14:paraId="62169A02"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 xml:space="preserve">...Os executados </w:t>
      </w:r>
      <w:r w:rsidRPr="009B0DAF">
        <w:rPr>
          <w:rFonts w:ascii="Times New Roman" w:hAnsi="Times New Roman" w:cs="Times New Roman"/>
          <w:i/>
          <w:iCs/>
        </w:rPr>
        <w:t>...</w:t>
      </w:r>
      <w:r w:rsidRPr="009B0DAF">
        <w:rPr>
          <w:rFonts w:ascii="Times New Roman" w:hAnsi="Times New Roman" w:cs="Times New Roman"/>
          <w:i/>
          <w:iCs/>
        </w:rPr>
        <w:t xml:space="preserve"> e </w:t>
      </w:r>
      <w:r w:rsidRPr="009B0DAF">
        <w:rPr>
          <w:rFonts w:ascii="Times New Roman" w:hAnsi="Times New Roman" w:cs="Times New Roman"/>
          <w:i/>
          <w:iCs/>
        </w:rPr>
        <w:t>...</w:t>
      </w:r>
      <w:r w:rsidRPr="009B0DAF">
        <w:rPr>
          <w:rFonts w:ascii="Times New Roman" w:hAnsi="Times New Roman" w:cs="Times New Roman"/>
          <w:i/>
          <w:iCs/>
        </w:rPr>
        <w:t xml:space="preserve"> compareceram aos autos pela condição de herdeiros e sucessores do falecido </w:t>
      </w:r>
      <w:r w:rsidRPr="009B0DAF">
        <w:rPr>
          <w:rFonts w:ascii="Times New Roman" w:hAnsi="Times New Roman" w:cs="Times New Roman"/>
          <w:i/>
          <w:iCs/>
        </w:rPr>
        <w:t>...</w:t>
      </w:r>
      <w:r w:rsidRPr="009B0DAF">
        <w:rPr>
          <w:rFonts w:ascii="Times New Roman" w:hAnsi="Times New Roman" w:cs="Times New Roman"/>
          <w:i/>
          <w:iCs/>
        </w:rPr>
        <w:t xml:space="preserve"> – esse responsável pela obrigação constituída pela sentença – e juntaram documentos demonstrando, em essência, que a herança partilhada ficou composta por 50,53% do apartamento matrícula nº </w:t>
      </w:r>
      <w:r w:rsidRPr="009B0DAF">
        <w:rPr>
          <w:rFonts w:ascii="Times New Roman" w:hAnsi="Times New Roman" w:cs="Times New Roman"/>
          <w:i/>
          <w:iCs/>
        </w:rPr>
        <w:t>...</w:t>
      </w:r>
      <w:r w:rsidRPr="009B0DAF">
        <w:rPr>
          <w:rFonts w:ascii="Times New Roman" w:hAnsi="Times New Roman" w:cs="Times New Roman"/>
          <w:i/>
          <w:iCs/>
        </w:rPr>
        <w:t xml:space="preserve"> junto ao </w:t>
      </w:r>
      <w:r w:rsidRPr="009B0DAF">
        <w:rPr>
          <w:rFonts w:ascii="Times New Roman" w:hAnsi="Times New Roman" w:cs="Times New Roman"/>
          <w:i/>
          <w:iCs/>
        </w:rPr>
        <w:t>...</w:t>
      </w:r>
      <w:r w:rsidRPr="009B0DAF">
        <w:rPr>
          <w:rFonts w:ascii="Times New Roman" w:hAnsi="Times New Roman" w:cs="Times New Roman"/>
          <w:i/>
          <w:iCs/>
        </w:rPr>
        <w:t xml:space="preserve">ª Ofício de Registro de Imóveis e Hipotecas de </w:t>
      </w:r>
      <w:r w:rsidRPr="009B0DAF">
        <w:rPr>
          <w:rFonts w:ascii="Times New Roman" w:hAnsi="Times New Roman" w:cs="Times New Roman"/>
          <w:i/>
          <w:iCs/>
        </w:rPr>
        <w:t>...</w:t>
      </w:r>
      <w:r w:rsidRPr="009B0DAF">
        <w:rPr>
          <w:rFonts w:ascii="Times New Roman" w:hAnsi="Times New Roman" w:cs="Times New Roman"/>
          <w:i/>
          <w:iCs/>
        </w:rPr>
        <w:t xml:space="preserve">, 50,53% da vaga de garagem matrícula nº </w:t>
      </w:r>
      <w:r w:rsidRPr="009B0DAF">
        <w:rPr>
          <w:rFonts w:ascii="Times New Roman" w:hAnsi="Times New Roman" w:cs="Times New Roman"/>
          <w:i/>
          <w:iCs/>
        </w:rPr>
        <w:t>...</w:t>
      </w:r>
      <w:r w:rsidRPr="009B0DAF">
        <w:rPr>
          <w:rFonts w:ascii="Times New Roman" w:hAnsi="Times New Roman" w:cs="Times New Roman"/>
          <w:i/>
          <w:iCs/>
        </w:rPr>
        <w:t xml:space="preserve"> junto ao </w:t>
      </w:r>
      <w:r w:rsidRPr="009B0DAF">
        <w:rPr>
          <w:rFonts w:ascii="Times New Roman" w:hAnsi="Times New Roman" w:cs="Times New Roman"/>
          <w:i/>
          <w:iCs/>
        </w:rPr>
        <w:t>...</w:t>
      </w:r>
      <w:r w:rsidRPr="009B0DAF">
        <w:rPr>
          <w:rFonts w:ascii="Times New Roman" w:hAnsi="Times New Roman" w:cs="Times New Roman"/>
          <w:i/>
          <w:iCs/>
        </w:rPr>
        <w:t>Ofício De Registro de Imóveis e Hipotecas de</w:t>
      </w:r>
      <w:r w:rsidRPr="009B0DAF">
        <w:rPr>
          <w:rFonts w:ascii="Times New Roman" w:hAnsi="Times New Roman" w:cs="Times New Roman"/>
          <w:i/>
          <w:iCs/>
        </w:rPr>
        <w:t xml:space="preserve"> ...</w:t>
      </w:r>
      <w:r w:rsidRPr="009B0DAF">
        <w:rPr>
          <w:rFonts w:ascii="Times New Roman" w:hAnsi="Times New Roman" w:cs="Times New Roman"/>
          <w:i/>
          <w:iCs/>
        </w:rPr>
        <w:t xml:space="preserve">, conforme processo de inventário e partilha autuado sob nº </w:t>
      </w:r>
      <w:r w:rsidRPr="009B0DAF">
        <w:rPr>
          <w:rFonts w:ascii="Times New Roman" w:hAnsi="Times New Roman" w:cs="Times New Roman"/>
          <w:i/>
          <w:iCs/>
        </w:rPr>
        <w:t>...</w:t>
      </w:r>
    </w:p>
    <w:p w14:paraId="7CFE3903" w14:textId="181F1845"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lastRenderedPageBreak/>
        <w:t>Esses imóveis recebidos no processo de inventário e partilha foram alienados e os executados juntaram contrato particular de compra e venda e cessão de direitos, reconhecendo a quitação pelo promitente comprador, cujo produto da alienação foi depositado em conta judicial em favor do exequente. Não há impugnação em relação à promessa de compra e venda e ao montante obtido pelos executados....</w:t>
      </w:r>
    </w:p>
    <w:p w14:paraId="4663D219" w14:textId="587B45D3"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 xml:space="preserve">Formalizada a partilha, os executados relataram a descoberta de outros imóveis, a saber: lote com matrícula nº </w:t>
      </w:r>
      <w:r w:rsidRPr="009B0DAF">
        <w:rPr>
          <w:rFonts w:ascii="Times New Roman" w:hAnsi="Times New Roman" w:cs="Times New Roman"/>
          <w:i/>
          <w:iCs/>
        </w:rPr>
        <w:t>...</w:t>
      </w:r>
      <w:r w:rsidRPr="009B0DAF">
        <w:rPr>
          <w:rFonts w:ascii="Times New Roman" w:hAnsi="Times New Roman" w:cs="Times New Roman"/>
          <w:i/>
          <w:iCs/>
        </w:rPr>
        <w:t xml:space="preserve"> junto ao </w:t>
      </w:r>
      <w:r w:rsidRPr="009B0DAF">
        <w:rPr>
          <w:rFonts w:ascii="Times New Roman" w:hAnsi="Times New Roman" w:cs="Times New Roman"/>
          <w:i/>
          <w:iCs/>
        </w:rPr>
        <w:t>...</w:t>
      </w:r>
      <w:r w:rsidRPr="009B0DAF">
        <w:rPr>
          <w:rFonts w:ascii="Times New Roman" w:hAnsi="Times New Roman" w:cs="Times New Roman"/>
          <w:i/>
          <w:iCs/>
        </w:rPr>
        <w:t xml:space="preserve">ª Ofício de Registro de Imóveis e Hipotecas de </w:t>
      </w:r>
      <w:r w:rsidRPr="009B0DAF">
        <w:rPr>
          <w:rFonts w:ascii="Times New Roman" w:hAnsi="Times New Roman" w:cs="Times New Roman"/>
          <w:i/>
          <w:iCs/>
        </w:rPr>
        <w:t>...</w:t>
      </w:r>
      <w:r w:rsidRPr="009B0DAF">
        <w:rPr>
          <w:rFonts w:ascii="Times New Roman" w:hAnsi="Times New Roman" w:cs="Times New Roman"/>
          <w:i/>
          <w:iCs/>
        </w:rPr>
        <w:t xml:space="preserve">; e lote com matrícula nº </w:t>
      </w:r>
      <w:r w:rsidRPr="009B0DAF">
        <w:rPr>
          <w:rFonts w:ascii="Times New Roman" w:hAnsi="Times New Roman" w:cs="Times New Roman"/>
          <w:i/>
          <w:iCs/>
        </w:rPr>
        <w:t>...</w:t>
      </w:r>
      <w:r w:rsidRPr="009B0DAF">
        <w:rPr>
          <w:rFonts w:ascii="Times New Roman" w:hAnsi="Times New Roman" w:cs="Times New Roman"/>
          <w:i/>
          <w:iCs/>
        </w:rPr>
        <w:t xml:space="preserve"> junto ao </w:t>
      </w:r>
      <w:r w:rsidRPr="009B0DAF">
        <w:rPr>
          <w:rFonts w:ascii="Times New Roman" w:hAnsi="Times New Roman" w:cs="Times New Roman"/>
          <w:i/>
          <w:iCs/>
        </w:rPr>
        <w:t>...</w:t>
      </w:r>
      <w:r w:rsidRPr="009B0DAF">
        <w:rPr>
          <w:rFonts w:ascii="Times New Roman" w:hAnsi="Times New Roman" w:cs="Times New Roman"/>
          <w:i/>
          <w:iCs/>
        </w:rPr>
        <w:t xml:space="preserve">ª Ofício de Registro de Imóveis e Hipotecas de </w:t>
      </w:r>
      <w:r w:rsidRPr="009B0DAF">
        <w:rPr>
          <w:rFonts w:ascii="Times New Roman" w:hAnsi="Times New Roman" w:cs="Times New Roman"/>
          <w:i/>
          <w:iCs/>
        </w:rPr>
        <w:t>...</w:t>
      </w:r>
      <w:r w:rsidRPr="009B0DAF">
        <w:rPr>
          <w:rFonts w:ascii="Times New Roman" w:hAnsi="Times New Roman" w:cs="Times New Roman"/>
          <w:i/>
          <w:iCs/>
        </w:rPr>
        <w:t xml:space="preserve">, ambos ainda não partilhados, que lhes compete na proporção de 50% [25% para cada herdeiro], ressalvada a meação.... </w:t>
      </w:r>
    </w:p>
    <w:p w14:paraId="0A0EF679" w14:textId="541BF7F9"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 xml:space="preserve">Está em tramitação, ainda, o processo de inventário e partilha dos bens deixados pelo falecimento de </w:t>
      </w:r>
      <w:r w:rsidRPr="009B0DAF">
        <w:rPr>
          <w:rFonts w:ascii="Times New Roman" w:hAnsi="Times New Roman" w:cs="Times New Roman"/>
          <w:i/>
          <w:iCs/>
        </w:rPr>
        <w:t>...</w:t>
      </w:r>
      <w:r w:rsidRPr="009B0DAF">
        <w:rPr>
          <w:rFonts w:ascii="Times New Roman" w:hAnsi="Times New Roman" w:cs="Times New Roman"/>
          <w:i/>
          <w:iCs/>
        </w:rPr>
        <w:t xml:space="preserve">, mãe do falecido </w:t>
      </w:r>
      <w:r w:rsidRPr="009B0DAF">
        <w:rPr>
          <w:rFonts w:ascii="Times New Roman" w:hAnsi="Times New Roman" w:cs="Times New Roman"/>
          <w:i/>
          <w:iCs/>
        </w:rPr>
        <w:t>...</w:t>
      </w:r>
      <w:r w:rsidRPr="009B0DAF">
        <w:rPr>
          <w:rFonts w:ascii="Times New Roman" w:hAnsi="Times New Roman" w:cs="Times New Roman"/>
          <w:i/>
          <w:iCs/>
        </w:rPr>
        <w:t xml:space="preserve">, objeto dos autos nº </w:t>
      </w:r>
      <w:r w:rsidRPr="009B0DAF">
        <w:rPr>
          <w:rFonts w:ascii="Times New Roman" w:hAnsi="Times New Roman" w:cs="Times New Roman"/>
          <w:i/>
          <w:iCs/>
        </w:rPr>
        <w:t>...</w:t>
      </w:r>
    </w:p>
    <w:p w14:paraId="0360459B" w14:textId="5004DD81"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 xml:space="preserve">Não há demonstração de que os herdeiros, ora executados, tivessem herdado dinheiro e, portanto, inviável ordenar-se a penhora ou qualquer medida de constrição sobre contas bancárias, porque o produto da alienação dos imóveis partilhados foi depositado em conta judicial. </w:t>
      </w:r>
    </w:p>
    <w:p w14:paraId="7FC24423" w14:textId="65B273BB"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Nesse sentido, "em caso de falecimento do devedor, após o ajuizamento da execução, respondem pelo pagamento dos tributos devidos o espólio de ou seus sucessores. Aberta a sucessão, o executado é o espólio, sobre o qual recai a responsabilidade patrimonial imputada ao de cujus. Os sucessores passam a responder pelo débito somente após a partilha, na proporção do quinhão recebido da herança. Hipótese em que se afigura ilegal a penhora eletrônica em dinheiro na conta corrente dos herdeiros" (TJRS, agravo de instrumento n° 70062667944, de Caxias do Sul, rel. Des. Maria Isabel de Azevedo Souza, j. 4/3/2015).</w:t>
      </w:r>
    </w:p>
    <w:p w14:paraId="3A6C914B" w14:textId="2ABD975F"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Sem que os herdeiros tivessem recebido dinheiro como herança ou o proveito</w:t>
      </w:r>
      <w:r w:rsidRPr="009B0DAF">
        <w:rPr>
          <w:rFonts w:ascii="Times New Roman" w:hAnsi="Times New Roman" w:cs="Times New Roman"/>
          <w:i/>
          <w:iCs/>
        </w:rPr>
        <w:t xml:space="preserve"> </w:t>
      </w:r>
      <w:r w:rsidRPr="009B0DAF">
        <w:rPr>
          <w:rFonts w:ascii="Times New Roman" w:hAnsi="Times New Roman" w:cs="Times New Roman"/>
          <w:i/>
          <w:iCs/>
        </w:rPr>
        <w:t>em dinheiro de outros bens alienados, inviável que a penhora lhes atinja contas bancárias para satisfação do credor.</w:t>
      </w:r>
    </w:p>
    <w:p w14:paraId="38047A04" w14:textId="53DB01FC"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 xml:space="preserve">Então, não seria possível exigir que os herdeiros depositassem o saldo remanescente do débito com recursos próprios, em moeda, porque o remanescente do patrimônio que lhes cabe é representado por bens imóveis e ainda está pendente de partilha, constituído por 50% de dois imóveis e pelo quinhão hereditário do falecido </w:t>
      </w:r>
      <w:r w:rsidRPr="009B0DAF">
        <w:rPr>
          <w:rFonts w:ascii="Times New Roman" w:hAnsi="Times New Roman" w:cs="Times New Roman"/>
          <w:i/>
          <w:iCs/>
        </w:rPr>
        <w:t>...</w:t>
      </w:r>
      <w:r w:rsidRPr="009B0DAF">
        <w:rPr>
          <w:rFonts w:ascii="Times New Roman" w:hAnsi="Times New Roman" w:cs="Times New Roman"/>
          <w:i/>
          <w:iCs/>
        </w:rPr>
        <w:t xml:space="preserve">, objeto dos autos n° </w:t>
      </w:r>
      <w:r w:rsidRPr="009B0DAF">
        <w:rPr>
          <w:rFonts w:ascii="Times New Roman" w:hAnsi="Times New Roman" w:cs="Times New Roman"/>
          <w:i/>
          <w:iCs/>
        </w:rPr>
        <w:t>...</w:t>
      </w:r>
    </w:p>
    <w:p w14:paraId="3ACE4082" w14:textId="5BF88A42"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 xml:space="preserve">O devedor originário da obrigação </w:t>
      </w:r>
      <w:r w:rsidRPr="009B0DAF">
        <w:rPr>
          <w:rFonts w:ascii="Times New Roman" w:hAnsi="Times New Roman" w:cs="Times New Roman"/>
          <w:i/>
          <w:iCs/>
        </w:rPr>
        <w:t>...</w:t>
      </w:r>
      <w:r w:rsidRPr="009B0DAF">
        <w:rPr>
          <w:rFonts w:ascii="Times New Roman" w:hAnsi="Times New Roman" w:cs="Times New Roman"/>
          <w:i/>
          <w:iCs/>
        </w:rPr>
        <w:t xml:space="preserve"> consta da relação de herdeiros dos autos do inventário e partilha n° </w:t>
      </w:r>
      <w:r w:rsidRPr="009B0DAF">
        <w:rPr>
          <w:rFonts w:ascii="Times New Roman" w:hAnsi="Times New Roman" w:cs="Times New Roman"/>
          <w:i/>
          <w:iCs/>
        </w:rPr>
        <w:t>...</w:t>
      </w:r>
      <w:r w:rsidRPr="009B0DAF">
        <w:rPr>
          <w:rFonts w:ascii="Times New Roman" w:hAnsi="Times New Roman" w:cs="Times New Roman"/>
          <w:i/>
          <w:iCs/>
        </w:rPr>
        <w:t>, estando os seus filhos sucedendo por estirpe. Portanto, é possível a penhora do quinhão hereditário a ser partilhado, mediante penhora no rosto dos autos perante o Juízo da Vara da Família e Sucessões da Comarca.</w:t>
      </w:r>
    </w:p>
    <w:p w14:paraId="158D9751"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Com efeito, o art. 860 do CPC dispõe que "quando o direito estiver sendo pleiteado em juízo, a penhora que recair sobre ele será averbada, com destaque, nos autos pertinentes ao direito e na ação correspondente à penhora, a fim de que esta seja efetivada nos bens que forem adjudicados ou que vierem a caber ao executado".</w:t>
      </w:r>
    </w:p>
    <w:p w14:paraId="73F2BAF7" w14:textId="77777777" w:rsidR="00301735" w:rsidRPr="009B0DAF" w:rsidRDefault="00301735" w:rsidP="00301735">
      <w:pPr>
        <w:ind w:right="-568"/>
        <w:jc w:val="both"/>
        <w:rPr>
          <w:rFonts w:ascii="Times New Roman" w:hAnsi="Times New Roman" w:cs="Times New Roman"/>
          <w:i/>
          <w:iCs/>
        </w:rPr>
      </w:pPr>
    </w:p>
    <w:p w14:paraId="6A5AD316" w14:textId="0E57781C"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lastRenderedPageBreak/>
        <w:t xml:space="preserve">Defiro o pedido do credor e determino a penhora do quinhão hereditário de titularidade dos herdeiros </w:t>
      </w:r>
      <w:r w:rsidRPr="009B0DAF">
        <w:rPr>
          <w:rFonts w:ascii="Times New Roman" w:hAnsi="Times New Roman" w:cs="Times New Roman"/>
          <w:i/>
          <w:iCs/>
        </w:rPr>
        <w:t>...</w:t>
      </w:r>
      <w:r w:rsidRPr="009B0DAF">
        <w:rPr>
          <w:rFonts w:ascii="Times New Roman" w:hAnsi="Times New Roman" w:cs="Times New Roman"/>
          <w:i/>
          <w:iCs/>
        </w:rPr>
        <w:t xml:space="preserve"> e </w:t>
      </w:r>
      <w:r w:rsidRPr="009B0DAF">
        <w:rPr>
          <w:rFonts w:ascii="Times New Roman" w:hAnsi="Times New Roman" w:cs="Times New Roman"/>
          <w:i/>
          <w:iCs/>
        </w:rPr>
        <w:t>...</w:t>
      </w:r>
      <w:r w:rsidRPr="009B0DAF">
        <w:rPr>
          <w:rFonts w:ascii="Times New Roman" w:hAnsi="Times New Roman" w:cs="Times New Roman"/>
          <w:i/>
          <w:iCs/>
        </w:rPr>
        <w:t xml:space="preserve"> em relação à ação de inventário e partilha n° </w:t>
      </w:r>
      <w:r w:rsidRPr="009B0DAF">
        <w:rPr>
          <w:rFonts w:ascii="Times New Roman" w:hAnsi="Times New Roman" w:cs="Times New Roman"/>
          <w:i/>
          <w:iCs/>
        </w:rPr>
        <w:t>...</w:t>
      </w:r>
      <w:r w:rsidRPr="009B0DAF">
        <w:rPr>
          <w:rFonts w:ascii="Times New Roman" w:hAnsi="Times New Roman" w:cs="Times New Roman"/>
          <w:i/>
          <w:iCs/>
        </w:rPr>
        <w:t xml:space="preserve">, que tramita no Juízo da Vara da Família e Sucessões da Comarca de </w:t>
      </w:r>
      <w:r w:rsidRPr="009B0DAF">
        <w:rPr>
          <w:rFonts w:ascii="Times New Roman" w:hAnsi="Times New Roman" w:cs="Times New Roman"/>
          <w:i/>
          <w:iCs/>
        </w:rPr>
        <w:t>...</w:t>
      </w:r>
      <w:r w:rsidRPr="009B0DAF">
        <w:rPr>
          <w:rFonts w:ascii="Times New Roman" w:hAnsi="Times New Roman" w:cs="Times New Roman"/>
          <w:i/>
          <w:iCs/>
        </w:rPr>
        <w:t>, nos termos do art. 860 do CPC, até o limite do saldo devedor.</w:t>
      </w:r>
    </w:p>
    <w:p w14:paraId="57B7B2D3" w14:textId="29013412"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 xml:space="preserve">Para tanto, expeça-se ofício ao Juízo da Vara da Família e Sucessões da Comarca de </w:t>
      </w:r>
      <w:r w:rsidRPr="009B0DAF">
        <w:rPr>
          <w:rFonts w:ascii="Times New Roman" w:hAnsi="Times New Roman" w:cs="Times New Roman"/>
          <w:i/>
          <w:iCs/>
        </w:rPr>
        <w:t>...</w:t>
      </w:r>
      <w:r w:rsidRPr="009B0DAF">
        <w:rPr>
          <w:rFonts w:ascii="Times New Roman" w:hAnsi="Times New Roman" w:cs="Times New Roman"/>
          <w:i/>
          <w:iCs/>
        </w:rPr>
        <w:t>, para cumprimento da ordem de penhora no rosto dos autos.</w:t>
      </w:r>
    </w:p>
    <w:p w14:paraId="3D543BBE"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Em relação à fração de 50% dos imóveis de propriedade do falecido e ainda não partilhados, viável a penhora direta, porque não há sobrepartilha ajuizada pelos herdeiros ou por terceiro com legitimidade concorrente [CPC, art. 616, VI].</w:t>
      </w:r>
    </w:p>
    <w:p w14:paraId="4D21045D" w14:textId="50E8D682" w:rsidR="00301735" w:rsidRPr="00301735" w:rsidRDefault="00301735" w:rsidP="009B0DAF">
      <w:pPr>
        <w:ind w:right="-568"/>
        <w:jc w:val="both"/>
        <w:rPr>
          <w:rFonts w:ascii="Times New Roman" w:hAnsi="Times New Roman" w:cs="Times New Roman"/>
        </w:rPr>
      </w:pPr>
      <w:r w:rsidRPr="009B0DAF">
        <w:rPr>
          <w:rFonts w:ascii="Times New Roman" w:hAnsi="Times New Roman" w:cs="Times New Roman"/>
          <w:i/>
          <w:iCs/>
        </w:rPr>
        <w:t>...</w:t>
      </w:r>
      <w:r w:rsidRPr="009B0DAF">
        <w:rPr>
          <w:rFonts w:ascii="Times New Roman" w:hAnsi="Times New Roman" w:cs="Times New Roman"/>
          <w:i/>
          <w:iCs/>
        </w:rPr>
        <w:t>”</w:t>
      </w:r>
      <w:r w:rsidR="009B0DAF">
        <w:rPr>
          <w:rFonts w:ascii="Times New Roman" w:hAnsi="Times New Roman" w:cs="Times New Roman"/>
        </w:rPr>
        <w:t xml:space="preserve"> </w:t>
      </w:r>
      <w:r w:rsidRPr="00301735">
        <w:rPr>
          <w:rFonts w:ascii="Times New Roman" w:hAnsi="Times New Roman" w:cs="Times New Roman"/>
        </w:rPr>
        <w:t>[doc.</w:t>
      </w:r>
      <w:r w:rsidR="009B0DAF">
        <w:rPr>
          <w:rFonts w:ascii="Times New Roman" w:hAnsi="Times New Roman" w:cs="Times New Roman"/>
        </w:rPr>
        <w:t xml:space="preserve"> n. ...</w:t>
      </w:r>
      <w:r w:rsidRPr="00301735">
        <w:rPr>
          <w:rFonts w:ascii="Times New Roman" w:hAnsi="Times New Roman" w:cs="Times New Roman"/>
        </w:rPr>
        <w:t>]</w:t>
      </w:r>
    </w:p>
    <w:p w14:paraId="7FF742AF" w14:textId="77777777" w:rsidR="00301735" w:rsidRPr="009B0DAF" w:rsidRDefault="00301735" w:rsidP="00301735">
      <w:pPr>
        <w:ind w:right="-568"/>
        <w:jc w:val="both"/>
        <w:rPr>
          <w:rFonts w:ascii="Times New Roman" w:hAnsi="Times New Roman" w:cs="Times New Roman"/>
          <w:b/>
          <w:bCs/>
        </w:rPr>
      </w:pPr>
      <w:r w:rsidRPr="00301735">
        <w:rPr>
          <w:rFonts w:ascii="Times New Roman" w:hAnsi="Times New Roman" w:cs="Times New Roman"/>
        </w:rPr>
        <w:t xml:space="preserve"> </w:t>
      </w:r>
      <w:r w:rsidRPr="009B0DAF">
        <w:rPr>
          <w:rFonts w:ascii="Times New Roman" w:hAnsi="Times New Roman" w:cs="Times New Roman"/>
          <w:b/>
          <w:bCs/>
        </w:rPr>
        <w:t>OS HERDEIROS/EXECUTADOS NÃO RESPONDEM POR ENCARGOS SUPERIORES ÀS FORÇAS DA HERANÇA</w:t>
      </w:r>
    </w:p>
    <w:p w14:paraId="4BC638A5" w14:textId="62FEB0E3"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O r. despacho do evento </w:t>
      </w:r>
      <w:r w:rsidR="009B0DAF">
        <w:rPr>
          <w:rFonts w:ascii="Times New Roman" w:hAnsi="Times New Roman" w:cs="Times New Roman"/>
        </w:rPr>
        <w:t>...</w:t>
      </w:r>
      <w:r w:rsidRPr="00301735">
        <w:rPr>
          <w:rFonts w:ascii="Times New Roman" w:hAnsi="Times New Roman" w:cs="Times New Roman"/>
        </w:rPr>
        <w:t xml:space="preserve"> ratificou no tópico II que foi “</w:t>
      </w:r>
      <w:r w:rsidRPr="009B0DAF">
        <w:rPr>
          <w:rFonts w:ascii="Times New Roman" w:hAnsi="Times New Roman" w:cs="Times New Roman"/>
          <w:i/>
          <w:iCs/>
        </w:rPr>
        <w:t xml:space="preserve">Deferida a penhora no rosto dos autos n. </w:t>
      </w:r>
      <w:r w:rsidR="009B0DAF" w:rsidRPr="009B0DAF">
        <w:rPr>
          <w:rFonts w:ascii="Times New Roman" w:hAnsi="Times New Roman" w:cs="Times New Roman"/>
          <w:i/>
          <w:iCs/>
        </w:rPr>
        <w:t>...</w:t>
      </w:r>
      <w:r w:rsidRPr="009B0DAF">
        <w:rPr>
          <w:rFonts w:ascii="Times New Roman" w:hAnsi="Times New Roman" w:cs="Times New Roman"/>
          <w:i/>
          <w:iCs/>
        </w:rPr>
        <w:t xml:space="preserve"> (evento </w:t>
      </w:r>
      <w:r w:rsidR="009B0DAF" w:rsidRPr="009B0DAF">
        <w:rPr>
          <w:rFonts w:ascii="Times New Roman" w:hAnsi="Times New Roman" w:cs="Times New Roman"/>
          <w:i/>
          <w:iCs/>
        </w:rPr>
        <w:t>...</w:t>
      </w:r>
      <w:r w:rsidRPr="009B0DAF">
        <w:rPr>
          <w:rFonts w:ascii="Times New Roman" w:hAnsi="Times New Roman" w:cs="Times New Roman"/>
          <w:i/>
          <w:iCs/>
        </w:rPr>
        <w:t xml:space="preserve">), em trâmite perante o Juízo da Vara da Família da comarca de </w:t>
      </w:r>
      <w:r w:rsidR="009B0DAF">
        <w:rPr>
          <w:rFonts w:ascii="Times New Roman" w:hAnsi="Times New Roman" w:cs="Times New Roman"/>
          <w:i/>
          <w:iCs/>
        </w:rPr>
        <w:t>...</w:t>
      </w:r>
      <w:r w:rsidRPr="009B0DAF">
        <w:rPr>
          <w:rFonts w:ascii="Times New Roman" w:hAnsi="Times New Roman" w:cs="Times New Roman"/>
          <w:i/>
          <w:iCs/>
        </w:rPr>
        <w:t xml:space="preserve"> e formalizada a constrição</w:t>
      </w:r>
      <w:r w:rsidRPr="00301735">
        <w:rPr>
          <w:rFonts w:ascii="Times New Roman" w:hAnsi="Times New Roman" w:cs="Times New Roman"/>
        </w:rPr>
        <w:t>”.</w:t>
      </w:r>
    </w:p>
    <w:p w14:paraId="2D070204" w14:textId="398DE7E3"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Ainda no r. despacho do evento </w:t>
      </w:r>
      <w:r w:rsidR="009B0DAF">
        <w:rPr>
          <w:rFonts w:ascii="Times New Roman" w:hAnsi="Times New Roman" w:cs="Times New Roman"/>
        </w:rPr>
        <w:t>...</w:t>
      </w:r>
      <w:r w:rsidRPr="00301735">
        <w:rPr>
          <w:rFonts w:ascii="Times New Roman" w:hAnsi="Times New Roman" w:cs="Times New Roman"/>
        </w:rPr>
        <w:t>foi deferida a consulta dos bens do “</w:t>
      </w:r>
      <w:r w:rsidRPr="009B0DAF">
        <w:rPr>
          <w:rFonts w:ascii="Times New Roman" w:hAnsi="Times New Roman" w:cs="Times New Roman"/>
          <w:i/>
          <w:iCs/>
        </w:rPr>
        <w:t>devedor</w:t>
      </w:r>
      <w:r w:rsidRPr="00301735">
        <w:rPr>
          <w:rFonts w:ascii="Times New Roman" w:hAnsi="Times New Roman" w:cs="Times New Roman"/>
        </w:rPr>
        <w:t xml:space="preserve">” [singular] pelos sistemas </w:t>
      </w:r>
      <w:proofErr w:type="spellStart"/>
      <w:r w:rsidRPr="00301735">
        <w:rPr>
          <w:rFonts w:ascii="Times New Roman" w:hAnsi="Times New Roman" w:cs="Times New Roman"/>
        </w:rPr>
        <w:t>Renajud</w:t>
      </w:r>
      <w:proofErr w:type="spellEnd"/>
      <w:r w:rsidRPr="00301735">
        <w:rPr>
          <w:rFonts w:ascii="Times New Roman" w:hAnsi="Times New Roman" w:cs="Times New Roman"/>
        </w:rPr>
        <w:t xml:space="preserve"> e </w:t>
      </w:r>
      <w:proofErr w:type="spellStart"/>
      <w:r w:rsidRPr="00301735">
        <w:rPr>
          <w:rFonts w:ascii="Times New Roman" w:hAnsi="Times New Roman" w:cs="Times New Roman"/>
        </w:rPr>
        <w:t>Infojud</w:t>
      </w:r>
      <w:proofErr w:type="spellEnd"/>
      <w:r w:rsidRPr="00301735">
        <w:rPr>
          <w:rFonts w:ascii="Times New Roman" w:hAnsi="Times New Roman" w:cs="Times New Roman"/>
        </w:rPr>
        <w:t>, referindo-se exclusivamente ao coexecutado “</w:t>
      </w:r>
      <w:r w:rsidR="009B0DAF">
        <w:rPr>
          <w:rFonts w:ascii="Times New Roman" w:hAnsi="Times New Roman" w:cs="Times New Roman"/>
        </w:rPr>
        <w:t>...</w:t>
      </w:r>
      <w:r w:rsidRPr="00301735">
        <w:rPr>
          <w:rFonts w:ascii="Times New Roman" w:hAnsi="Times New Roman" w:cs="Times New Roman"/>
        </w:rPr>
        <w:t>”.</w:t>
      </w:r>
    </w:p>
    <w:p w14:paraId="6F305425" w14:textId="3A4D36D1"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Entretanto, a pesquisa se estendeu às pessoas físicas dos executados </w:t>
      </w:r>
      <w:r w:rsidR="009B0DAF">
        <w:rPr>
          <w:rFonts w:ascii="Times New Roman" w:hAnsi="Times New Roman" w:cs="Times New Roman"/>
        </w:rPr>
        <w:t>...</w:t>
      </w:r>
      <w:r w:rsidRPr="00301735">
        <w:rPr>
          <w:rFonts w:ascii="Times New Roman" w:hAnsi="Times New Roman" w:cs="Times New Roman"/>
        </w:rPr>
        <w:t xml:space="preserve"> e </w:t>
      </w:r>
      <w:r w:rsidR="009B0DAF">
        <w:rPr>
          <w:rFonts w:ascii="Times New Roman" w:hAnsi="Times New Roman" w:cs="Times New Roman"/>
        </w:rPr>
        <w:t>...</w:t>
      </w:r>
      <w:r w:rsidRPr="00301735">
        <w:rPr>
          <w:rFonts w:ascii="Times New Roman" w:hAnsi="Times New Roman" w:cs="Times New Roman"/>
        </w:rPr>
        <w:t xml:space="preserve">, conforme se verifica dos documentos juntados nos eventos </w:t>
      </w:r>
      <w:r w:rsidR="009B0DAF">
        <w:rPr>
          <w:rFonts w:ascii="Times New Roman" w:hAnsi="Times New Roman" w:cs="Times New Roman"/>
        </w:rPr>
        <w:t>...</w:t>
      </w:r>
    </w:p>
    <w:p w14:paraId="56E79C55" w14:textId="720B0D90"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Indispensável esse registro, pois nos eventos </w:t>
      </w:r>
      <w:r w:rsidR="009B0DAF">
        <w:rPr>
          <w:rFonts w:ascii="Times New Roman" w:hAnsi="Times New Roman" w:cs="Times New Roman"/>
        </w:rPr>
        <w:t>...</w:t>
      </w:r>
      <w:r w:rsidRPr="00301735">
        <w:rPr>
          <w:rFonts w:ascii="Times New Roman" w:hAnsi="Times New Roman" w:cs="Times New Roman"/>
        </w:rPr>
        <w:t xml:space="preserve"> foram informados veículos registrados e de propriedade dos executados </w:t>
      </w:r>
      <w:r w:rsidR="009B0DAF">
        <w:rPr>
          <w:rFonts w:ascii="Times New Roman" w:hAnsi="Times New Roman" w:cs="Times New Roman"/>
        </w:rPr>
        <w:t>...</w:t>
      </w:r>
      <w:r w:rsidRPr="00301735">
        <w:rPr>
          <w:rFonts w:ascii="Times New Roman" w:hAnsi="Times New Roman" w:cs="Times New Roman"/>
        </w:rPr>
        <w:t xml:space="preserve"> e </w:t>
      </w:r>
      <w:r w:rsidR="009B0DAF">
        <w:rPr>
          <w:rFonts w:ascii="Times New Roman" w:hAnsi="Times New Roman" w:cs="Times New Roman"/>
        </w:rPr>
        <w:t>...</w:t>
      </w:r>
      <w:r w:rsidRPr="00301735">
        <w:rPr>
          <w:rFonts w:ascii="Times New Roman" w:hAnsi="Times New Roman" w:cs="Times New Roman"/>
        </w:rPr>
        <w:t>, adquiridos recentemente, que, evidentemente, não poderão ser objeto de penhora para garantia de pagamento de dívidas do falecido pai, pois não foram objeto do inventário do falecido progenitor.</w:t>
      </w:r>
    </w:p>
    <w:p w14:paraId="0AA86C0E" w14:textId="7C0BD402"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Prescreve a Lei Substantiva Civil que os herdeiros não respondem por encargos superiores às forças da herança [CC, art. 1.792]; a herança responde pelo pagamento das dívidas do falecido [CC, art. 1.797] e feita a partilha o herdeiro responde pelas dívidas dentro das forças da herança e na proporção da parte que lhe coube, </w:t>
      </w:r>
      <w:r w:rsidRPr="009B0DAF">
        <w:rPr>
          <w:rFonts w:ascii="Times New Roman" w:hAnsi="Times New Roman" w:cs="Times New Roman"/>
          <w:i/>
          <w:iCs/>
        </w:rPr>
        <w:t xml:space="preserve">in </w:t>
      </w:r>
      <w:proofErr w:type="spellStart"/>
      <w:r w:rsidRPr="009B0DAF">
        <w:rPr>
          <w:rFonts w:ascii="Times New Roman" w:hAnsi="Times New Roman" w:cs="Times New Roman"/>
          <w:i/>
          <w:iCs/>
        </w:rPr>
        <w:t>verbis</w:t>
      </w:r>
      <w:proofErr w:type="spellEnd"/>
      <w:r w:rsidRPr="00301735">
        <w:rPr>
          <w:rFonts w:ascii="Times New Roman" w:hAnsi="Times New Roman" w:cs="Times New Roman"/>
        </w:rPr>
        <w:t>:</w:t>
      </w:r>
    </w:p>
    <w:p w14:paraId="6C5027A5" w14:textId="6CD14F5A"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CC, art. 1.792 - O herdeiro não responde por encargos superiores às forças da herança; incumbe-lhe, porém, a prova do excesso, salvo se houver inventário que a escuse, demostrando o valor dos bens herdados.</w:t>
      </w:r>
    </w:p>
    <w:p w14:paraId="608A204B" w14:textId="34DE2F00"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CC, art. 1.997 - A herança responde pelo pagamento das dívidas do falecido; mas, feita a partilha, só respondem os herdeiros, cada qual em proporção da parte que na herança lhe coube.</w:t>
      </w:r>
    </w:p>
    <w:p w14:paraId="2D812AD4" w14:textId="4ABDDDDA" w:rsidR="00301735" w:rsidRPr="00301735" w:rsidRDefault="00301735" w:rsidP="00301735">
      <w:pPr>
        <w:ind w:right="-568"/>
        <w:jc w:val="both"/>
        <w:rPr>
          <w:rFonts w:ascii="Times New Roman" w:hAnsi="Times New Roman" w:cs="Times New Roman"/>
        </w:rPr>
      </w:pPr>
      <w:r w:rsidRPr="009B0DAF">
        <w:rPr>
          <w:rFonts w:ascii="Times New Roman" w:hAnsi="Times New Roman" w:cs="Times New Roman"/>
          <w:i/>
          <w:iCs/>
        </w:rPr>
        <w:t>CPC, art. 796 - O espólio responde pelas dívidas do falecido, mas, feita a partilha, cada herdeiro responde por elas dentro das forças da herança e na proporção da parte que lhe coube</w:t>
      </w:r>
      <w:r w:rsidRPr="00301735">
        <w:rPr>
          <w:rFonts w:ascii="Times New Roman" w:hAnsi="Times New Roman" w:cs="Times New Roman"/>
        </w:rPr>
        <w:t>.</w:t>
      </w:r>
    </w:p>
    <w:p w14:paraId="4F54CD73" w14:textId="70F4DFA4"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No ponto:</w:t>
      </w:r>
    </w:p>
    <w:p w14:paraId="59C3DB23" w14:textId="77777777" w:rsidR="009B0DAF" w:rsidRPr="009B0DAF" w:rsidRDefault="009B0DAF" w:rsidP="00301735">
      <w:pPr>
        <w:ind w:right="-568"/>
        <w:jc w:val="both"/>
        <w:rPr>
          <w:rFonts w:ascii="Times New Roman" w:hAnsi="Times New Roman" w:cs="Times New Roman"/>
          <w:i/>
          <w:iCs/>
        </w:rPr>
      </w:pPr>
      <w:r>
        <w:rPr>
          <w:rFonts w:ascii="Times New Roman" w:hAnsi="Times New Roman" w:cs="Times New Roman"/>
        </w:rPr>
        <w:lastRenderedPageBreak/>
        <w:t>“</w:t>
      </w:r>
      <w:r w:rsidR="00301735" w:rsidRPr="009B0DAF">
        <w:rPr>
          <w:rFonts w:ascii="Times New Roman" w:hAnsi="Times New Roman" w:cs="Times New Roman"/>
          <w:i/>
          <w:iCs/>
        </w:rPr>
        <w:t>DIREITO CIVIL E PROCESSUAL CIVIL. AGRAVO DE INSTRUMENTO. CUMPRIMENTO DE SENTENÇA DECORRENTE DE AÇÃO MONITÓRIA. EXCEÇÃO DE PRÉ-EXECUTIVIDADE. ESPÓLIO. ENCERRAMENTO DO INVENTÁRIO. LEGITIMIDADE PASSIVA. RESPONSABILIDADE DOS HERDEIROS. LIMITAÇÃO AO QUINHÃO HEREDITÁRIO. PRESCRIÇÃO INTERCORRENTE. INOCORRÊNCIA. RECURSO DESPROVIDO.</w:t>
      </w:r>
      <w:r w:rsidRPr="009B0DAF">
        <w:rPr>
          <w:rFonts w:ascii="Times New Roman" w:hAnsi="Times New Roman" w:cs="Times New Roman"/>
          <w:i/>
          <w:iCs/>
        </w:rPr>
        <w:t xml:space="preserve"> </w:t>
      </w:r>
      <w:r w:rsidR="00301735" w:rsidRPr="009B0DAF">
        <w:rPr>
          <w:rFonts w:ascii="Times New Roman" w:hAnsi="Times New Roman" w:cs="Times New Roman"/>
          <w:i/>
          <w:iCs/>
        </w:rPr>
        <w:t>I. Caso em exame</w:t>
      </w:r>
      <w:r w:rsidRPr="009B0DAF">
        <w:rPr>
          <w:rFonts w:ascii="Times New Roman" w:hAnsi="Times New Roman" w:cs="Times New Roman"/>
          <w:i/>
          <w:iCs/>
        </w:rPr>
        <w:t xml:space="preserve"> </w:t>
      </w:r>
      <w:r w:rsidR="00301735" w:rsidRPr="009B0DAF">
        <w:rPr>
          <w:rFonts w:ascii="Times New Roman" w:hAnsi="Times New Roman" w:cs="Times New Roman"/>
          <w:i/>
          <w:iCs/>
        </w:rPr>
        <w:t xml:space="preserve">1. Agravo de instrumento interposto contra decisão que, em cumprimento de sentença oriundo de ação monitória, rejeitou exceção de </w:t>
      </w:r>
      <w:proofErr w:type="spellStart"/>
      <w:r w:rsidR="00301735" w:rsidRPr="009B0DAF">
        <w:rPr>
          <w:rFonts w:ascii="Times New Roman" w:hAnsi="Times New Roman" w:cs="Times New Roman"/>
          <w:i/>
          <w:iCs/>
        </w:rPr>
        <w:t>pré</w:t>
      </w:r>
      <w:proofErr w:type="spellEnd"/>
      <w:r w:rsidR="00301735" w:rsidRPr="009B0DAF">
        <w:rPr>
          <w:rFonts w:ascii="Times New Roman" w:hAnsi="Times New Roman" w:cs="Times New Roman"/>
          <w:i/>
          <w:iCs/>
        </w:rPr>
        <w:t>-executividade, afastando alegações de ilegitimidade passiva do espólio e de prescrição intercorrente, determinando o prosseguimento da execução.</w:t>
      </w:r>
      <w:r w:rsidRPr="009B0DAF">
        <w:rPr>
          <w:rFonts w:ascii="Times New Roman" w:hAnsi="Times New Roman" w:cs="Times New Roman"/>
          <w:i/>
          <w:iCs/>
        </w:rPr>
        <w:t xml:space="preserve"> </w:t>
      </w:r>
    </w:p>
    <w:p w14:paraId="547542FB" w14:textId="542CE7C2"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II. Questão em discussão</w:t>
      </w:r>
    </w:p>
    <w:p w14:paraId="319785A1"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2. As questões em discussão consistem em:</w:t>
      </w:r>
    </w:p>
    <w:p w14:paraId="1CEE414A"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(i) saber se há ilegitimidade passiva do espólio no cumprimento de sentença em razão do encerramento do inventário;</w:t>
      </w:r>
    </w:p>
    <w:p w14:paraId="7B4B7884"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w:t>
      </w:r>
      <w:proofErr w:type="spellStart"/>
      <w:r w:rsidRPr="009B0DAF">
        <w:rPr>
          <w:rFonts w:ascii="Times New Roman" w:hAnsi="Times New Roman" w:cs="Times New Roman"/>
          <w:i/>
          <w:iCs/>
        </w:rPr>
        <w:t>ii</w:t>
      </w:r>
      <w:proofErr w:type="spellEnd"/>
      <w:r w:rsidRPr="009B0DAF">
        <w:rPr>
          <w:rFonts w:ascii="Times New Roman" w:hAnsi="Times New Roman" w:cs="Times New Roman"/>
          <w:i/>
          <w:iCs/>
        </w:rPr>
        <w:t>) saber se é nula a intimação realizada após a homologação da partilha;</w:t>
      </w:r>
    </w:p>
    <w:p w14:paraId="195B487B"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w:t>
      </w:r>
      <w:proofErr w:type="spellStart"/>
      <w:r w:rsidRPr="009B0DAF">
        <w:rPr>
          <w:rFonts w:ascii="Times New Roman" w:hAnsi="Times New Roman" w:cs="Times New Roman"/>
          <w:i/>
          <w:iCs/>
        </w:rPr>
        <w:t>iii</w:t>
      </w:r>
      <w:proofErr w:type="spellEnd"/>
      <w:r w:rsidRPr="009B0DAF">
        <w:rPr>
          <w:rFonts w:ascii="Times New Roman" w:hAnsi="Times New Roman" w:cs="Times New Roman"/>
          <w:i/>
          <w:iCs/>
        </w:rPr>
        <w:t>) saber se ocorreu prescrição intercorrente da pretensão executória.</w:t>
      </w:r>
    </w:p>
    <w:p w14:paraId="45605EF4"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III. Razões de decidir</w:t>
      </w:r>
    </w:p>
    <w:p w14:paraId="1D279AF9"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3. A ação monitória originária foi ajuizada quando ainda em curso o inventário, com citação válida do espólio na pessoa de sua inventariante, circunstância suficiente para a formação regular do título executivo judicial, que transitou em julgado sem impugnação.</w:t>
      </w:r>
    </w:p>
    <w:p w14:paraId="1370FE41"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 xml:space="preserve">4. O encerramento posterior do inventário não invalida o cumprimento de sentença proposto em face do espólio, sendo possível a responsabilização dos herdeiros pelas dívidas do falecido, nos limites das forças da herança e na proporção dos respectivos quinhões, conforme dispõem os </w:t>
      </w:r>
      <w:proofErr w:type="spellStart"/>
      <w:r w:rsidRPr="009B0DAF">
        <w:rPr>
          <w:rFonts w:ascii="Times New Roman" w:hAnsi="Times New Roman" w:cs="Times New Roman"/>
          <w:i/>
          <w:iCs/>
        </w:rPr>
        <w:t>arts</w:t>
      </w:r>
      <w:proofErr w:type="spellEnd"/>
      <w:r w:rsidRPr="009B0DAF">
        <w:rPr>
          <w:rFonts w:ascii="Times New Roman" w:hAnsi="Times New Roman" w:cs="Times New Roman"/>
          <w:i/>
          <w:iCs/>
        </w:rPr>
        <w:t>. 1.792 do Código Civil e 796 do Código de Processo Civil.</w:t>
      </w:r>
    </w:p>
    <w:p w14:paraId="70D6B523"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5. A inexistência, nos autos, de informação sobre o valor do quinhão de cada herdeiro não impede o prosseguimento da execução, devendo a limitação da responsabilidade ser observada na fase executiva.</w:t>
      </w:r>
    </w:p>
    <w:p w14:paraId="77F00263"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IV. Dispositivo</w:t>
      </w:r>
    </w:p>
    <w:p w14:paraId="6F9DA1DA" w14:textId="71B7B1C5" w:rsidR="00301735" w:rsidRPr="00301735" w:rsidRDefault="00301735" w:rsidP="00301735">
      <w:pPr>
        <w:ind w:right="-568"/>
        <w:jc w:val="both"/>
        <w:rPr>
          <w:rFonts w:ascii="Times New Roman" w:hAnsi="Times New Roman" w:cs="Times New Roman"/>
        </w:rPr>
      </w:pPr>
      <w:r w:rsidRPr="009B0DAF">
        <w:rPr>
          <w:rFonts w:ascii="Times New Roman" w:hAnsi="Times New Roman" w:cs="Times New Roman"/>
          <w:i/>
          <w:iCs/>
        </w:rPr>
        <w:t>8. Recurso desprovido</w:t>
      </w:r>
      <w:r w:rsidRPr="00301735">
        <w:rPr>
          <w:rFonts w:ascii="Times New Roman" w:hAnsi="Times New Roman" w:cs="Times New Roman"/>
        </w:rPr>
        <w:t>.</w:t>
      </w:r>
      <w:r w:rsidR="009B0DAF">
        <w:rPr>
          <w:rFonts w:ascii="Times New Roman" w:hAnsi="Times New Roman" w:cs="Times New Roman"/>
        </w:rPr>
        <w:t xml:space="preserve">” </w:t>
      </w:r>
      <w:proofErr w:type="gramStart"/>
      <w:r w:rsidRPr="00301735">
        <w:rPr>
          <w:rFonts w:ascii="Times New Roman" w:hAnsi="Times New Roman" w:cs="Times New Roman"/>
        </w:rPr>
        <w:t>[TJMG,  Agravo</w:t>
      </w:r>
      <w:proofErr w:type="gramEnd"/>
      <w:r w:rsidRPr="00301735">
        <w:rPr>
          <w:rFonts w:ascii="Times New Roman" w:hAnsi="Times New Roman" w:cs="Times New Roman"/>
        </w:rPr>
        <w:t xml:space="preserve"> de Instrumento-</w:t>
      </w:r>
      <w:proofErr w:type="gramStart"/>
      <w:r w:rsidRPr="00301735">
        <w:rPr>
          <w:rFonts w:ascii="Times New Roman" w:hAnsi="Times New Roman" w:cs="Times New Roman"/>
        </w:rPr>
        <w:t>Cv  1.0000.25.463111</w:t>
      </w:r>
      <w:proofErr w:type="gramEnd"/>
      <w:r w:rsidRPr="00301735">
        <w:rPr>
          <w:rFonts w:ascii="Times New Roman" w:hAnsi="Times New Roman" w:cs="Times New Roman"/>
        </w:rPr>
        <w:t xml:space="preserve">-2/001, Rel. Des. José Eustáquio Lucas </w:t>
      </w:r>
      <w:proofErr w:type="gramStart"/>
      <w:r w:rsidRPr="00301735">
        <w:rPr>
          <w:rFonts w:ascii="Times New Roman" w:hAnsi="Times New Roman" w:cs="Times New Roman"/>
        </w:rPr>
        <w:t>Pereira ,</w:t>
      </w:r>
      <w:proofErr w:type="gramEnd"/>
      <w:r w:rsidRPr="00301735">
        <w:rPr>
          <w:rFonts w:ascii="Times New Roman" w:hAnsi="Times New Roman" w:cs="Times New Roman"/>
        </w:rPr>
        <w:t xml:space="preserve"> 21ª CÂMARA CÍVEL, </w:t>
      </w:r>
      <w:proofErr w:type="spellStart"/>
      <w:r w:rsidRPr="00301735">
        <w:rPr>
          <w:rFonts w:ascii="Times New Roman" w:hAnsi="Times New Roman" w:cs="Times New Roman"/>
        </w:rPr>
        <w:t>DJe</w:t>
      </w:r>
      <w:proofErr w:type="spellEnd"/>
      <w:r w:rsidRPr="00301735">
        <w:rPr>
          <w:rFonts w:ascii="Times New Roman" w:hAnsi="Times New Roman" w:cs="Times New Roman"/>
        </w:rPr>
        <w:t xml:space="preserve"> 05/03/2026].</w:t>
      </w:r>
    </w:p>
    <w:p w14:paraId="5C236671" w14:textId="3245B4BB" w:rsidR="00301735" w:rsidRPr="009B0DAF" w:rsidRDefault="009B0DAF" w:rsidP="00301735">
      <w:pPr>
        <w:ind w:right="-568"/>
        <w:jc w:val="both"/>
        <w:rPr>
          <w:rFonts w:ascii="Times New Roman" w:hAnsi="Times New Roman" w:cs="Times New Roman"/>
          <w:i/>
          <w:iCs/>
        </w:rPr>
      </w:pPr>
      <w:r>
        <w:rPr>
          <w:rFonts w:ascii="Times New Roman" w:hAnsi="Times New Roman" w:cs="Times New Roman"/>
        </w:rPr>
        <w:t>“</w:t>
      </w:r>
      <w:r w:rsidR="00301735" w:rsidRPr="009B0DAF">
        <w:rPr>
          <w:rFonts w:ascii="Times New Roman" w:hAnsi="Times New Roman" w:cs="Times New Roman"/>
          <w:i/>
          <w:iCs/>
        </w:rPr>
        <w:t>DIREITO TRIBUTÁRIO E PROCESSUAL CIVIL. AGRAVO DE INSTRUMENTO. EXECUÇÃO FISCAL. FALECIMENTO DO EXECUTADO NO CURSO DA DEMANDA. PRETENSÃO DE REDIRECIONAMENTO DIRETO AOS HERDEIROS. AUSÊNCIA DE INVENTÁRIO. ILEGITIMIDADE PASSIVA DOS HERDEIROS ANTES DA PARTILHA. MANUTENÇÃO DA DECISÃO. RECURSO DESPROVIDO.</w:t>
      </w:r>
    </w:p>
    <w:p w14:paraId="551DDE75"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I. CASO EM EXAME</w:t>
      </w:r>
    </w:p>
    <w:p w14:paraId="75EC0D6F"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lastRenderedPageBreak/>
        <w:t>1. Agravo de instrumento interposto contra decisão proferida em execução fiscal que indeferiu o pedido de redirecionamento do feito à herdeira do executado, falecido no curso da demanda, sob o fundamento de inexistência de inventário e de ilegitimidade dos herdeiros para figurar diretamente no polo passivo.</w:t>
      </w:r>
    </w:p>
    <w:p w14:paraId="7BCC60D8"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II. QUESTÃO EM DISCUSSÃO</w:t>
      </w:r>
    </w:p>
    <w:p w14:paraId="6AAC32AE"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2. A questão em discussão consiste em definir se é juridicamente possível o redirecionamento da execução fiscal, ajuizada contra devedor vivo e regularmente citado, diretamente aos herdeiros, na hipótese de falecimento ocorrido no curso do processo, sem a abertura de inventário.</w:t>
      </w:r>
    </w:p>
    <w:p w14:paraId="6B2132EC"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III. RAZÕES DE DECIDIR</w:t>
      </w:r>
    </w:p>
    <w:p w14:paraId="73AB6F48"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3. A sucessão processual decorrente do falecimento da parte ocorre, como regra, pelo espólio, que detém capacidade processual e legitimidade para responder pelas obrigações do de cujus até a partilha, nos termos do art. 110 do CPC.</w:t>
      </w:r>
    </w:p>
    <w:p w14:paraId="12D91E8F"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4. A responsabilidade tributária pelos débitos do falecido, até a abertura da sucessão, recai sobre o espólio, conforme previsão expressa do art. 131, III, do CTN.</w:t>
      </w:r>
    </w:p>
    <w:p w14:paraId="2E76221A"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 xml:space="preserve">5. Os herdeiros somente passam a responder pessoalmente pelas dívidas do falecido após a partilha, e ainda assim de forma limitada ao quinhão recebido, conforme os </w:t>
      </w:r>
      <w:proofErr w:type="spellStart"/>
      <w:r w:rsidRPr="009B0DAF">
        <w:rPr>
          <w:rFonts w:ascii="Times New Roman" w:hAnsi="Times New Roman" w:cs="Times New Roman"/>
          <w:i/>
          <w:iCs/>
        </w:rPr>
        <w:t>arts</w:t>
      </w:r>
      <w:proofErr w:type="spellEnd"/>
      <w:r w:rsidRPr="009B0DAF">
        <w:rPr>
          <w:rFonts w:ascii="Times New Roman" w:hAnsi="Times New Roman" w:cs="Times New Roman"/>
          <w:i/>
          <w:iCs/>
        </w:rPr>
        <w:t>. 1.792 e 1.997 do Código Civil.</w:t>
      </w:r>
    </w:p>
    <w:p w14:paraId="0507043C"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IV. DISPOSITIVO E TESE</w:t>
      </w:r>
    </w:p>
    <w:p w14:paraId="793A1B87"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5. Recurso desprovido.</w:t>
      </w:r>
    </w:p>
    <w:p w14:paraId="453F10EA"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Tese de julgamento:</w:t>
      </w:r>
    </w:p>
    <w:p w14:paraId="1F78B90D"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1. O falecimento do executado no curso da execução fiscal impõe a sucessão processual pelo espólio, e não pelos herdeiros individualmente considerados, enquanto não houver partilha.</w:t>
      </w:r>
    </w:p>
    <w:p w14:paraId="755FEB9B"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2. Os herdeiros somente podem ser responsabilizados por dívidas tributárias do de cujus após a partilha, e nos limites do quinhão recebido.</w:t>
      </w:r>
    </w:p>
    <w:p w14:paraId="66894FE7" w14:textId="77777777" w:rsidR="00301735" w:rsidRPr="009B0DAF" w:rsidRDefault="00301735" w:rsidP="00301735">
      <w:pPr>
        <w:ind w:right="-568"/>
        <w:jc w:val="both"/>
        <w:rPr>
          <w:rFonts w:ascii="Times New Roman" w:hAnsi="Times New Roman" w:cs="Times New Roman"/>
          <w:i/>
          <w:iCs/>
        </w:rPr>
      </w:pPr>
      <w:r w:rsidRPr="009B0DAF">
        <w:rPr>
          <w:rFonts w:ascii="Times New Roman" w:hAnsi="Times New Roman" w:cs="Times New Roman"/>
          <w:i/>
          <w:iCs/>
        </w:rPr>
        <w:t>3. É vedado o redirecionamento da execução fiscal diretamente aos herdeiros, na ausência de inventário, por configurar indevida modificação do polo passivo.</w:t>
      </w:r>
    </w:p>
    <w:p w14:paraId="5961EE06" w14:textId="2A0F06E2" w:rsidR="00301735" w:rsidRPr="00301735" w:rsidRDefault="00301735" w:rsidP="00301735">
      <w:pPr>
        <w:ind w:right="-568"/>
        <w:jc w:val="both"/>
        <w:rPr>
          <w:rFonts w:ascii="Times New Roman" w:hAnsi="Times New Roman" w:cs="Times New Roman"/>
        </w:rPr>
      </w:pPr>
      <w:r w:rsidRPr="009B0DAF">
        <w:rPr>
          <w:rFonts w:ascii="Times New Roman" w:hAnsi="Times New Roman" w:cs="Times New Roman"/>
          <w:i/>
          <w:iCs/>
        </w:rPr>
        <w:t xml:space="preserve">Dispositivos relevantes citados: CPC, art. 110; CTN, art. 131, III; CC, </w:t>
      </w:r>
      <w:proofErr w:type="spellStart"/>
      <w:r w:rsidRPr="009B0DAF">
        <w:rPr>
          <w:rFonts w:ascii="Times New Roman" w:hAnsi="Times New Roman" w:cs="Times New Roman"/>
          <w:i/>
          <w:iCs/>
        </w:rPr>
        <w:t>arts</w:t>
      </w:r>
      <w:proofErr w:type="spellEnd"/>
      <w:r w:rsidRPr="009B0DAF">
        <w:rPr>
          <w:rFonts w:ascii="Times New Roman" w:hAnsi="Times New Roman" w:cs="Times New Roman"/>
          <w:i/>
          <w:iCs/>
        </w:rPr>
        <w:t>. 1.792 e 1.997; Lei nº 6.830/1980, art. 4º, VI.</w:t>
      </w:r>
      <w:r w:rsidR="009B0DAF" w:rsidRPr="009B0DAF">
        <w:rPr>
          <w:rFonts w:ascii="Times New Roman" w:hAnsi="Times New Roman" w:cs="Times New Roman"/>
          <w:i/>
          <w:iCs/>
        </w:rPr>
        <w:t xml:space="preserve"> </w:t>
      </w:r>
      <w:r w:rsidRPr="009B0DAF">
        <w:rPr>
          <w:rFonts w:ascii="Times New Roman" w:hAnsi="Times New Roman" w:cs="Times New Roman"/>
          <w:i/>
          <w:iCs/>
        </w:rPr>
        <w:t>Jurisprudência relevante citada: STJ, Súmula nº 392; TJMG, Apelação Cível nº 1.0000.24.008511-8/001, Rel. Des. Maurício Soares, 3ª Câmara Cível, j. 02.05.2024</w:t>
      </w:r>
      <w:r w:rsidRPr="00301735">
        <w:rPr>
          <w:rFonts w:ascii="Times New Roman" w:hAnsi="Times New Roman" w:cs="Times New Roman"/>
        </w:rPr>
        <w:t>.</w:t>
      </w:r>
      <w:r w:rsidR="009B0DAF">
        <w:rPr>
          <w:rFonts w:ascii="Times New Roman" w:hAnsi="Times New Roman" w:cs="Times New Roman"/>
        </w:rPr>
        <w:t xml:space="preserve">” </w:t>
      </w:r>
      <w:proofErr w:type="gramStart"/>
      <w:r w:rsidRPr="00301735">
        <w:rPr>
          <w:rFonts w:ascii="Times New Roman" w:hAnsi="Times New Roman" w:cs="Times New Roman"/>
        </w:rPr>
        <w:t>[</w:t>
      </w:r>
      <w:proofErr w:type="gramEnd"/>
      <w:r w:rsidRPr="00301735">
        <w:rPr>
          <w:rFonts w:ascii="Times New Roman" w:hAnsi="Times New Roman" w:cs="Times New Roman"/>
        </w:rPr>
        <w:t>TJMG, Agravo de Instrumento-</w:t>
      </w:r>
      <w:proofErr w:type="gramStart"/>
      <w:r w:rsidRPr="00301735">
        <w:rPr>
          <w:rFonts w:ascii="Times New Roman" w:hAnsi="Times New Roman" w:cs="Times New Roman"/>
        </w:rPr>
        <w:t>Cv  1.0000.25.300978</w:t>
      </w:r>
      <w:proofErr w:type="gramEnd"/>
      <w:r w:rsidRPr="00301735">
        <w:rPr>
          <w:rFonts w:ascii="Times New Roman" w:hAnsi="Times New Roman" w:cs="Times New Roman"/>
        </w:rPr>
        <w:t xml:space="preserve">-1/001, Rel. Des.(a) Maria Cristina Cunha Carvalhais, 2ª CÂMARA CÍVEL, </w:t>
      </w:r>
      <w:proofErr w:type="spellStart"/>
      <w:r w:rsidRPr="00301735">
        <w:rPr>
          <w:rFonts w:ascii="Times New Roman" w:hAnsi="Times New Roman" w:cs="Times New Roman"/>
        </w:rPr>
        <w:t>DJe</w:t>
      </w:r>
      <w:proofErr w:type="spellEnd"/>
      <w:r w:rsidRPr="00301735">
        <w:rPr>
          <w:rFonts w:ascii="Times New Roman" w:hAnsi="Times New Roman" w:cs="Times New Roman"/>
        </w:rPr>
        <w:t xml:space="preserve"> 02/03/2026].</w:t>
      </w:r>
    </w:p>
    <w:p w14:paraId="7F211D79" w14:textId="1E0534F7" w:rsidR="00301735" w:rsidRPr="00301735" w:rsidRDefault="009B0DAF" w:rsidP="00301735">
      <w:pPr>
        <w:ind w:right="-568"/>
        <w:jc w:val="both"/>
        <w:rPr>
          <w:rFonts w:ascii="Times New Roman" w:hAnsi="Times New Roman" w:cs="Times New Roman"/>
        </w:rPr>
      </w:pPr>
      <w:r>
        <w:rPr>
          <w:rFonts w:ascii="Times New Roman" w:hAnsi="Times New Roman" w:cs="Times New Roman"/>
        </w:rPr>
        <w:t>“</w:t>
      </w:r>
      <w:r w:rsidR="00301735" w:rsidRPr="009B0DAF">
        <w:rPr>
          <w:rFonts w:ascii="Times New Roman" w:hAnsi="Times New Roman" w:cs="Times New Roman"/>
          <w:i/>
          <w:iCs/>
        </w:rPr>
        <w:t xml:space="preserve">AGRAVO DE INSTRUMENTO. CUMPRIMENTO DE SENTENÇA. Decisão que rejeitou a impugnação apresentada pelos herdeiros do executado originário. Alegação de impenhorabilidade de bem de família e responsabilidade limitada às forças da herança. Inexistência de constrição judicial sobre o imóvel que torna a discussão acerca da proteção da </w:t>
      </w:r>
      <w:r w:rsidR="00301735" w:rsidRPr="009B0DAF">
        <w:rPr>
          <w:rFonts w:ascii="Times New Roman" w:hAnsi="Times New Roman" w:cs="Times New Roman"/>
          <w:i/>
          <w:iCs/>
        </w:rPr>
        <w:lastRenderedPageBreak/>
        <w:t>Lei nº 8.009/1990 prematura. Herdeiros que respondem pelas dívidas do falecido na proporção da parte que lhes coube na herança. Partilha já realizada. Possibilidade de constrição de bens particulares até o limite do valor do quinhão recebido. Inteligência dos artigos 1.784 e 1.997, ambos do Código Civil e 796, do Código de Processo Civil. Precedentes deste E. TJSP. Decisão mantida. Recurso conhecido em parte e, na parte conhecida, não provido</w:t>
      </w:r>
      <w:r w:rsidR="00301735" w:rsidRPr="00301735">
        <w:rPr>
          <w:rFonts w:ascii="Times New Roman" w:hAnsi="Times New Roman" w:cs="Times New Roman"/>
        </w:rPr>
        <w:t>.</w:t>
      </w:r>
      <w:r>
        <w:rPr>
          <w:rFonts w:ascii="Times New Roman" w:hAnsi="Times New Roman" w:cs="Times New Roman"/>
        </w:rPr>
        <w:t xml:space="preserve">” </w:t>
      </w:r>
      <w:proofErr w:type="gramStart"/>
      <w:r w:rsidR="00301735" w:rsidRPr="00301735">
        <w:rPr>
          <w:rFonts w:ascii="Times New Roman" w:hAnsi="Times New Roman" w:cs="Times New Roman"/>
        </w:rPr>
        <w:t>[</w:t>
      </w:r>
      <w:proofErr w:type="gramEnd"/>
      <w:r w:rsidR="00301735" w:rsidRPr="00301735">
        <w:rPr>
          <w:rFonts w:ascii="Times New Roman" w:hAnsi="Times New Roman" w:cs="Times New Roman"/>
        </w:rPr>
        <w:t xml:space="preserve">TJSP, Agravo de Instrumento 2334522-72.2025.8.26.0000; Rel. Des. Eduardo Gesse; Órgão Julgador: 28ª Câmara de Direito Privado; </w:t>
      </w:r>
      <w:proofErr w:type="spellStart"/>
      <w:r w:rsidR="00301735" w:rsidRPr="00301735">
        <w:rPr>
          <w:rFonts w:ascii="Times New Roman" w:hAnsi="Times New Roman" w:cs="Times New Roman"/>
        </w:rPr>
        <w:t>DJe</w:t>
      </w:r>
      <w:proofErr w:type="spellEnd"/>
      <w:r w:rsidR="00301735" w:rsidRPr="00301735">
        <w:rPr>
          <w:rFonts w:ascii="Times New Roman" w:hAnsi="Times New Roman" w:cs="Times New Roman"/>
        </w:rPr>
        <w:t xml:space="preserve"> 16/03/2026].</w:t>
      </w:r>
    </w:p>
    <w:p w14:paraId="265D33E5" w14:textId="4BC6D8B3"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Outrossim, como destacado no interlocutório do evento </w:t>
      </w:r>
      <w:r w:rsidR="009B0DAF">
        <w:rPr>
          <w:rFonts w:ascii="Times New Roman" w:hAnsi="Times New Roman" w:cs="Times New Roman"/>
        </w:rPr>
        <w:t>...</w:t>
      </w:r>
      <w:r w:rsidRPr="00301735">
        <w:rPr>
          <w:rFonts w:ascii="Times New Roman" w:hAnsi="Times New Roman" w:cs="Times New Roman"/>
        </w:rPr>
        <w:t xml:space="preserve"> e realçado no evento </w:t>
      </w:r>
      <w:r w:rsidR="009B0DAF">
        <w:rPr>
          <w:rFonts w:ascii="Times New Roman" w:hAnsi="Times New Roman" w:cs="Times New Roman"/>
        </w:rPr>
        <w:t>...</w:t>
      </w:r>
      <w:r w:rsidRPr="00301735">
        <w:rPr>
          <w:rFonts w:ascii="Times New Roman" w:hAnsi="Times New Roman" w:cs="Times New Roman"/>
        </w:rPr>
        <w:t xml:space="preserve">, os bens do falecido pai dos executados já foram penhorados, tanto neste cumprimento de sentença ---inclusive com a venda em hasta pública de imóveis--- e penhorado no inventário as quotas sociais [evento </w:t>
      </w:r>
      <w:r w:rsidR="009B0DAF">
        <w:rPr>
          <w:rFonts w:ascii="Times New Roman" w:hAnsi="Times New Roman" w:cs="Times New Roman"/>
        </w:rPr>
        <w:t>...</w:t>
      </w:r>
      <w:r w:rsidRPr="00301735">
        <w:rPr>
          <w:rFonts w:ascii="Times New Roman" w:hAnsi="Times New Roman" w:cs="Times New Roman"/>
        </w:rPr>
        <w:t xml:space="preserve">]. </w:t>
      </w:r>
      <w:r w:rsidRPr="009B0DAF">
        <w:rPr>
          <w:rFonts w:ascii="Times New Roman" w:hAnsi="Times New Roman" w:cs="Times New Roman"/>
          <w:i/>
          <w:iCs/>
        </w:rPr>
        <w:t xml:space="preserve">Et </w:t>
      </w:r>
      <w:proofErr w:type="spellStart"/>
      <w:r w:rsidRPr="009B0DAF">
        <w:rPr>
          <w:rFonts w:ascii="Times New Roman" w:hAnsi="Times New Roman" w:cs="Times New Roman"/>
          <w:i/>
          <w:iCs/>
        </w:rPr>
        <w:t>pour</w:t>
      </w:r>
      <w:proofErr w:type="spellEnd"/>
      <w:r w:rsidRPr="009B0DAF">
        <w:rPr>
          <w:rFonts w:ascii="Times New Roman" w:hAnsi="Times New Roman" w:cs="Times New Roman"/>
          <w:i/>
          <w:iCs/>
        </w:rPr>
        <w:t xml:space="preserve"> causae</w:t>
      </w:r>
      <w:r w:rsidRPr="00301735">
        <w:rPr>
          <w:rFonts w:ascii="Times New Roman" w:hAnsi="Times New Roman" w:cs="Times New Roman"/>
        </w:rPr>
        <w:t xml:space="preserve">, não se poderia mais avançar sobre os bens particulares dos executados fora dos limites da herança, tendo sido afastada a possibilidade de constrição via expedição de constrição via SISBAJUD [vide evento </w:t>
      </w:r>
      <w:r w:rsidR="009B0DAF">
        <w:rPr>
          <w:rFonts w:ascii="Times New Roman" w:hAnsi="Times New Roman" w:cs="Times New Roman"/>
        </w:rPr>
        <w:t>...</w:t>
      </w:r>
      <w:r w:rsidRPr="00301735">
        <w:rPr>
          <w:rFonts w:ascii="Times New Roman" w:hAnsi="Times New Roman" w:cs="Times New Roman"/>
        </w:rPr>
        <w:t>].</w:t>
      </w:r>
    </w:p>
    <w:p w14:paraId="764FAF9C" w14:textId="508016C0"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E a decisão do evento </w:t>
      </w:r>
      <w:r w:rsidR="009B0DAF">
        <w:rPr>
          <w:rFonts w:ascii="Times New Roman" w:hAnsi="Times New Roman" w:cs="Times New Roman"/>
        </w:rPr>
        <w:t>...</w:t>
      </w:r>
      <w:r w:rsidRPr="00301735">
        <w:rPr>
          <w:rFonts w:ascii="Times New Roman" w:hAnsi="Times New Roman" w:cs="Times New Roman"/>
        </w:rPr>
        <w:t xml:space="preserve"> permanece íntegra e nem o exequente trouxe algum fato novo que demonstrasse a existência de outros bens do espólio suscetível de constrição.</w:t>
      </w:r>
    </w:p>
    <w:p w14:paraId="26887436" w14:textId="7351A407"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Lado outro, as DIRPF dos executados/sucessores juntada no evento </w:t>
      </w:r>
      <w:r w:rsidR="009B0DAF">
        <w:rPr>
          <w:rFonts w:ascii="Times New Roman" w:hAnsi="Times New Roman" w:cs="Times New Roman"/>
        </w:rPr>
        <w:t>...</w:t>
      </w:r>
      <w:r w:rsidRPr="00301735">
        <w:rPr>
          <w:rFonts w:ascii="Times New Roman" w:hAnsi="Times New Roman" w:cs="Times New Roman"/>
        </w:rPr>
        <w:t xml:space="preserve"> não informam em nenhuma linha que têm patrimônio oriundo do inventário de do pai.</w:t>
      </w:r>
    </w:p>
    <w:p w14:paraId="1BDEB00C" w14:textId="4F3820C6" w:rsidR="00301735" w:rsidRPr="009B0DAF" w:rsidRDefault="00301735" w:rsidP="00301735">
      <w:pPr>
        <w:ind w:right="-568"/>
        <w:jc w:val="both"/>
        <w:rPr>
          <w:rFonts w:ascii="Times New Roman" w:hAnsi="Times New Roman" w:cs="Times New Roman"/>
          <w:b/>
          <w:bCs/>
        </w:rPr>
      </w:pPr>
      <w:r w:rsidRPr="009B0DAF">
        <w:rPr>
          <w:rFonts w:ascii="Times New Roman" w:hAnsi="Times New Roman" w:cs="Times New Roman"/>
          <w:b/>
          <w:bCs/>
        </w:rPr>
        <w:t xml:space="preserve">DO PEDIDO DE DECRETAÇÃO DE SIGILO SOBRE AS DECLARAÇÕES DE IMPOSTO DE RENDA JUNTADAS NO EVENTO </w:t>
      </w:r>
      <w:r w:rsidR="009B0DAF">
        <w:rPr>
          <w:rFonts w:ascii="Times New Roman" w:hAnsi="Times New Roman" w:cs="Times New Roman"/>
          <w:b/>
          <w:bCs/>
        </w:rPr>
        <w:t>...</w:t>
      </w:r>
    </w:p>
    <w:p w14:paraId="34E73ECE" w14:textId="6585F99A"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As Declarações de Imposto de Renda de Pessoas Físicas dos executados acostadas no evento </w:t>
      </w:r>
      <w:r w:rsidR="009B0DAF">
        <w:rPr>
          <w:rFonts w:ascii="Times New Roman" w:hAnsi="Times New Roman" w:cs="Times New Roman"/>
        </w:rPr>
        <w:t>...</w:t>
      </w:r>
      <w:r w:rsidRPr="00301735">
        <w:rPr>
          <w:rFonts w:ascii="Times New Roman" w:hAnsi="Times New Roman" w:cs="Times New Roman"/>
        </w:rPr>
        <w:t xml:space="preserve"> contêm informações de natureza estritamente pessoal, patrimonial, financeira e fiscal, abrangendo dados protegidos pelo direito fundamental à intimidade e à vida privada.</w:t>
      </w:r>
    </w:p>
    <w:p w14:paraId="7A8351F7" w14:textId="5FC57B6F"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Por essa razão, haverá de ser determinado o sigilo específico sobre referidos documentos, com seu devido acautelamento nos autos, restringindo-se o acesso apenas às partes, seus procuradores e aos agentes jurisdicionais diretamente vinculados ao feito.</w:t>
      </w:r>
    </w:p>
    <w:p w14:paraId="7CA107F6" w14:textId="361D4025"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 xml:space="preserve">O pedido encontra amparo, inicialmente, no art. 5º, X, da Constituição Federal, que assegura a inviolabilidade da intimidade e da vida privada. </w:t>
      </w:r>
    </w:p>
    <w:p w14:paraId="5CFDF747" w14:textId="2B428A99" w:rsidR="009B0DAF" w:rsidRPr="00301735" w:rsidRDefault="00301735" w:rsidP="009B0DAF">
      <w:pPr>
        <w:ind w:right="-568"/>
        <w:jc w:val="both"/>
        <w:rPr>
          <w:rFonts w:ascii="Times New Roman" w:hAnsi="Times New Roman" w:cs="Times New Roman"/>
        </w:rPr>
      </w:pPr>
      <w:r w:rsidRPr="00301735">
        <w:rPr>
          <w:rFonts w:ascii="Times New Roman" w:hAnsi="Times New Roman" w:cs="Times New Roman"/>
        </w:rPr>
        <w:t>No mesmo sentido, o Código de Processo Civil, em seu art. 189, III, estabelece que tramitam em segredo de justiça os processos “</w:t>
      </w:r>
      <w:r w:rsidRPr="009B0DAF">
        <w:rPr>
          <w:rFonts w:ascii="Times New Roman" w:hAnsi="Times New Roman" w:cs="Times New Roman"/>
          <w:i/>
          <w:iCs/>
        </w:rPr>
        <w:t>em que constem dados protegidos pelo direito constitucional à intimidade”</w:t>
      </w:r>
      <w:r w:rsidRPr="00301735">
        <w:rPr>
          <w:rFonts w:ascii="Times New Roman" w:hAnsi="Times New Roman" w:cs="Times New Roman"/>
        </w:rPr>
        <w:t>. Ainda, o art. 11, parágrafo único, do CPC prevê que, nos casos de segredo de justiça, a presença e o acesso podem ser limitados às partes, seus advogados, defensores públicos e Ministério Público.</w:t>
      </w:r>
    </w:p>
    <w:p w14:paraId="3DE30F28" w14:textId="7EF3443C"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Dessa forma, a manutenção irrestrita de tais documentos em ambiente de livre consulta afronta a proteção legal e constitucional conferida aos dados fiscais e patrimoniais dos executados, impondo-se seu resguardo.</w:t>
      </w:r>
    </w:p>
    <w:p w14:paraId="7006C8D7" w14:textId="32CBD052" w:rsidR="00301735" w:rsidRPr="009B0DAF" w:rsidRDefault="00301735" w:rsidP="00301735">
      <w:pPr>
        <w:ind w:right="-568"/>
        <w:jc w:val="both"/>
        <w:rPr>
          <w:rFonts w:ascii="Times New Roman" w:hAnsi="Times New Roman" w:cs="Times New Roman"/>
          <w:b/>
          <w:bCs/>
        </w:rPr>
      </w:pPr>
      <w:r w:rsidRPr="009B0DAF">
        <w:rPr>
          <w:rFonts w:ascii="Times New Roman" w:hAnsi="Times New Roman" w:cs="Times New Roman"/>
          <w:b/>
          <w:bCs/>
        </w:rPr>
        <w:t>PEDIDOS</w:t>
      </w:r>
    </w:p>
    <w:p w14:paraId="023E0D40" w14:textId="77777777" w:rsidR="009B0DAF" w:rsidRDefault="00301735" w:rsidP="009B0DAF">
      <w:pPr>
        <w:ind w:right="-568"/>
        <w:jc w:val="both"/>
        <w:rPr>
          <w:rFonts w:ascii="Times New Roman" w:hAnsi="Times New Roman" w:cs="Times New Roman"/>
        </w:rPr>
      </w:pPr>
      <w:proofErr w:type="spellStart"/>
      <w:r w:rsidRPr="009B0DAF">
        <w:rPr>
          <w:rFonts w:ascii="Times New Roman" w:hAnsi="Times New Roman" w:cs="Times New Roman"/>
          <w:b/>
          <w:bCs/>
          <w:i/>
          <w:iCs/>
        </w:rPr>
        <w:t>Ex</w:t>
      </w:r>
      <w:proofErr w:type="spellEnd"/>
      <w:r w:rsidRPr="009B0DAF">
        <w:rPr>
          <w:rFonts w:ascii="Times New Roman" w:hAnsi="Times New Roman" w:cs="Times New Roman"/>
          <w:b/>
          <w:bCs/>
          <w:i/>
          <w:iCs/>
        </w:rPr>
        <w:t xml:space="preserve"> positis</w:t>
      </w:r>
      <w:r w:rsidRPr="00301735">
        <w:rPr>
          <w:rFonts w:ascii="Times New Roman" w:hAnsi="Times New Roman" w:cs="Times New Roman"/>
        </w:rPr>
        <w:t>, os executados requerem:</w:t>
      </w:r>
    </w:p>
    <w:p w14:paraId="455233FD" w14:textId="1EEB8DB3" w:rsidR="00301735" w:rsidRPr="00301735" w:rsidRDefault="009B0DAF" w:rsidP="00301735">
      <w:pPr>
        <w:ind w:right="-568"/>
        <w:jc w:val="both"/>
        <w:rPr>
          <w:rFonts w:ascii="Times New Roman" w:hAnsi="Times New Roman" w:cs="Times New Roman"/>
        </w:rPr>
      </w:pPr>
      <w:r w:rsidRPr="009B0DAF">
        <w:rPr>
          <w:rFonts w:ascii="Times New Roman" w:hAnsi="Times New Roman" w:cs="Times New Roman"/>
        </w:rPr>
        <w:lastRenderedPageBreak/>
        <w:t>a)</w:t>
      </w:r>
      <w:r>
        <w:rPr>
          <w:rFonts w:ascii="Times New Roman" w:hAnsi="Times New Roman" w:cs="Times New Roman"/>
        </w:rPr>
        <w:t xml:space="preserve"> </w:t>
      </w:r>
      <w:r w:rsidR="00301735" w:rsidRPr="009B0DAF">
        <w:rPr>
          <w:rFonts w:ascii="Times New Roman" w:hAnsi="Times New Roman" w:cs="Times New Roman"/>
          <w:i/>
          <w:iCs/>
        </w:rPr>
        <w:t>ad cautelam</w:t>
      </w:r>
      <w:r w:rsidR="00301735" w:rsidRPr="009B0DAF">
        <w:rPr>
          <w:rFonts w:ascii="Times New Roman" w:hAnsi="Times New Roman" w:cs="Times New Roman"/>
        </w:rPr>
        <w:t xml:space="preserve">, pelos fundamentos jurídicos retro abordados, que não se proceda à penhora dos veículos e outros bens de suas propriedades informados nos eventos </w:t>
      </w:r>
      <w:r>
        <w:rPr>
          <w:rFonts w:ascii="Times New Roman" w:hAnsi="Times New Roman" w:cs="Times New Roman"/>
        </w:rPr>
        <w:t>...</w:t>
      </w:r>
      <w:r w:rsidR="00301735" w:rsidRPr="009B0DAF">
        <w:rPr>
          <w:rFonts w:ascii="Times New Roman" w:hAnsi="Times New Roman" w:cs="Times New Roman"/>
        </w:rPr>
        <w:t xml:space="preserve"> [INFOJUD] e </w:t>
      </w:r>
      <w:r>
        <w:rPr>
          <w:rFonts w:ascii="Times New Roman" w:hAnsi="Times New Roman" w:cs="Times New Roman"/>
        </w:rPr>
        <w:t>...</w:t>
      </w:r>
      <w:r w:rsidR="00301735" w:rsidRPr="009B0DAF">
        <w:rPr>
          <w:rFonts w:ascii="Times New Roman" w:hAnsi="Times New Roman" w:cs="Times New Roman"/>
        </w:rPr>
        <w:t xml:space="preserve"> [RENAJUD];</w:t>
      </w:r>
    </w:p>
    <w:p w14:paraId="30C30DA8" w14:textId="62614BC9" w:rsidR="00301735" w:rsidRPr="00301735" w:rsidRDefault="00301735" w:rsidP="00301735">
      <w:pPr>
        <w:ind w:right="-568"/>
        <w:jc w:val="both"/>
        <w:rPr>
          <w:rFonts w:ascii="Times New Roman" w:hAnsi="Times New Roman" w:cs="Times New Roman"/>
        </w:rPr>
      </w:pPr>
      <w:r w:rsidRPr="00301735">
        <w:rPr>
          <w:rFonts w:ascii="Times New Roman" w:hAnsi="Times New Roman" w:cs="Times New Roman"/>
        </w:rPr>
        <w:t>b)</w:t>
      </w:r>
      <w:r w:rsidR="009B0DAF">
        <w:rPr>
          <w:rFonts w:ascii="Times New Roman" w:hAnsi="Times New Roman" w:cs="Times New Roman"/>
        </w:rPr>
        <w:t xml:space="preserve"> </w:t>
      </w:r>
      <w:r w:rsidRPr="00301735">
        <w:rPr>
          <w:rFonts w:ascii="Times New Roman" w:hAnsi="Times New Roman" w:cs="Times New Roman"/>
        </w:rPr>
        <w:t xml:space="preserve">seja decretado o sigilo sobre as Declarações de Imposto de Renda dos executados juntadas no evento </w:t>
      </w:r>
      <w:r w:rsidR="009B0DAF">
        <w:rPr>
          <w:rFonts w:ascii="Times New Roman" w:hAnsi="Times New Roman" w:cs="Times New Roman"/>
        </w:rPr>
        <w:t>...</w:t>
      </w:r>
      <w:r w:rsidRPr="00301735">
        <w:rPr>
          <w:rFonts w:ascii="Times New Roman" w:hAnsi="Times New Roman" w:cs="Times New Roman"/>
        </w:rPr>
        <w:t>; determinando o acautelamento destes documentos, com restrição de acesso apenas às partes, procuradores constituídos e ao Juízo.</w:t>
      </w:r>
    </w:p>
    <w:p w14:paraId="45EFA1C0" w14:textId="45268A7E" w:rsidR="00301735" w:rsidRPr="00301735" w:rsidRDefault="00301735" w:rsidP="009B0DAF">
      <w:pPr>
        <w:spacing w:after="0" w:line="240" w:lineRule="auto"/>
        <w:ind w:right="-567"/>
        <w:jc w:val="center"/>
        <w:rPr>
          <w:rFonts w:ascii="Times New Roman" w:hAnsi="Times New Roman" w:cs="Times New Roman"/>
        </w:rPr>
      </w:pPr>
      <w:r w:rsidRPr="00301735">
        <w:rPr>
          <w:rFonts w:ascii="Times New Roman" w:hAnsi="Times New Roman" w:cs="Times New Roman"/>
        </w:rPr>
        <w:t>P</w:t>
      </w:r>
      <w:r w:rsidR="009B0DAF">
        <w:rPr>
          <w:rFonts w:ascii="Times New Roman" w:hAnsi="Times New Roman" w:cs="Times New Roman"/>
        </w:rPr>
        <w:t>ede</w:t>
      </w:r>
      <w:r w:rsidRPr="00301735">
        <w:rPr>
          <w:rFonts w:ascii="Times New Roman" w:hAnsi="Times New Roman" w:cs="Times New Roman"/>
        </w:rPr>
        <w:t xml:space="preserve"> Deferimento.</w:t>
      </w:r>
    </w:p>
    <w:p w14:paraId="7AD03CBB" w14:textId="372BA610" w:rsidR="00301735" w:rsidRDefault="009B0DAF" w:rsidP="009B0DAF">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151CD107" w14:textId="36D09D6C" w:rsidR="009B0DAF" w:rsidRPr="00301735" w:rsidRDefault="009B0DAF" w:rsidP="009B0DAF">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9B0DAF" w:rsidRPr="003017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1347F"/>
    <w:multiLevelType w:val="hybridMultilevel"/>
    <w:tmpl w:val="13C837B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90898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35"/>
    <w:rsid w:val="00301735"/>
    <w:rsid w:val="0056459A"/>
    <w:rsid w:val="009B0D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5BE5B"/>
  <w15:chartTrackingRefBased/>
  <w15:docId w15:val="{E8658B2E-E5F0-4D76-8615-8227F400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017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017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0173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0173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0173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017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017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017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0173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0173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0173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0173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0173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0173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0173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0173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0173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01735"/>
    <w:rPr>
      <w:rFonts w:eastAsiaTheme="majorEastAsia" w:cstheme="majorBidi"/>
      <w:color w:val="272727" w:themeColor="text1" w:themeTint="D8"/>
    </w:rPr>
  </w:style>
  <w:style w:type="paragraph" w:styleId="Ttulo">
    <w:name w:val="Title"/>
    <w:basedOn w:val="Normal"/>
    <w:next w:val="Normal"/>
    <w:link w:val="TtuloChar"/>
    <w:uiPriority w:val="10"/>
    <w:qFormat/>
    <w:rsid w:val="003017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017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0173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0173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01735"/>
    <w:pPr>
      <w:spacing w:before="160"/>
      <w:jc w:val="center"/>
    </w:pPr>
    <w:rPr>
      <w:i/>
      <w:iCs/>
      <w:color w:val="404040" w:themeColor="text1" w:themeTint="BF"/>
    </w:rPr>
  </w:style>
  <w:style w:type="character" w:customStyle="1" w:styleId="CitaoChar">
    <w:name w:val="Citação Char"/>
    <w:basedOn w:val="Fontepargpadro"/>
    <w:link w:val="Citao"/>
    <w:uiPriority w:val="29"/>
    <w:rsid w:val="00301735"/>
    <w:rPr>
      <w:i/>
      <w:iCs/>
      <w:color w:val="404040" w:themeColor="text1" w:themeTint="BF"/>
    </w:rPr>
  </w:style>
  <w:style w:type="paragraph" w:styleId="PargrafodaLista">
    <w:name w:val="List Paragraph"/>
    <w:basedOn w:val="Normal"/>
    <w:uiPriority w:val="34"/>
    <w:qFormat/>
    <w:rsid w:val="00301735"/>
    <w:pPr>
      <w:ind w:left="720"/>
      <w:contextualSpacing/>
    </w:pPr>
  </w:style>
  <w:style w:type="character" w:styleId="nfaseIntensa">
    <w:name w:val="Intense Emphasis"/>
    <w:basedOn w:val="Fontepargpadro"/>
    <w:uiPriority w:val="21"/>
    <w:qFormat/>
    <w:rsid w:val="00301735"/>
    <w:rPr>
      <w:i/>
      <w:iCs/>
      <w:color w:val="2F5496" w:themeColor="accent1" w:themeShade="BF"/>
    </w:rPr>
  </w:style>
  <w:style w:type="paragraph" w:styleId="CitaoIntensa">
    <w:name w:val="Intense Quote"/>
    <w:basedOn w:val="Normal"/>
    <w:next w:val="Normal"/>
    <w:link w:val="CitaoIntensaChar"/>
    <w:uiPriority w:val="30"/>
    <w:qFormat/>
    <w:rsid w:val="003017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01735"/>
    <w:rPr>
      <w:i/>
      <w:iCs/>
      <w:color w:val="2F5496" w:themeColor="accent1" w:themeShade="BF"/>
    </w:rPr>
  </w:style>
  <w:style w:type="character" w:styleId="RefernciaIntensa">
    <w:name w:val="Intense Reference"/>
    <w:basedOn w:val="Fontepargpadro"/>
    <w:uiPriority w:val="32"/>
    <w:qFormat/>
    <w:rsid w:val="0030173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2485</Words>
  <Characters>13425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2026-09-28T19:38:00Z</dcterms:created>
  <dcterms:modified xsi:type="dcterms:W3CDTF">2026-09-28T19:55:00Z</dcterms:modified>
</cp:coreProperties>
</file>