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E2FED" w14:textId="77777777" w:rsidR="007717EC" w:rsidRPr="007717EC" w:rsidRDefault="007717EC" w:rsidP="007717EC">
      <w:pPr>
        <w:spacing w:after="0" w:line="240" w:lineRule="auto"/>
        <w:ind w:right="-567"/>
        <w:jc w:val="center"/>
        <w:rPr>
          <w:rFonts w:ascii="Arial Black" w:hAnsi="Arial Black" w:cs="Times New Roman"/>
        </w:rPr>
      </w:pPr>
      <w:r w:rsidRPr="007717EC">
        <w:rPr>
          <w:rFonts w:ascii="Arial Black" w:hAnsi="Arial Black" w:cs="Times New Roman"/>
        </w:rPr>
        <w:t>MODELO DE PETIÇÃO</w:t>
      </w:r>
    </w:p>
    <w:p w14:paraId="0EF16314" w14:textId="77777777" w:rsidR="007717EC" w:rsidRPr="007717EC" w:rsidRDefault="007717EC" w:rsidP="007717EC">
      <w:pPr>
        <w:spacing w:after="0" w:line="240" w:lineRule="auto"/>
        <w:ind w:right="-567"/>
        <w:jc w:val="center"/>
        <w:rPr>
          <w:rFonts w:ascii="Arial Black" w:hAnsi="Arial Black" w:cs="Times New Roman"/>
        </w:rPr>
      </w:pPr>
      <w:r w:rsidRPr="007717EC">
        <w:rPr>
          <w:rFonts w:ascii="Arial Black" w:hAnsi="Arial Black" w:cs="Times New Roman"/>
        </w:rPr>
        <w:t>CONSIGNAÇÃO EM PAGAMENTO. APURAÇÃO DE HAVERES.</w:t>
      </w:r>
    </w:p>
    <w:p w14:paraId="5D72B0C8" w14:textId="77777777" w:rsidR="007717EC" w:rsidRPr="007717EC" w:rsidRDefault="007717EC" w:rsidP="007717EC">
      <w:pPr>
        <w:spacing w:after="0" w:line="240" w:lineRule="auto"/>
        <w:ind w:right="-567"/>
        <w:jc w:val="center"/>
        <w:rPr>
          <w:rFonts w:ascii="Arial Black" w:hAnsi="Arial Black" w:cs="Times New Roman"/>
        </w:rPr>
      </w:pPr>
      <w:r w:rsidRPr="007717EC">
        <w:rPr>
          <w:rFonts w:ascii="Arial Black" w:hAnsi="Arial Black" w:cs="Times New Roman"/>
        </w:rPr>
        <w:t>SÓCIO RETIRANTE. POSSIBILIDADE. INTERESSE COMUM.</w:t>
      </w:r>
    </w:p>
    <w:p w14:paraId="13F4E38B" w14:textId="77777777" w:rsidR="007717EC" w:rsidRPr="007717EC" w:rsidRDefault="007717EC" w:rsidP="007717EC">
      <w:pPr>
        <w:spacing w:after="0" w:line="240" w:lineRule="auto"/>
        <w:ind w:right="-567"/>
        <w:jc w:val="center"/>
        <w:rPr>
          <w:rFonts w:ascii="Arial Black" w:hAnsi="Arial Black" w:cs="Times New Roman"/>
        </w:rPr>
      </w:pPr>
      <w:r w:rsidRPr="007717EC">
        <w:rPr>
          <w:rFonts w:ascii="Arial Black" w:hAnsi="Arial Black" w:cs="Times New Roman"/>
        </w:rPr>
        <w:t>APELAÇÃO</w:t>
      </w:r>
    </w:p>
    <w:p w14:paraId="34C9FAC7" w14:textId="77777777" w:rsidR="007717EC" w:rsidRPr="007717EC" w:rsidRDefault="007717EC" w:rsidP="007717EC">
      <w:pPr>
        <w:spacing w:after="0" w:line="240" w:lineRule="auto"/>
        <w:ind w:right="-567"/>
        <w:jc w:val="right"/>
        <w:rPr>
          <w:rFonts w:ascii="Arial Black" w:hAnsi="Arial Black" w:cs="Times New Roman"/>
        </w:rPr>
      </w:pPr>
      <w:proofErr w:type="spellStart"/>
      <w:r w:rsidRPr="007717EC">
        <w:rPr>
          <w:rFonts w:ascii="Arial Black" w:hAnsi="Arial Black" w:cs="Times New Roman"/>
        </w:rPr>
        <w:t>Rénan</w:t>
      </w:r>
      <w:proofErr w:type="spellEnd"/>
      <w:r w:rsidRPr="007717EC">
        <w:rPr>
          <w:rFonts w:ascii="Arial Black" w:hAnsi="Arial Black" w:cs="Times New Roman"/>
        </w:rPr>
        <w:t xml:space="preserve"> </w:t>
      </w:r>
      <w:proofErr w:type="spellStart"/>
      <w:r w:rsidRPr="007717EC">
        <w:rPr>
          <w:rFonts w:ascii="Arial Black" w:hAnsi="Arial Black" w:cs="Times New Roman"/>
        </w:rPr>
        <w:t>Kfuri</w:t>
      </w:r>
      <w:proofErr w:type="spellEnd"/>
      <w:r w:rsidRPr="007717EC">
        <w:rPr>
          <w:rFonts w:ascii="Arial Black" w:hAnsi="Arial Black" w:cs="Times New Roman"/>
        </w:rPr>
        <w:t xml:space="preserve"> Lopes</w:t>
      </w:r>
    </w:p>
    <w:p w14:paraId="43A66F5F" w14:textId="77777777" w:rsidR="007717EC" w:rsidRPr="007717EC" w:rsidRDefault="007717EC" w:rsidP="007717EC">
      <w:pPr>
        <w:ind w:right="-568"/>
        <w:jc w:val="both"/>
        <w:rPr>
          <w:rFonts w:ascii="Times New Roman" w:hAnsi="Times New Roman" w:cs="Times New Roman"/>
        </w:rPr>
      </w:pPr>
    </w:p>
    <w:p w14:paraId="259BE8A4" w14:textId="77777777" w:rsidR="007717EC" w:rsidRDefault="007717EC" w:rsidP="007717EC">
      <w:pPr>
        <w:ind w:right="-568"/>
        <w:jc w:val="both"/>
        <w:rPr>
          <w:rFonts w:ascii="Times New Roman" w:hAnsi="Times New Roman" w:cs="Times New Roman"/>
        </w:rPr>
      </w:pPr>
      <w:r w:rsidRPr="007717EC">
        <w:rPr>
          <w:rFonts w:ascii="Times New Roman" w:hAnsi="Times New Roman" w:cs="Times New Roman"/>
        </w:rPr>
        <w:t>E</w:t>
      </w:r>
      <w:r>
        <w:rPr>
          <w:rFonts w:ascii="Times New Roman" w:hAnsi="Times New Roman" w:cs="Times New Roman"/>
        </w:rPr>
        <w:t>xmo. Sr. Juiz de Direito da ... Vara Cível da Comarca de ...</w:t>
      </w:r>
    </w:p>
    <w:p w14:paraId="76431B23" w14:textId="60548F2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Proc. </w:t>
      </w:r>
      <w:r>
        <w:rPr>
          <w:rFonts w:ascii="Times New Roman" w:hAnsi="Times New Roman" w:cs="Times New Roman"/>
        </w:rPr>
        <w:t>...</w:t>
      </w:r>
    </w:p>
    <w:p w14:paraId="37425FF9" w14:textId="08ECDCAE" w:rsidR="007717EC" w:rsidRPr="007717EC" w:rsidRDefault="007717EC" w:rsidP="007717EC">
      <w:pPr>
        <w:ind w:right="-568"/>
        <w:jc w:val="both"/>
        <w:rPr>
          <w:rFonts w:ascii="Times New Roman" w:hAnsi="Times New Roman" w:cs="Times New Roman"/>
        </w:rPr>
      </w:pPr>
      <w:r>
        <w:rPr>
          <w:rFonts w:ascii="Times New Roman" w:hAnsi="Times New Roman" w:cs="Times New Roman"/>
        </w:rPr>
        <w:t>(nome),</w:t>
      </w:r>
      <w:r w:rsidRPr="007717EC">
        <w:rPr>
          <w:rFonts w:ascii="Times New Roman" w:hAnsi="Times New Roman" w:cs="Times New Roman"/>
        </w:rPr>
        <w:t xml:space="preserve"> por seus advogados </w:t>
      </w:r>
      <w:r w:rsidRPr="007717EC">
        <w:rPr>
          <w:rFonts w:ascii="Times New Roman" w:hAnsi="Times New Roman" w:cs="Times New Roman"/>
          <w:i/>
          <w:iCs/>
        </w:rPr>
        <w:t>in fine</w:t>
      </w:r>
      <w:r w:rsidRPr="007717EC">
        <w:rPr>
          <w:rFonts w:ascii="Times New Roman" w:hAnsi="Times New Roman" w:cs="Times New Roman"/>
        </w:rPr>
        <w:t xml:space="preserve"> assinados, nos autos da “</w:t>
      </w:r>
      <w:r w:rsidRPr="007717EC">
        <w:rPr>
          <w:rFonts w:ascii="Times New Roman" w:hAnsi="Times New Roman" w:cs="Times New Roman"/>
          <w:i/>
          <w:iCs/>
        </w:rPr>
        <w:t>Ação de Consignação em Pagamento</w:t>
      </w:r>
      <w:r w:rsidRPr="007717EC">
        <w:rPr>
          <w:rFonts w:ascii="Times New Roman" w:hAnsi="Times New Roman" w:cs="Times New Roman"/>
        </w:rPr>
        <w:t xml:space="preserve">” epigrafada que promove contra </w:t>
      </w:r>
      <w:r>
        <w:rPr>
          <w:rFonts w:ascii="Times New Roman" w:hAnsi="Times New Roman" w:cs="Times New Roman"/>
        </w:rPr>
        <w:t>...</w:t>
      </w:r>
      <w:r w:rsidRPr="007717EC">
        <w:rPr>
          <w:rFonts w:ascii="Times New Roman" w:hAnsi="Times New Roman" w:cs="Times New Roman"/>
        </w:rPr>
        <w:t>, vem, respeitosamente, interpor a presente apelação [CPC, art. 1.009], pelas razões de direito adiante articuladas:</w:t>
      </w:r>
    </w:p>
    <w:p w14:paraId="24584E0A" w14:textId="665A5F5F" w:rsidR="007717EC" w:rsidRPr="007717EC" w:rsidRDefault="007717EC" w:rsidP="007717EC">
      <w:pPr>
        <w:ind w:right="-568"/>
        <w:jc w:val="both"/>
        <w:rPr>
          <w:rFonts w:ascii="Times New Roman" w:hAnsi="Times New Roman" w:cs="Times New Roman"/>
        </w:rPr>
      </w:pPr>
      <w:r>
        <w:rPr>
          <w:rFonts w:ascii="Times New Roman" w:hAnsi="Times New Roman" w:cs="Times New Roman"/>
        </w:rPr>
        <w:t>“</w:t>
      </w:r>
      <w:r w:rsidRPr="007717EC">
        <w:rPr>
          <w:rFonts w:ascii="Times New Roman" w:hAnsi="Times New Roman" w:cs="Times New Roman"/>
          <w:i/>
          <w:iCs/>
        </w:rPr>
        <w:t xml:space="preserve">APELAÇÃO CÍVEL. AÇÃO DE CONSIGNAÇÃO EM PAGAMENTO. DISSOLUÇÃO PARCIAL DE SOCIEDADE. RETIRADA DE SÓCIO MINORITÁRIO. APURAÇÃO DE HAVERES MEDIANTE BALANÇO ESPECIALMENTE LEVANTADO POR PROFISSIONAL CONTÁBIL HABILITADO, NOS TERMOS DO ART. 1.031 DO CÓDIGO CIVIL. OFERTA DE PAGAMENTO EM ESTRITA CONFORMIDADE COM O CONTRATO SOCIAL. RECUSA DO SÓCIO RETIRANTE CIRCUNSCRITA A PONTO TÉCNICO ÚNICO E PONTUAL — METODOLOGIA DE AVALIAÇÃO DE IMÓVEL RURAL SUB JUDICE EM AÇÃO DE DESAPROPRIAÇÃO AINDA PENDENTE DE SENTENÇA —, JÁ PROSPECTIVAMENTE EQUACIONADO PELO PRÓPRIO LAUDO TÉCNICO. AUSÊNCIA DE INDICAÇÃO, PELO RÉU, DO MONTANTE QUE ENTENDE DEVIDO. INTELIGÊNCIA DO ART. 544, IV E PARÁGRAFO ÚNICO, DO CPC. SENTENÇA DE IMPROCEDÊNCIA FUNDADA NA SUPOSTA NECESSIDADE DE AÇÃO AUTÔNOMA DE APURAÇÃO JUDICIAL DE HAVERES. IMPROPRIEDADE. POSSIBILIDADE DE AMPLA DISCUSSÃO SOBRE O DÉBITO NOS PRÓPRIOS AUTOS DA CONSIGNATÓRIA. PRECEDENTES DO SUPERIOR TRIBUNAL DE JUSTIÇA [RESP N. 1.108.058/DF] E DESTA EGRÉGIA CORTE TRIBUNAL DE JUSTIÇA DE </w:t>
      </w:r>
      <w:r>
        <w:rPr>
          <w:rFonts w:ascii="Times New Roman" w:hAnsi="Times New Roman" w:cs="Times New Roman"/>
          <w:i/>
          <w:iCs/>
        </w:rPr>
        <w:t>...</w:t>
      </w:r>
      <w:r w:rsidRPr="007717EC">
        <w:rPr>
          <w:rFonts w:ascii="Times New Roman" w:hAnsi="Times New Roman" w:cs="Times New Roman"/>
          <w:i/>
          <w:iCs/>
        </w:rPr>
        <w:t xml:space="preserve"> [APELAÇÃO CÍVEL N. </w:t>
      </w:r>
      <w:r>
        <w:rPr>
          <w:rFonts w:ascii="Times New Roman" w:hAnsi="Times New Roman" w:cs="Times New Roman"/>
          <w:i/>
          <w:iCs/>
        </w:rPr>
        <w:t>...</w:t>
      </w:r>
      <w:r w:rsidRPr="007717EC">
        <w:rPr>
          <w:rFonts w:ascii="Times New Roman" w:hAnsi="Times New Roman" w:cs="Times New Roman"/>
          <w:i/>
          <w:iCs/>
        </w:rPr>
        <w:t>]. CERCEAMENTO DE DEFESA CONFIGURADO. AUSÊNCIA DE PRODUÇÃO DE PROVA PERICIAL CONTÁBIL E PATRIMONIAL EXPRESSAMENTE REQUERIDA PELO PRÓPRIO RÉU EM DUAS OPORTUNIDADES PROCESSUAIS. JULGAMENTO ANTECIPADO INDEVIDO. NULIDADE DA SENTENÇA. RETORNO DOS AUTOS À ORIGEM PARA REGULAR PROSSEGUIMENTO DA PRODUÇÃO PROBATÓRIA. SUBSIDIARIAMENTE, REFORMA DA SENTENÇA PARA RECONHECIMENTO DO CABIMENTO DA VIA ELEITA E PROCEDÊNCIA DOS PEDIDOS. INVERSÃO DOS ÔNUS SUCUMBENCIAIS. RECURSO CONHECIDO E, NA EXTENSÃO POSTULADA, PROVIDO</w:t>
      </w:r>
      <w:r w:rsidRPr="007717EC">
        <w:rPr>
          <w:rFonts w:ascii="Times New Roman" w:hAnsi="Times New Roman" w:cs="Times New Roman"/>
        </w:rPr>
        <w:t>.</w:t>
      </w:r>
      <w:r>
        <w:rPr>
          <w:rFonts w:ascii="Times New Roman" w:hAnsi="Times New Roman" w:cs="Times New Roman"/>
        </w:rPr>
        <w:t>”</w:t>
      </w:r>
    </w:p>
    <w:p w14:paraId="1D3F7AF3" w14:textId="397267A4" w:rsidR="007717EC" w:rsidRPr="007717EC" w:rsidRDefault="007717EC" w:rsidP="007717EC">
      <w:pPr>
        <w:ind w:right="-568"/>
        <w:jc w:val="both"/>
        <w:rPr>
          <w:rFonts w:ascii="Times New Roman" w:hAnsi="Times New Roman" w:cs="Times New Roman"/>
          <w:b/>
          <w:bCs/>
        </w:rPr>
      </w:pPr>
      <w:r w:rsidRPr="007717EC">
        <w:rPr>
          <w:rFonts w:ascii="Times New Roman" w:hAnsi="Times New Roman" w:cs="Times New Roman"/>
        </w:rPr>
        <w:t xml:space="preserve"> </w:t>
      </w:r>
      <w:r w:rsidRPr="007717EC">
        <w:rPr>
          <w:rFonts w:ascii="Times New Roman" w:hAnsi="Times New Roman" w:cs="Times New Roman"/>
          <w:b/>
          <w:bCs/>
        </w:rPr>
        <w:t>RAZÕES DE APELAÇÃO</w:t>
      </w:r>
    </w:p>
    <w:p w14:paraId="22C1B38F" w14:textId="74FECCE0"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COLENDA CÂMARA, EMÉRITOS JULGADORES!</w:t>
      </w:r>
    </w:p>
    <w:p w14:paraId="7C1243B2" w14:textId="49EB778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Trata-se de recurso de apelação interposto por </w:t>
      </w:r>
      <w:r>
        <w:rPr>
          <w:rFonts w:ascii="Times New Roman" w:hAnsi="Times New Roman" w:cs="Times New Roman"/>
        </w:rPr>
        <w:t>..</w:t>
      </w:r>
      <w:r w:rsidRPr="007717EC">
        <w:rPr>
          <w:rFonts w:ascii="Times New Roman" w:hAnsi="Times New Roman" w:cs="Times New Roman"/>
        </w:rPr>
        <w:t xml:space="preserve">. em face da r. sentença que julgou improcedentes os pedidos formulados nos autos da ação de consignação em pagamento movida contra o sócio retirante </w:t>
      </w:r>
      <w:r>
        <w:rPr>
          <w:rFonts w:ascii="Times New Roman" w:hAnsi="Times New Roman" w:cs="Times New Roman"/>
        </w:rPr>
        <w:t>...</w:t>
      </w:r>
      <w:r w:rsidRPr="007717EC">
        <w:rPr>
          <w:rFonts w:ascii="Times New Roman" w:hAnsi="Times New Roman" w:cs="Times New Roman"/>
        </w:rPr>
        <w:t xml:space="preserve">, extinguindo o feito com resolução de mérito (art. 487, I, CPC/2015) </w:t>
      </w:r>
      <w:r w:rsidRPr="007717EC">
        <w:rPr>
          <w:rFonts w:ascii="Times New Roman" w:hAnsi="Times New Roman" w:cs="Times New Roman"/>
        </w:rPr>
        <w:lastRenderedPageBreak/>
        <w:t>e condenando a Apelante ao pagamento integral das custas processuais e dos honorários de sucumbência, fixados em 10% sobre o valor atualizado da causa.</w:t>
      </w:r>
    </w:p>
    <w:p w14:paraId="107BF748" w14:textId="7D38E94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Data máxima </w:t>
      </w:r>
      <w:proofErr w:type="spellStart"/>
      <w:r w:rsidRPr="007717EC">
        <w:rPr>
          <w:rFonts w:ascii="Times New Roman" w:hAnsi="Times New Roman" w:cs="Times New Roman"/>
          <w:i/>
          <w:iCs/>
        </w:rPr>
        <w:t>venia</w:t>
      </w:r>
      <w:proofErr w:type="spellEnd"/>
      <w:r w:rsidRPr="007717EC">
        <w:rPr>
          <w:rFonts w:ascii="Times New Roman" w:hAnsi="Times New Roman" w:cs="Times New Roman"/>
        </w:rPr>
        <w:t xml:space="preserve"> ao respeitável entendimento do d. Juízo </w:t>
      </w:r>
      <w:r w:rsidRPr="007717EC">
        <w:rPr>
          <w:rFonts w:ascii="Times New Roman" w:hAnsi="Times New Roman" w:cs="Times New Roman"/>
          <w:i/>
          <w:iCs/>
        </w:rPr>
        <w:t>a quo</w:t>
      </w:r>
      <w:r w:rsidRPr="007717EC">
        <w:rPr>
          <w:rFonts w:ascii="Times New Roman" w:hAnsi="Times New Roman" w:cs="Times New Roman"/>
        </w:rPr>
        <w:t xml:space="preserve">, a r. sentença --- como se demonstrará com o rigor técnico que a matéria exige --- partiu de premissa fática equivocada e chegou </w:t>
      </w:r>
      <w:proofErr w:type="gramStart"/>
      <w:r w:rsidRPr="007717EC">
        <w:rPr>
          <w:rFonts w:ascii="Times New Roman" w:hAnsi="Times New Roman" w:cs="Times New Roman"/>
        </w:rPr>
        <w:t>a</w:t>
      </w:r>
      <w:proofErr w:type="gramEnd"/>
      <w:r w:rsidRPr="007717EC">
        <w:rPr>
          <w:rFonts w:ascii="Times New Roman" w:hAnsi="Times New Roman" w:cs="Times New Roman"/>
        </w:rPr>
        <w:t xml:space="preserve"> consequência jurídica que colide frontalmente com a jurisprudência pacífica do Superior Tribunal de Justiça e desta própria Egrégia Corte sobre o tema, motivo pelo qual comporta reforma e, subsidiariamente, cassação, pelos fundamentos a seguir minuciosamente articulados.</w:t>
      </w:r>
    </w:p>
    <w:p w14:paraId="7ECA38C7" w14:textId="0B59F108" w:rsidR="007717EC" w:rsidRPr="007717EC" w:rsidRDefault="007717EC" w:rsidP="007717EC">
      <w:pPr>
        <w:ind w:right="-568"/>
        <w:jc w:val="both"/>
        <w:rPr>
          <w:rFonts w:ascii="Times New Roman" w:hAnsi="Times New Roman" w:cs="Times New Roman"/>
          <w:b/>
          <w:bCs/>
        </w:rPr>
      </w:pPr>
      <w:r w:rsidRPr="007717EC">
        <w:rPr>
          <w:rFonts w:ascii="Times New Roman" w:hAnsi="Times New Roman" w:cs="Times New Roman"/>
        </w:rPr>
        <w:t xml:space="preserve"> </w:t>
      </w:r>
      <w:r w:rsidRPr="007717EC">
        <w:rPr>
          <w:rFonts w:ascii="Times New Roman" w:hAnsi="Times New Roman" w:cs="Times New Roman"/>
          <w:b/>
          <w:bCs/>
        </w:rPr>
        <w:t>I-SÍNTESE DA CAUSA E DO TRÂMITE PROCESSUAL</w:t>
      </w:r>
    </w:p>
    <w:p w14:paraId="75D571D9" w14:textId="35FB6F44"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A Apelante é sociedade empresária de natureza familiar, cujo objeto social consiste na administração e locação de imóveis próprios. O Apelado, advogado militante, inscrito na OAB/</w:t>
      </w:r>
      <w:r>
        <w:rPr>
          <w:rFonts w:ascii="Times New Roman" w:hAnsi="Times New Roman" w:cs="Times New Roman"/>
        </w:rPr>
        <w:t>...</w:t>
      </w:r>
      <w:r w:rsidRPr="007717EC">
        <w:rPr>
          <w:rFonts w:ascii="Times New Roman" w:hAnsi="Times New Roman" w:cs="Times New Roman"/>
        </w:rPr>
        <w:t xml:space="preserve"> sob o n. </w:t>
      </w:r>
      <w:r>
        <w:rPr>
          <w:rFonts w:ascii="Times New Roman" w:hAnsi="Times New Roman" w:cs="Times New Roman"/>
        </w:rPr>
        <w:t>...</w:t>
      </w:r>
      <w:r w:rsidRPr="007717EC">
        <w:rPr>
          <w:rFonts w:ascii="Times New Roman" w:hAnsi="Times New Roman" w:cs="Times New Roman"/>
        </w:rPr>
        <w:t xml:space="preserve">, figurava como titular de 5% [cinco por cento] do capital social e, em assembleia realizada em </w:t>
      </w:r>
      <w:r>
        <w:rPr>
          <w:rFonts w:ascii="Times New Roman" w:hAnsi="Times New Roman" w:cs="Times New Roman"/>
        </w:rPr>
        <w:t>...</w:t>
      </w:r>
      <w:r w:rsidRPr="007717EC">
        <w:rPr>
          <w:rFonts w:ascii="Times New Roman" w:hAnsi="Times New Roman" w:cs="Times New Roman"/>
        </w:rPr>
        <w:t xml:space="preserve">, regularmente convocada e documentada, manifestou formalmente seu desejo de se retirar da sociedade no exercício legítimo do direito de recesso que, uma vez externado, desencadeia, por força de lei, e não de mera liberalidade da sociedade, o dever de apuração e pagamento dos haveres correspondentes. </w:t>
      </w:r>
    </w:p>
    <w:p w14:paraId="7117A088" w14:textId="78F8953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A retirada foi consignada em ata arquivada perante a JUCE</w:t>
      </w:r>
      <w:r>
        <w:rPr>
          <w:rFonts w:ascii="Times New Roman" w:hAnsi="Times New Roman" w:cs="Times New Roman"/>
        </w:rPr>
        <w:t xml:space="preserve">... </w:t>
      </w:r>
      <w:r w:rsidRPr="007717EC">
        <w:rPr>
          <w:rFonts w:ascii="Times New Roman" w:hAnsi="Times New Roman" w:cs="Times New Roman"/>
        </w:rPr>
        <w:t xml:space="preserve">doc. </w:t>
      </w:r>
      <w:r>
        <w:rPr>
          <w:rFonts w:ascii="Times New Roman" w:hAnsi="Times New Roman" w:cs="Times New Roman"/>
        </w:rPr>
        <w:t>...</w:t>
      </w:r>
      <w:r w:rsidRPr="007717EC">
        <w:rPr>
          <w:rFonts w:ascii="Times New Roman" w:hAnsi="Times New Roman" w:cs="Times New Roman"/>
        </w:rPr>
        <w:t xml:space="preserve"> e, na sequência, formalizada pela </w:t>
      </w:r>
      <w:r>
        <w:rPr>
          <w:rFonts w:ascii="Times New Roman" w:hAnsi="Times New Roman" w:cs="Times New Roman"/>
        </w:rPr>
        <w:t>...</w:t>
      </w:r>
      <w:r w:rsidRPr="007717EC">
        <w:rPr>
          <w:rFonts w:ascii="Times New Roman" w:hAnsi="Times New Roman" w:cs="Times New Roman"/>
        </w:rPr>
        <w:t xml:space="preserve">ª Alteração Contratual, de </w:t>
      </w:r>
      <w:r>
        <w:rPr>
          <w:rFonts w:ascii="Times New Roman" w:hAnsi="Times New Roman" w:cs="Times New Roman"/>
        </w:rPr>
        <w:t>...</w:t>
      </w:r>
      <w:r w:rsidRPr="007717EC">
        <w:rPr>
          <w:rFonts w:ascii="Times New Roman" w:hAnsi="Times New Roman" w:cs="Times New Roman"/>
        </w:rPr>
        <w:t xml:space="preserve"> [doc.</w:t>
      </w:r>
      <w:r>
        <w:rPr>
          <w:rFonts w:ascii="Times New Roman" w:hAnsi="Times New Roman" w:cs="Times New Roman"/>
        </w:rPr>
        <w:t xml:space="preserve"> ...</w:t>
      </w:r>
      <w:r w:rsidRPr="007717EC">
        <w:rPr>
          <w:rFonts w:ascii="Times New Roman" w:hAnsi="Times New Roman" w:cs="Times New Roman"/>
        </w:rPr>
        <w:t>], que reduziu o capital social e realocou proporcionalmente a participação dos sócios remanescentes.</w:t>
      </w:r>
    </w:p>
    <w:p w14:paraId="07B8CB06" w14:textId="1D90E344"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Diante da dissolução parcial em relação ao sócio retirante, a Apelante não se furtou ao cumprimento de sua obrigação legal: em estrita observância ao art. 1.031 do Código Civil, contratou profissional contábil habilitado e independente — Dr. </w:t>
      </w:r>
      <w:r>
        <w:rPr>
          <w:rFonts w:ascii="Times New Roman" w:hAnsi="Times New Roman" w:cs="Times New Roman"/>
        </w:rPr>
        <w:t>...</w:t>
      </w:r>
      <w:r w:rsidRPr="007717EC">
        <w:rPr>
          <w:rFonts w:ascii="Times New Roman" w:hAnsi="Times New Roman" w:cs="Times New Roman"/>
        </w:rPr>
        <w:t>, CRC/</w:t>
      </w:r>
      <w:r>
        <w:rPr>
          <w:rFonts w:ascii="Times New Roman" w:hAnsi="Times New Roman" w:cs="Times New Roman"/>
        </w:rPr>
        <w:t>...</w:t>
      </w:r>
      <w:r w:rsidRPr="007717EC">
        <w:rPr>
          <w:rFonts w:ascii="Times New Roman" w:hAnsi="Times New Roman" w:cs="Times New Roman"/>
        </w:rPr>
        <w:t xml:space="preserve"> </w:t>
      </w:r>
      <w:r>
        <w:rPr>
          <w:rFonts w:ascii="Times New Roman" w:hAnsi="Times New Roman" w:cs="Times New Roman"/>
        </w:rPr>
        <w:t>...</w:t>
      </w:r>
      <w:r w:rsidRPr="007717EC">
        <w:rPr>
          <w:rFonts w:ascii="Times New Roman" w:hAnsi="Times New Roman" w:cs="Times New Roman"/>
        </w:rPr>
        <w:t xml:space="preserve"> e CRA/</w:t>
      </w:r>
      <w:r>
        <w:rPr>
          <w:rFonts w:ascii="Times New Roman" w:hAnsi="Times New Roman" w:cs="Times New Roman"/>
        </w:rPr>
        <w:t>... ...</w:t>
      </w:r>
      <w:r w:rsidRPr="007717EC">
        <w:rPr>
          <w:rFonts w:ascii="Times New Roman" w:hAnsi="Times New Roman" w:cs="Times New Roman"/>
        </w:rPr>
        <w:t xml:space="preserve">— para a elaboração de balanço especialmente levantado, com metodologia técnica de </w:t>
      </w:r>
      <w:proofErr w:type="spellStart"/>
      <w:r w:rsidRPr="007717EC">
        <w:rPr>
          <w:rFonts w:ascii="Times New Roman" w:hAnsi="Times New Roman" w:cs="Times New Roman"/>
          <w:i/>
          <w:iCs/>
        </w:rPr>
        <w:t>valuation</w:t>
      </w:r>
      <w:proofErr w:type="spellEnd"/>
      <w:r w:rsidRPr="007717EC">
        <w:rPr>
          <w:rFonts w:ascii="Times New Roman" w:hAnsi="Times New Roman" w:cs="Times New Roman"/>
        </w:rPr>
        <w:t xml:space="preserve"> baseada em dados contábeis, financeiros e patrimoniais reais da sociedade. Desse trabalho resultou o "</w:t>
      </w:r>
      <w:r w:rsidRPr="007717EC">
        <w:rPr>
          <w:rFonts w:ascii="Times New Roman" w:hAnsi="Times New Roman" w:cs="Times New Roman"/>
          <w:i/>
          <w:iCs/>
        </w:rPr>
        <w:t>Laudo de Apuração do Balanço Especial de Haveres</w:t>
      </w:r>
      <w:r w:rsidRPr="007717EC">
        <w:rPr>
          <w:rFonts w:ascii="Times New Roman" w:hAnsi="Times New Roman" w:cs="Times New Roman"/>
        </w:rPr>
        <w:t xml:space="preserve">", com data-base de </w:t>
      </w:r>
      <w:r>
        <w:rPr>
          <w:rFonts w:ascii="Times New Roman" w:hAnsi="Times New Roman" w:cs="Times New Roman"/>
        </w:rPr>
        <w:t>...</w:t>
      </w:r>
      <w:r w:rsidRPr="007717EC">
        <w:rPr>
          <w:rFonts w:ascii="Times New Roman" w:hAnsi="Times New Roman" w:cs="Times New Roman"/>
        </w:rPr>
        <w:t xml:space="preserve"> [60 dias após a notificação da retirada, prazo técnico adotado pelo próprio </w:t>
      </w:r>
      <w:r w:rsidRPr="007717EC">
        <w:rPr>
          <w:rFonts w:ascii="Times New Roman" w:hAnsi="Times New Roman" w:cs="Times New Roman"/>
          <w:i/>
          <w:iCs/>
        </w:rPr>
        <w:t>expert</w:t>
      </w:r>
      <w:r w:rsidRPr="007717EC">
        <w:rPr>
          <w:rFonts w:ascii="Times New Roman" w:hAnsi="Times New Roman" w:cs="Times New Roman"/>
        </w:rPr>
        <w:t xml:space="preserve">], apurando o patrimônio líquido da sociedade em R$ </w:t>
      </w:r>
      <w:r>
        <w:rPr>
          <w:rFonts w:ascii="Times New Roman" w:hAnsi="Times New Roman" w:cs="Times New Roman"/>
        </w:rPr>
        <w:t>...</w:t>
      </w:r>
      <w:r w:rsidRPr="007717EC">
        <w:rPr>
          <w:rFonts w:ascii="Times New Roman" w:hAnsi="Times New Roman" w:cs="Times New Roman"/>
        </w:rPr>
        <w:t xml:space="preserve"> e, na exata proporção da participação do Apelado, o valor de seus haveres em R$ </w:t>
      </w:r>
      <w:r>
        <w:rPr>
          <w:rFonts w:ascii="Times New Roman" w:hAnsi="Times New Roman" w:cs="Times New Roman"/>
        </w:rPr>
        <w:t>...</w:t>
      </w:r>
      <w:r w:rsidRPr="007717EC">
        <w:rPr>
          <w:rFonts w:ascii="Times New Roman" w:hAnsi="Times New Roman" w:cs="Times New Roman"/>
        </w:rPr>
        <w:t xml:space="preserve"> [doc. </w:t>
      </w:r>
      <w:r>
        <w:rPr>
          <w:rFonts w:ascii="Times New Roman" w:hAnsi="Times New Roman" w:cs="Times New Roman"/>
        </w:rPr>
        <w:t>...</w:t>
      </w:r>
      <w:r w:rsidRPr="007717EC">
        <w:rPr>
          <w:rFonts w:ascii="Times New Roman" w:hAnsi="Times New Roman" w:cs="Times New Roman"/>
        </w:rPr>
        <w:t>].</w:t>
      </w:r>
    </w:p>
    <w:p w14:paraId="69BCB46E" w14:textId="7E5B130D"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Não bastasse a rigorosa apuração técnica, a Apelante agiu com transparência exemplar: o laudo e a proposta de pagamento em 48 [quarenta e oito] parcelas mensais e consecutivas, na exatíssima forma prevista nas Cláusulas 16ª, §2º, e 18ª do contrato social então vigente, cláusulas essas que o próprio Apelado, na qualidade de sócio, subscreveu e sempre conheceu, foram encaminhados por e-mail em </w:t>
      </w:r>
      <w:r>
        <w:rPr>
          <w:rFonts w:ascii="Times New Roman" w:hAnsi="Times New Roman" w:cs="Times New Roman"/>
        </w:rPr>
        <w:t>...</w:t>
      </w:r>
      <w:r w:rsidRPr="007717EC">
        <w:rPr>
          <w:rFonts w:ascii="Times New Roman" w:hAnsi="Times New Roman" w:cs="Times New Roman"/>
        </w:rPr>
        <w:t xml:space="preserve"> [doc. </w:t>
      </w:r>
      <w:r>
        <w:rPr>
          <w:rFonts w:ascii="Times New Roman" w:hAnsi="Times New Roman" w:cs="Times New Roman"/>
        </w:rPr>
        <w:t>...</w:t>
      </w:r>
      <w:r w:rsidRPr="007717EC">
        <w:rPr>
          <w:rFonts w:ascii="Times New Roman" w:hAnsi="Times New Roman" w:cs="Times New Roman"/>
        </w:rPr>
        <w:t>].</w:t>
      </w:r>
    </w:p>
    <w:p w14:paraId="29E838A4" w14:textId="45F3F2D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Instada a esclarecer pontos técnicos suscitados pelo Apelado, a Apelante, longe de qualquer postura de resistência, disponibilizou prontamente, em </w:t>
      </w:r>
      <w:r>
        <w:rPr>
          <w:rFonts w:ascii="Times New Roman" w:hAnsi="Times New Roman" w:cs="Times New Roman"/>
        </w:rPr>
        <w:t>...</w:t>
      </w:r>
      <w:r w:rsidRPr="007717EC">
        <w:rPr>
          <w:rFonts w:ascii="Times New Roman" w:hAnsi="Times New Roman" w:cs="Times New Roman"/>
        </w:rPr>
        <w:t xml:space="preserve"> e novamente em </w:t>
      </w:r>
      <w:r>
        <w:rPr>
          <w:rFonts w:ascii="Times New Roman" w:hAnsi="Times New Roman" w:cs="Times New Roman"/>
        </w:rPr>
        <w:t>...</w:t>
      </w:r>
      <w:r w:rsidRPr="007717EC">
        <w:rPr>
          <w:rFonts w:ascii="Times New Roman" w:hAnsi="Times New Roman" w:cs="Times New Roman"/>
        </w:rPr>
        <w:t xml:space="preserve">, a integralidade da documentação de suporte ao laudo — declarações contábeis, extratos bancários, parecer jurídico e laudo técnico de avaliação de imóvel [docs. </w:t>
      </w:r>
      <w:r>
        <w:rPr>
          <w:rFonts w:ascii="Times New Roman" w:hAnsi="Times New Roman" w:cs="Times New Roman"/>
        </w:rPr>
        <w:t>...</w:t>
      </w:r>
      <w:r w:rsidRPr="007717EC">
        <w:rPr>
          <w:rFonts w:ascii="Times New Roman" w:hAnsi="Times New Roman" w:cs="Times New Roman"/>
        </w:rPr>
        <w:t>] —, numa clara demonstração de boa-fé objetiva e de disposição genuína para a solução extrajudicial da controvérsia.</w:t>
      </w:r>
    </w:p>
    <w:p w14:paraId="4CD1AABE" w14:textId="3AB90DBC"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É nesse contexto de ampla transparência que se revela o real perfil da resistência do Apelado. </w:t>
      </w:r>
    </w:p>
    <w:p w14:paraId="0D324BD0" w14:textId="5248E6C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lastRenderedPageBreak/>
        <w:t xml:space="preserve">Analisada com vagar toda a documentação por ele próprio produzida, constata-se que a única objeção tecnicamente formulada — reiterada, com pequenas variações retóricas, nos e-mails de </w:t>
      </w:r>
      <w:r>
        <w:rPr>
          <w:rFonts w:ascii="Times New Roman" w:hAnsi="Times New Roman" w:cs="Times New Roman"/>
        </w:rPr>
        <w:t>...</w:t>
      </w:r>
      <w:r w:rsidRPr="007717EC">
        <w:rPr>
          <w:rFonts w:ascii="Times New Roman" w:hAnsi="Times New Roman" w:cs="Times New Roman"/>
        </w:rPr>
        <w:t xml:space="preserve"> e </w:t>
      </w:r>
      <w:r>
        <w:rPr>
          <w:rFonts w:ascii="Times New Roman" w:hAnsi="Times New Roman" w:cs="Times New Roman"/>
        </w:rPr>
        <w:t>...</w:t>
      </w:r>
      <w:r w:rsidRPr="007717EC">
        <w:rPr>
          <w:rFonts w:ascii="Times New Roman" w:hAnsi="Times New Roman" w:cs="Times New Roman"/>
        </w:rPr>
        <w:t xml:space="preserve"> [docs. </w:t>
      </w:r>
      <w:r>
        <w:rPr>
          <w:rFonts w:ascii="Times New Roman" w:hAnsi="Times New Roman" w:cs="Times New Roman"/>
        </w:rPr>
        <w:t>...</w:t>
      </w:r>
      <w:r w:rsidRPr="007717EC">
        <w:rPr>
          <w:rFonts w:ascii="Times New Roman" w:hAnsi="Times New Roman" w:cs="Times New Roman"/>
        </w:rPr>
        <w:t xml:space="preserve">] — cingiu-se, invariavelmente, a um único e isolado aspecto: a metodologia de avaliação dos imóveis rurais objeto da Ação de Desapropriação n. </w:t>
      </w:r>
      <w:r>
        <w:rPr>
          <w:rFonts w:ascii="Times New Roman" w:hAnsi="Times New Roman" w:cs="Times New Roman"/>
        </w:rPr>
        <w:t>...</w:t>
      </w:r>
      <w:r w:rsidRPr="007717EC">
        <w:rPr>
          <w:rFonts w:ascii="Times New Roman" w:hAnsi="Times New Roman" w:cs="Times New Roman"/>
        </w:rPr>
        <w:t xml:space="preserve">, em curso perante a </w:t>
      </w:r>
      <w:r>
        <w:rPr>
          <w:rFonts w:ascii="Times New Roman" w:hAnsi="Times New Roman" w:cs="Times New Roman"/>
        </w:rPr>
        <w:t>...</w:t>
      </w:r>
      <w:r w:rsidRPr="007717EC">
        <w:rPr>
          <w:rFonts w:ascii="Times New Roman" w:hAnsi="Times New Roman" w:cs="Times New Roman"/>
        </w:rPr>
        <w:t xml:space="preserve">ª Vara Cível da Comarca de </w:t>
      </w:r>
      <w:r>
        <w:rPr>
          <w:rFonts w:ascii="Times New Roman" w:hAnsi="Times New Roman" w:cs="Times New Roman"/>
        </w:rPr>
        <w:t>...</w:t>
      </w:r>
      <w:r w:rsidRPr="007717EC">
        <w:rPr>
          <w:rFonts w:ascii="Times New Roman" w:hAnsi="Times New Roman" w:cs="Times New Roman"/>
        </w:rPr>
        <w:t xml:space="preserve">, ainda em fase de perícia de avaliação e sem sentença de mérito. </w:t>
      </w:r>
    </w:p>
    <w:p w14:paraId="713908B0" w14:textId="436F2E1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O próprio Apelado chegou a citar, no e-mail de </w:t>
      </w:r>
      <w:r>
        <w:rPr>
          <w:rFonts w:ascii="Times New Roman" w:hAnsi="Times New Roman" w:cs="Times New Roman"/>
        </w:rPr>
        <w:t>...</w:t>
      </w:r>
      <w:r w:rsidRPr="007717EC">
        <w:rPr>
          <w:rFonts w:ascii="Times New Roman" w:hAnsi="Times New Roman" w:cs="Times New Roman"/>
        </w:rPr>
        <w:t>, parâmetros de referência do CEPA/EPAGRI para sustentar que o valor de mercado da terra seria superior ao adotado no laudo; o que demonstra, à saciedade, que sua irresignação nunca disse respeito à integralidade do trabalho técnico, mas a um ponto isolado, específico e determinável.</w:t>
      </w:r>
    </w:p>
    <w:p w14:paraId="487208DC" w14:textId="1B483419"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E o que a sentença recorrida não sopesou com a devida atenção é que esse exato ponto já havia sido tecnicamente enfrentado e equacionado pelo próprio laudo. Com absoluto rigor técnico e prudência, o expert optou por não incluir o valor da indenização expropriatória — por definição incerto, litigioso e pendente de decisão judicial definitiva em processo autônomo — no patrimônio líquido base do cálculo dos haveres, sob pena de inflar artificialmente o </w:t>
      </w:r>
      <w:proofErr w:type="spellStart"/>
      <w:r w:rsidRPr="007717EC">
        <w:rPr>
          <w:rFonts w:ascii="Times New Roman" w:hAnsi="Times New Roman" w:cs="Times New Roman"/>
          <w:i/>
          <w:iCs/>
        </w:rPr>
        <w:t>valuation</w:t>
      </w:r>
      <w:proofErr w:type="spellEnd"/>
      <w:r w:rsidRPr="007717EC">
        <w:rPr>
          <w:rFonts w:ascii="Times New Roman" w:hAnsi="Times New Roman" w:cs="Times New Roman"/>
        </w:rPr>
        <w:t xml:space="preserve"> da sociedade com um ativo contingente e ainda não realizado. </w:t>
      </w:r>
    </w:p>
    <w:p w14:paraId="4F1A7879" w14:textId="0AAE84BA"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Em contrapartida, resguardou expressamente ao Apelado, em termos absolutamente inequívocos, o direito de receber, no futuro, a parcela proporcional que lhe couber, na exata medida de sua participação societária à época dos fatos, caso a ação de desapropriação venha a ser julgada procedente [doc. </w:t>
      </w:r>
      <w:r>
        <w:rPr>
          <w:rFonts w:ascii="Times New Roman" w:hAnsi="Times New Roman" w:cs="Times New Roman"/>
        </w:rPr>
        <w:t>...</w:t>
      </w:r>
      <w:r w:rsidRPr="007717EC">
        <w:rPr>
          <w:rFonts w:ascii="Times New Roman" w:hAnsi="Times New Roman" w:cs="Times New Roman"/>
        </w:rPr>
        <w:t xml:space="preserve">]. </w:t>
      </w:r>
    </w:p>
    <w:p w14:paraId="62310DAE" w14:textId="642699C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Houve, portanto, solução técnica prudente, que protege tanto a sociedade quanto o sócio retirante, e que jamais poderia ser tida como fundamento idôneo para a recusa do recebimento da parcela incontroversa dos haveres.</w:t>
      </w:r>
    </w:p>
    <w:p w14:paraId="4337BE7A" w14:textId="37E648B3"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Mais grave ainda: em nenhum momento, nem na fase </w:t>
      </w:r>
      <w:proofErr w:type="spellStart"/>
      <w:r w:rsidRPr="007717EC">
        <w:rPr>
          <w:rFonts w:ascii="Times New Roman" w:hAnsi="Times New Roman" w:cs="Times New Roman"/>
        </w:rPr>
        <w:t>pré</w:t>
      </w:r>
      <w:proofErr w:type="spellEnd"/>
      <w:r w:rsidRPr="007717EC">
        <w:rPr>
          <w:rFonts w:ascii="Times New Roman" w:hAnsi="Times New Roman" w:cs="Times New Roman"/>
        </w:rPr>
        <w:t xml:space="preserve">-processual, nem na contestação, nem na manifestação posterior, o Apelado indicou o montante específico que entende devido a título de haveres decorrentes de sua retirada da sociedade. </w:t>
      </w:r>
    </w:p>
    <w:p w14:paraId="1452A924" w14:textId="187FD9F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Limitou-se a questionar, de forma genérica e sem qualquer memória de cálculo conclusiva, o parâmetro de R$/m² aplicável a um bem cuja indenização, por decorrer de ação de desapropriação ainda em curso e sujeita a álea processual própria, sequer está definida. </w:t>
      </w:r>
    </w:p>
    <w:p w14:paraId="0307D5A2" w14:textId="7BD99186"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Ora, quem impugna um valor deve, ao menos, apontar qual entende ser o correto, sob pena de a impugnação se converter em mero obstáculo protelatório ao cumprimento da obrigação.</w:t>
      </w:r>
    </w:p>
    <w:p w14:paraId="60775F1E" w14:textId="21688CA2"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Diante da recusa injustificada e desacompanhada de qualquer indicação de valor alternativo, a Apelante, agindo com a diligência que se espera de um bom pagador, ajuizou a presente ação de consignação em pagamento em </w:t>
      </w:r>
      <w:r>
        <w:rPr>
          <w:rFonts w:ascii="Times New Roman" w:hAnsi="Times New Roman" w:cs="Times New Roman"/>
        </w:rPr>
        <w:t>...</w:t>
      </w:r>
      <w:r w:rsidRPr="007717EC">
        <w:rPr>
          <w:rFonts w:ascii="Times New Roman" w:hAnsi="Times New Roman" w:cs="Times New Roman"/>
        </w:rPr>
        <w:t>, postulando o depósito judicial dos haveres apurados, em 48 parcelas mensais, com a consequente extinção da obrigação e exoneração de encargos moratórios.</w:t>
      </w:r>
    </w:p>
    <w:p w14:paraId="72B9D002" w14:textId="77777777" w:rsid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Providência que, frise-se, é exatamente a que a lei civil disponibiliza ao devedor diligente diante da mora do credor [CC, </w:t>
      </w:r>
      <w:proofErr w:type="spellStart"/>
      <w:r w:rsidRPr="007717EC">
        <w:rPr>
          <w:rFonts w:ascii="Times New Roman" w:hAnsi="Times New Roman" w:cs="Times New Roman"/>
        </w:rPr>
        <w:t>arts</w:t>
      </w:r>
      <w:proofErr w:type="spellEnd"/>
      <w:r w:rsidRPr="007717EC">
        <w:rPr>
          <w:rFonts w:ascii="Times New Roman" w:hAnsi="Times New Roman" w:cs="Times New Roman"/>
        </w:rPr>
        <w:t>. 334 e 335, I,].</w:t>
      </w:r>
    </w:p>
    <w:p w14:paraId="7E6B411D" w14:textId="7AB5AF3F"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lastRenderedPageBreak/>
        <w:t xml:space="preserve">Citado, o Apelado ofereceu contestação [evento </w:t>
      </w:r>
      <w:r>
        <w:rPr>
          <w:rFonts w:ascii="Times New Roman" w:hAnsi="Times New Roman" w:cs="Times New Roman"/>
        </w:rPr>
        <w:t>...</w:t>
      </w:r>
      <w:r w:rsidRPr="007717EC">
        <w:rPr>
          <w:rFonts w:ascii="Times New Roman" w:hAnsi="Times New Roman" w:cs="Times New Roman"/>
        </w:rPr>
        <w:t>], na qual, em preliminar, impugnou o valor da causa e, no mérito, sustentou a incorreção da apuração, questionando a metodologia, a documentação e a valoração dos imóveis rurais. E requereu, expressamente, a produção de prova pericial para aferição do efetivo valor de sua participação societária, sem, contudo, indicar o montante que entendia devido, como exige o art. 544, parágrafo único, do CPC.</w:t>
      </w:r>
    </w:p>
    <w:p w14:paraId="72B39119" w14:textId="76B92A01"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Houve réplica [evento </w:t>
      </w:r>
      <w:r>
        <w:rPr>
          <w:rFonts w:ascii="Times New Roman" w:hAnsi="Times New Roman" w:cs="Times New Roman"/>
        </w:rPr>
        <w:t>...</w:t>
      </w:r>
      <w:r w:rsidRPr="007717EC">
        <w:rPr>
          <w:rFonts w:ascii="Times New Roman" w:hAnsi="Times New Roman" w:cs="Times New Roman"/>
        </w:rPr>
        <w:t xml:space="preserve">], na qual a Apelante rechaçou pontualmente as teses defensivas, e nova manifestação do Apelado [evento </w:t>
      </w:r>
      <w:r>
        <w:rPr>
          <w:rFonts w:ascii="Times New Roman" w:hAnsi="Times New Roman" w:cs="Times New Roman"/>
        </w:rPr>
        <w:t>...</w:t>
      </w:r>
      <w:r w:rsidRPr="007717EC">
        <w:rPr>
          <w:rFonts w:ascii="Times New Roman" w:hAnsi="Times New Roman" w:cs="Times New Roman"/>
        </w:rPr>
        <w:t>], na qual este reiterou os mesmos argumentos e, uma vez mais, a necessidade de perícia contábil e patrimonial, sem jamais suprir a omissão relativa à indicação de valor.</w:t>
      </w:r>
    </w:p>
    <w:p w14:paraId="3B380DC9" w14:textId="388D5F6D"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Sobreveio, então, a r. sentença ora recorrida que, sem determinar a produção de qualquer prova, julgou antecipadamente improcedentes os pedidos, sob o fundamento central de que a resistência do Apelado não decorreria de recusa imotivada, mas de controvérsia legítima sobre a correção da apuração dos haveres — controvérsia que, no entender do Juízo a quo, extrapolaria os limites da via consignatória e demandaria ação própria de apuração judicial de haveres. Em consequência, a Apelante foi condenada ao pagamento integral das custas processuais e dos honorários de sucumbência, fixados em 10% sobre o valor atualizado da causa.</w:t>
      </w:r>
    </w:p>
    <w:p w14:paraId="4E7DDB42" w14:textId="6EB21CE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É contra essa decisão que se insurge a Apelante, pelas razões a seguir deduzidas, organizadas em torno de duas óticas processual e materialmente entrelaçadas: (i) a nulidade da sentença por cerceamento de defesa, ante a ausência de produção da prova pericial requerida pelo próprio Apelado; e, subsidiariamente, superada essa questão prejudicial, (</w:t>
      </w:r>
      <w:proofErr w:type="spellStart"/>
      <w:r w:rsidRPr="007717EC">
        <w:rPr>
          <w:rFonts w:ascii="Times New Roman" w:hAnsi="Times New Roman" w:cs="Times New Roman"/>
        </w:rPr>
        <w:t>ii</w:t>
      </w:r>
      <w:proofErr w:type="spellEnd"/>
      <w:r w:rsidRPr="007717EC">
        <w:rPr>
          <w:rFonts w:ascii="Times New Roman" w:hAnsi="Times New Roman" w:cs="Times New Roman"/>
        </w:rPr>
        <w:t>) o cabimento pleno da via consignatória a despeito da controvérsia pontual sobre o valor, tema pacificado pelo Superior Tribunal de Justiça e por esta Egrégia Corte em caso rigorosamente análogo ao presente.</w:t>
      </w:r>
    </w:p>
    <w:p w14:paraId="4D515B34" w14:textId="7E1EB155" w:rsidR="007717EC" w:rsidRPr="007717EC" w:rsidRDefault="007717EC" w:rsidP="007717EC">
      <w:pPr>
        <w:ind w:right="-568"/>
        <w:jc w:val="both"/>
        <w:rPr>
          <w:rFonts w:ascii="Times New Roman" w:hAnsi="Times New Roman" w:cs="Times New Roman"/>
          <w:b/>
          <w:bCs/>
        </w:rPr>
      </w:pPr>
      <w:r w:rsidRPr="007717EC">
        <w:rPr>
          <w:rFonts w:ascii="Times New Roman" w:hAnsi="Times New Roman" w:cs="Times New Roman"/>
        </w:rPr>
        <w:t xml:space="preserve"> </w:t>
      </w:r>
      <w:r w:rsidRPr="007717EC">
        <w:rPr>
          <w:rFonts w:ascii="Times New Roman" w:hAnsi="Times New Roman" w:cs="Times New Roman"/>
          <w:b/>
          <w:bCs/>
        </w:rPr>
        <w:t>II.</w:t>
      </w:r>
      <w:r w:rsidRPr="007717EC">
        <w:rPr>
          <w:rFonts w:ascii="Times New Roman" w:hAnsi="Times New Roman" w:cs="Times New Roman"/>
          <w:b/>
          <w:bCs/>
        </w:rPr>
        <w:t xml:space="preserve"> </w:t>
      </w:r>
      <w:r w:rsidRPr="007717EC">
        <w:rPr>
          <w:rFonts w:ascii="Times New Roman" w:hAnsi="Times New Roman" w:cs="Times New Roman"/>
          <w:b/>
          <w:bCs/>
        </w:rPr>
        <w:t>CABIMENTO E TEMPESTIVIDADE</w:t>
      </w:r>
    </w:p>
    <w:p w14:paraId="4524A6C4" w14:textId="7A8613E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O presente recurso é cabível, nos termos do art. 1.009 do CPC, porquanto interposto contra sentença que extinguiu o processo com resolução de mérito. É, ademais, tempestivo, estando protocolado dentro do prazo de 15 [quinze] dias úteis previsto no art. 1.003, §5º, do CPC, contado da intimação da sentença via DJEN, e devidamente instruído com a guia de recolhimento do preparo recursal, na forma do art. 1.007 do CPC.</w:t>
      </w:r>
    </w:p>
    <w:p w14:paraId="08DDA32D" w14:textId="4A979439" w:rsidR="007717EC" w:rsidRPr="007717EC" w:rsidRDefault="007717EC" w:rsidP="007717EC">
      <w:pPr>
        <w:ind w:right="-568"/>
        <w:jc w:val="both"/>
        <w:rPr>
          <w:rFonts w:ascii="Times New Roman" w:hAnsi="Times New Roman" w:cs="Times New Roman"/>
          <w:b/>
          <w:bCs/>
        </w:rPr>
      </w:pPr>
      <w:r w:rsidRPr="007717EC">
        <w:rPr>
          <w:rFonts w:ascii="Times New Roman" w:hAnsi="Times New Roman" w:cs="Times New Roman"/>
          <w:b/>
          <w:bCs/>
        </w:rPr>
        <w:t>III.</w:t>
      </w:r>
      <w:r w:rsidRPr="007717EC">
        <w:rPr>
          <w:rFonts w:ascii="Times New Roman" w:hAnsi="Times New Roman" w:cs="Times New Roman"/>
          <w:b/>
          <w:bCs/>
        </w:rPr>
        <w:t xml:space="preserve"> </w:t>
      </w:r>
      <w:r w:rsidRPr="007717EC">
        <w:rPr>
          <w:rFonts w:ascii="Times New Roman" w:hAnsi="Times New Roman" w:cs="Times New Roman"/>
          <w:b/>
          <w:bCs/>
        </w:rPr>
        <w:t>PROVIMENTO E SUBSIDIARIAMENTE A CASSAÇÃO DA SENTENÇA</w:t>
      </w:r>
    </w:p>
    <w:p w14:paraId="63D814AD" w14:textId="5320BC45" w:rsidR="007717EC" w:rsidRPr="007717EC" w:rsidRDefault="007717EC" w:rsidP="007717EC">
      <w:pPr>
        <w:ind w:right="-568"/>
        <w:jc w:val="both"/>
        <w:rPr>
          <w:rFonts w:ascii="Times New Roman" w:hAnsi="Times New Roman" w:cs="Times New Roman"/>
          <w:b/>
          <w:bCs/>
        </w:rPr>
      </w:pPr>
      <w:r w:rsidRPr="007717EC">
        <w:rPr>
          <w:rFonts w:ascii="Times New Roman" w:hAnsi="Times New Roman" w:cs="Times New Roman"/>
          <w:b/>
          <w:bCs/>
        </w:rPr>
        <w:t>III.1</w:t>
      </w:r>
      <w:r w:rsidRPr="007717EC">
        <w:rPr>
          <w:rFonts w:ascii="Times New Roman" w:hAnsi="Times New Roman" w:cs="Times New Roman"/>
          <w:b/>
          <w:bCs/>
        </w:rPr>
        <w:t xml:space="preserve"> </w:t>
      </w:r>
      <w:r w:rsidRPr="007717EC">
        <w:rPr>
          <w:rFonts w:ascii="Times New Roman" w:hAnsi="Times New Roman" w:cs="Times New Roman"/>
          <w:b/>
          <w:bCs/>
        </w:rPr>
        <w:t>PRELIMINAR: NULIDADE DA SENTENÇA POR CERCEAMENTO DE DEFESA - AUSÊNCIA DE PRODUÇÃO DA PROVA PERICIAL CONTÁBIL E PATRIMONIAL EXPRESSAMENTE REQUERIDA PELO APELANTE E PELO PRÓPRIO APELADO EM DUAS OPORTUNIDADES PROCESSUAIS DISTINTAS</w:t>
      </w:r>
    </w:p>
    <w:p w14:paraId="739E1540" w14:textId="77777777" w:rsidR="007717EC" w:rsidRPr="007717EC" w:rsidRDefault="007717EC" w:rsidP="007717EC">
      <w:pPr>
        <w:ind w:right="-568"/>
        <w:jc w:val="both"/>
        <w:rPr>
          <w:rFonts w:ascii="Times New Roman" w:hAnsi="Times New Roman" w:cs="Times New Roman"/>
          <w:b/>
          <w:bCs/>
        </w:rPr>
      </w:pPr>
      <w:r w:rsidRPr="007717EC">
        <w:rPr>
          <w:rFonts w:ascii="Times New Roman" w:hAnsi="Times New Roman" w:cs="Times New Roman"/>
          <w:b/>
          <w:bCs/>
        </w:rPr>
        <w:t>O fato alegado</w:t>
      </w:r>
    </w:p>
    <w:p w14:paraId="70E733B8" w14:textId="3412D01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O Apelante requereu na inicial e o Apelado requereu, por duas vezes --- na contestação [evento </w:t>
      </w:r>
      <w:r>
        <w:rPr>
          <w:rFonts w:ascii="Times New Roman" w:hAnsi="Times New Roman" w:cs="Times New Roman"/>
        </w:rPr>
        <w:t>...</w:t>
      </w:r>
      <w:r w:rsidRPr="007717EC">
        <w:rPr>
          <w:rFonts w:ascii="Times New Roman" w:hAnsi="Times New Roman" w:cs="Times New Roman"/>
        </w:rPr>
        <w:t xml:space="preserve">] e, uma vez mais, na manifestação do evento </w:t>
      </w:r>
      <w:r>
        <w:rPr>
          <w:rFonts w:ascii="Times New Roman" w:hAnsi="Times New Roman" w:cs="Times New Roman"/>
        </w:rPr>
        <w:t>...</w:t>
      </w:r>
      <w:r w:rsidRPr="007717EC">
        <w:rPr>
          <w:rFonts w:ascii="Times New Roman" w:hAnsi="Times New Roman" w:cs="Times New Roman"/>
        </w:rPr>
        <w:t xml:space="preserve">, apresentada quando instado a se manifestar sobre a documentação complementar trazida pela Apelante ---, a produção de prova pericial </w:t>
      </w:r>
      <w:r w:rsidRPr="007717EC">
        <w:rPr>
          <w:rFonts w:ascii="Times New Roman" w:hAnsi="Times New Roman" w:cs="Times New Roman"/>
        </w:rPr>
        <w:lastRenderedPageBreak/>
        <w:t>contábil e patrimonial "</w:t>
      </w:r>
      <w:r w:rsidRPr="007717EC">
        <w:rPr>
          <w:rFonts w:ascii="Times New Roman" w:hAnsi="Times New Roman" w:cs="Times New Roman"/>
          <w:i/>
          <w:iCs/>
        </w:rPr>
        <w:t>para aferição do efetivo valor de sua participação societária</w:t>
      </w:r>
      <w:r w:rsidRPr="007717EC">
        <w:rPr>
          <w:rFonts w:ascii="Times New Roman" w:hAnsi="Times New Roman" w:cs="Times New Roman"/>
        </w:rPr>
        <w:t>", como expressamente consignado no próprio relatório da sentença recorrida.</w:t>
      </w:r>
    </w:p>
    <w:p w14:paraId="4DCA03C5" w14:textId="6E1F1971"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De suma importância observar Excelências,</w:t>
      </w:r>
      <w:r>
        <w:rPr>
          <w:rFonts w:ascii="Times New Roman" w:hAnsi="Times New Roman" w:cs="Times New Roman"/>
        </w:rPr>
        <w:t xml:space="preserve"> </w:t>
      </w:r>
      <w:r w:rsidRPr="007717EC">
        <w:rPr>
          <w:rFonts w:ascii="Times New Roman" w:hAnsi="Times New Roman" w:cs="Times New Roman"/>
        </w:rPr>
        <w:t>ao contrário do que sugere a sentença recorrida — que trata a resistência do Apelado como impugnação ampla e genérica a "</w:t>
      </w:r>
      <w:r w:rsidRPr="007717EC">
        <w:rPr>
          <w:rFonts w:ascii="Times New Roman" w:hAnsi="Times New Roman" w:cs="Times New Roman"/>
          <w:i/>
          <w:iCs/>
        </w:rPr>
        <w:t>metodologia, documentos, valoração dos imóveis e reflexos patrimoniais de ação de desapropriação</w:t>
      </w:r>
      <w:r w:rsidRPr="007717EC">
        <w:rPr>
          <w:rFonts w:ascii="Times New Roman" w:hAnsi="Times New Roman" w:cs="Times New Roman"/>
        </w:rPr>
        <w:t xml:space="preserve">" —, o exame atento e sistemático da prova documental produzida na inicial revela retrato bem distinto: </w:t>
      </w:r>
    </w:p>
    <w:p w14:paraId="381AE934" w14:textId="25B3E61F" w:rsidR="007717EC" w:rsidRPr="007717EC" w:rsidRDefault="007717EC" w:rsidP="007717EC">
      <w:pPr>
        <w:ind w:right="-568"/>
        <w:jc w:val="both"/>
        <w:rPr>
          <w:rFonts w:ascii="Times New Roman" w:hAnsi="Times New Roman" w:cs="Times New Roman"/>
        </w:rPr>
      </w:pPr>
      <w:r>
        <w:rPr>
          <w:rFonts w:ascii="Times New Roman" w:hAnsi="Times New Roman" w:cs="Times New Roman"/>
        </w:rPr>
        <w:t xml:space="preserve">- </w:t>
      </w:r>
      <w:proofErr w:type="gramStart"/>
      <w:r w:rsidRPr="007717EC">
        <w:rPr>
          <w:rFonts w:ascii="Times New Roman" w:hAnsi="Times New Roman" w:cs="Times New Roman"/>
        </w:rPr>
        <w:t>a</w:t>
      </w:r>
      <w:proofErr w:type="gramEnd"/>
      <w:r w:rsidRPr="007717EC">
        <w:rPr>
          <w:rFonts w:ascii="Times New Roman" w:hAnsi="Times New Roman" w:cs="Times New Roman"/>
        </w:rPr>
        <w:t xml:space="preserve"> única objeção efetivamente formulada pelo Apelado, de forma reiterada e consistente ao longo de toda a troca de correspondência eletrônica, cinge-se a um único aspecto pontual e determinável — o parâmetro de R$/m² utilizado para os imóveis rurais objeto da Ação de Desapropriação n. </w:t>
      </w:r>
      <w:r>
        <w:rPr>
          <w:rFonts w:ascii="Times New Roman" w:hAnsi="Times New Roman" w:cs="Times New Roman"/>
        </w:rPr>
        <w:t>...</w:t>
      </w:r>
      <w:r w:rsidRPr="007717EC">
        <w:rPr>
          <w:rFonts w:ascii="Times New Roman" w:hAnsi="Times New Roman" w:cs="Times New Roman"/>
        </w:rPr>
        <w:t>, ainda sub judice e sem sentença de mérito.</w:t>
      </w:r>
    </w:p>
    <w:p w14:paraId="44BEB5C0" w14:textId="0190090F"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Não se tratou, portanto, de requerimento isolado ou lançado </w:t>
      </w:r>
      <w:proofErr w:type="spellStart"/>
      <w:r w:rsidRPr="007717EC">
        <w:rPr>
          <w:rFonts w:ascii="Times New Roman" w:hAnsi="Times New Roman" w:cs="Times New Roman"/>
          <w:i/>
          <w:iCs/>
        </w:rPr>
        <w:t>en</w:t>
      </w:r>
      <w:proofErr w:type="spellEnd"/>
      <w:r w:rsidRPr="007717EC">
        <w:rPr>
          <w:rFonts w:ascii="Times New Roman" w:hAnsi="Times New Roman" w:cs="Times New Roman"/>
          <w:i/>
          <w:iCs/>
        </w:rPr>
        <w:t xml:space="preserve"> passant</w:t>
      </w:r>
      <w:r w:rsidRPr="007717EC">
        <w:rPr>
          <w:rFonts w:ascii="Times New Roman" w:hAnsi="Times New Roman" w:cs="Times New Roman"/>
        </w:rPr>
        <w:t xml:space="preserve">: o próprio réu, ciente da complexidade técnica da matéria que ele mesmo suscitou, reiterou a necessidade da prova especializada em dois momentos processuais distintos, deixando inequívoca sua convicção de que a controvérsia dependia de exame pericial para ser dirimida. </w:t>
      </w:r>
    </w:p>
    <w:p w14:paraId="66EEBDD0" w14:textId="0DB8371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O d. Juízo </w:t>
      </w:r>
      <w:r w:rsidRPr="007717EC">
        <w:rPr>
          <w:rFonts w:ascii="Times New Roman" w:hAnsi="Times New Roman" w:cs="Times New Roman"/>
          <w:i/>
          <w:iCs/>
        </w:rPr>
        <w:t>a quo</w:t>
      </w:r>
      <w:r w:rsidRPr="007717EC">
        <w:rPr>
          <w:rFonts w:ascii="Times New Roman" w:hAnsi="Times New Roman" w:cs="Times New Roman"/>
        </w:rPr>
        <w:t>, contudo, não apreciou fundamentadamente esse requerimento em nenhuma decisão saneadora: silenciou sobre ele e, ao final, promoveu julgamento antecipado da lide, extinguindo o feito com resolução de mérito sem que a prova pleiteada pelas duas partes, é bom que se diga, já que também a Apelante tinha interesse no esclarecimento técnico do único ponto controvertido — fosse produzida.</w:t>
      </w:r>
    </w:p>
    <w:p w14:paraId="19E1AAF0" w14:textId="77777777" w:rsidR="007717EC" w:rsidRPr="007717EC" w:rsidRDefault="007717EC" w:rsidP="007717EC">
      <w:pPr>
        <w:ind w:right="-568"/>
        <w:jc w:val="both"/>
        <w:rPr>
          <w:rFonts w:ascii="Times New Roman" w:hAnsi="Times New Roman" w:cs="Times New Roman"/>
          <w:b/>
          <w:bCs/>
        </w:rPr>
      </w:pPr>
      <w:r w:rsidRPr="007717EC">
        <w:rPr>
          <w:rFonts w:ascii="Times New Roman" w:hAnsi="Times New Roman" w:cs="Times New Roman"/>
          <w:b/>
          <w:bCs/>
        </w:rPr>
        <w:t>Prova que sustenta o fato</w:t>
      </w:r>
    </w:p>
    <w:p w14:paraId="01676879" w14:textId="5F103383"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O próprio relatório da r. sentença recorrida, ao reproduzir o teor da contestação ["</w:t>
      </w:r>
      <w:r w:rsidRPr="007717EC">
        <w:rPr>
          <w:rFonts w:ascii="Times New Roman" w:hAnsi="Times New Roman" w:cs="Times New Roman"/>
          <w:i/>
          <w:iCs/>
        </w:rPr>
        <w:t>Defendeu, ainda, a necessidade de produção de prova pericial para aferição do efetivo valor de sua participação societária</w:t>
      </w:r>
      <w:r w:rsidRPr="007717EC">
        <w:rPr>
          <w:rFonts w:ascii="Times New Roman" w:hAnsi="Times New Roman" w:cs="Times New Roman"/>
        </w:rPr>
        <w:t xml:space="preserve">"] e da manifestação do evento </w:t>
      </w:r>
      <w:r>
        <w:rPr>
          <w:rFonts w:ascii="Times New Roman" w:hAnsi="Times New Roman" w:cs="Times New Roman"/>
        </w:rPr>
        <w:t>...</w:t>
      </w:r>
      <w:r w:rsidRPr="007717EC">
        <w:rPr>
          <w:rFonts w:ascii="Times New Roman" w:hAnsi="Times New Roman" w:cs="Times New Roman"/>
        </w:rPr>
        <w:t xml:space="preserve"> ["</w:t>
      </w:r>
      <w:r w:rsidRPr="007717EC">
        <w:rPr>
          <w:rFonts w:ascii="Times New Roman" w:hAnsi="Times New Roman" w:cs="Times New Roman"/>
          <w:i/>
          <w:iCs/>
        </w:rPr>
        <w:t>insistindo na necessidade de produção de prova pericial contábil e patrimonial, bem como reafirmando a existência de controvérsia relevante acerca do efetivo valor dos haveres</w:t>
      </w:r>
      <w:r w:rsidRPr="007717EC">
        <w:rPr>
          <w:rFonts w:ascii="Times New Roman" w:hAnsi="Times New Roman" w:cs="Times New Roman"/>
        </w:rPr>
        <w:t xml:space="preserve">"]. </w:t>
      </w:r>
    </w:p>
    <w:p w14:paraId="10B1367A" w14:textId="52AAB6B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 ausência de qualquer decisão saneadora enfrentando esse requerimento é fato negativo que decorre da própria leitura cronológica dos autos: da contestação [evento </w:t>
      </w:r>
      <w:r>
        <w:rPr>
          <w:rFonts w:ascii="Times New Roman" w:hAnsi="Times New Roman" w:cs="Times New Roman"/>
        </w:rPr>
        <w:t>...</w:t>
      </w:r>
      <w:r w:rsidRPr="007717EC">
        <w:rPr>
          <w:rFonts w:ascii="Times New Roman" w:hAnsi="Times New Roman" w:cs="Times New Roman"/>
        </w:rPr>
        <w:t>] o processo salta, sem decisão interlocutória sobre provas, diretamente à sentença de mérito.</w:t>
      </w:r>
    </w:p>
    <w:p w14:paraId="4B4ADAC7"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Fundamento jurídico aplicável</w:t>
      </w:r>
    </w:p>
    <w:p w14:paraId="56390B5E" w14:textId="5CBE5944"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O direito à prova é corolário do devido processo legal e da garantia constitucional da ampla defesa e do contraditório [art. 5º, LV, CF/88], sendo certo que sua supressão indevida — sobretudo quando a própria decisão reconhece a existência de matéria técnica controvertida, como se verá no item III.5 — configura vício de atividade apto a contaminar a validade do provimento jurisdicional. </w:t>
      </w:r>
    </w:p>
    <w:p w14:paraId="6575F3A2" w14:textId="0D736863"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No plano infraconstitucional, os </w:t>
      </w:r>
      <w:proofErr w:type="spellStart"/>
      <w:r w:rsidRPr="007717EC">
        <w:rPr>
          <w:rFonts w:ascii="Times New Roman" w:hAnsi="Times New Roman" w:cs="Times New Roman"/>
        </w:rPr>
        <w:t>arts</w:t>
      </w:r>
      <w:proofErr w:type="spellEnd"/>
      <w:r w:rsidRPr="007717EC">
        <w:rPr>
          <w:rFonts w:ascii="Times New Roman" w:hAnsi="Times New Roman" w:cs="Times New Roman"/>
        </w:rPr>
        <w:t>. 370, parágrafo único, 373, §1º, e 464 do CPC atribuem ao julgador o dever de determinar as provas necessárias ao deslinde de questões que dependam de conhecimento técnico ou científico especializado.</w:t>
      </w:r>
    </w:p>
    <w:p w14:paraId="05AE9FBE" w14:textId="1F7859E9"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lastRenderedPageBreak/>
        <w:t xml:space="preserve">Sendo vedado, nessas hipóteses, o julgamento antecipado do mérito [art. 355, a </w:t>
      </w:r>
      <w:proofErr w:type="spellStart"/>
      <w:r w:rsidRPr="00CA34DB">
        <w:rPr>
          <w:rFonts w:ascii="Times New Roman" w:hAnsi="Times New Roman" w:cs="Times New Roman"/>
          <w:i/>
          <w:iCs/>
        </w:rPr>
        <w:t>contrario</w:t>
      </w:r>
      <w:proofErr w:type="spellEnd"/>
      <w:r w:rsidRPr="00CA34DB">
        <w:rPr>
          <w:rFonts w:ascii="Times New Roman" w:hAnsi="Times New Roman" w:cs="Times New Roman"/>
          <w:i/>
          <w:iCs/>
        </w:rPr>
        <w:t xml:space="preserve"> sensu</w:t>
      </w:r>
      <w:r w:rsidRPr="007717EC">
        <w:rPr>
          <w:rFonts w:ascii="Times New Roman" w:hAnsi="Times New Roman" w:cs="Times New Roman"/>
        </w:rPr>
        <w:t>, c/c art. 464, CPC]. Já o art. 489, §1º, IV, do CPC comina de nulidade a decisão que deixa de enfrentar, de forma fundamentada, todos os argumentos capazes de infirmar a conclusão adotada. O que inclui, evidentemente, requerimento reiterado de prova pericial que a própria parte reputa indispensável à comprovação de sua tese defensiva.</w:t>
      </w:r>
    </w:p>
    <w:p w14:paraId="0B0C9F52" w14:textId="671DFF1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Nesse sentido, colhe-se de precedente desta Egrégia Corte, proferido em caso de identidade estrutural rigorosa com o presente — sociedade autora de ação de consignação em pagamento em face de sócio retirante que impugna a apuração unilateral de seus haveres e requer, sem indicar valor, a produção de perícia contábil.</w:t>
      </w:r>
    </w:p>
    <w:p w14:paraId="64DA1CCC" w14:textId="53F981B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 egrégia 4ª Câmara de Direito Comercial do TRIBUNAL DE JUSTIÇA DE SANTA CATARINA, relatoria do eminente Des. RICARDO FONTES, como dito, em situação idêntica e recente, </w:t>
      </w:r>
      <w:proofErr w:type="spellStart"/>
      <w:r w:rsidRPr="00CA34DB">
        <w:rPr>
          <w:rFonts w:ascii="Times New Roman" w:hAnsi="Times New Roman" w:cs="Times New Roman"/>
          <w:i/>
          <w:iCs/>
        </w:rPr>
        <w:t>ipissis</w:t>
      </w:r>
      <w:proofErr w:type="spellEnd"/>
      <w:r w:rsidRPr="00CA34DB">
        <w:rPr>
          <w:rFonts w:ascii="Times New Roman" w:hAnsi="Times New Roman" w:cs="Times New Roman"/>
          <w:i/>
          <w:iCs/>
        </w:rPr>
        <w:t xml:space="preserve"> </w:t>
      </w:r>
      <w:proofErr w:type="spellStart"/>
      <w:r w:rsidRPr="00CA34DB">
        <w:rPr>
          <w:rFonts w:ascii="Times New Roman" w:hAnsi="Times New Roman" w:cs="Times New Roman"/>
          <w:i/>
          <w:iCs/>
        </w:rPr>
        <w:t>literis</w:t>
      </w:r>
      <w:proofErr w:type="spellEnd"/>
      <w:r w:rsidRPr="00CA34DB">
        <w:rPr>
          <w:rFonts w:ascii="Times New Roman" w:hAnsi="Times New Roman" w:cs="Times New Roman"/>
          <w:i/>
          <w:iCs/>
        </w:rPr>
        <w:t xml:space="preserve"> et </w:t>
      </w:r>
      <w:proofErr w:type="spellStart"/>
      <w:r w:rsidRPr="00CA34DB">
        <w:rPr>
          <w:rFonts w:ascii="Times New Roman" w:hAnsi="Times New Roman" w:cs="Times New Roman"/>
          <w:i/>
          <w:iCs/>
        </w:rPr>
        <w:t>virgulisque</w:t>
      </w:r>
      <w:proofErr w:type="spellEnd"/>
      <w:r w:rsidRPr="007717EC">
        <w:rPr>
          <w:rFonts w:ascii="Times New Roman" w:hAnsi="Times New Roman" w:cs="Times New Roman"/>
        </w:rPr>
        <w:t>, assim ementou:</w:t>
      </w:r>
    </w:p>
    <w:p w14:paraId="0B42B7B6" w14:textId="4F8D48BF"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w:t>
      </w:r>
      <w:r w:rsidRPr="00CA34DB">
        <w:rPr>
          <w:rFonts w:ascii="Times New Roman" w:hAnsi="Times New Roman" w:cs="Times New Roman"/>
          <w:i/>
          <w:iCs/>
        </w:rPr>
        <w:t>APELAÇÃO CÍVEL. AÇÃO DE CONSIGNAÇÃO EM PAGAMENTO. DIREITO DE RETIRADA EXERCIDO PELO SÓCIO. RECUSA DO CREDOR EM RECEBER OS DEPÓSITOS DA APURAÇÃO DE HAVERES REALIZADA DE ACORDO COM O CONTRATO SOCIAL. CONSIGNAÇÃO DOS VALORES PELA EMPRESA. [...] SENTENÇA DE IMPROCEDÊNCIA PAUTADA NA NECESSIDADE DE DISCUSSÃO ACERCA DOS VALORES CONTROVERSOS. [...] PLEITO DE REALIZAÇÃO DE PERÍCIA CONTÁBIL PARA OBTENÇÃO DO VALOR. POSSIBILIDADE. ART. 544, IV E PARÁGRAFO ÚNICO E ART. 545, AMBOS DO CPC. SENTENÇA CASSADA. RETORNO DOS AUTOS À ORIGEM PARA REGULAR PRODUÇÃO PROBATÓRIA</w:t>
      </w:r>
      <w:r w:rsidRPr="007717EC">
        <w:rPr>
          <w:rFonts w:ascii="Times New Roman" w:hAnsi="Times New Roman" w:cs="Times New Roman"/>
        </w:rPr>
        <w:t>."</w:t>
      </w:r>
      <w:r w:rsidR="00CA34DB">
        <w:rPr>
          <w:rFonts w:ascii="Times New Roman" w:hAnsi="Times New Roman" w:cs="Times New Roman"/>
        </w:rPr>
        <w:t xml:space="preserve"> </w:t>
      </w:r>
      <w:r w:rsidRPr="007717EC">
        <w:rPr>
          <w:rFonts w:ascii="Times New Roman" w:hAnsi="Times New Roman" w:cs="Times New Roman"/>
        </w:rPr>
        <w:t>[TJSC, Apelação Cível n. 5032299-43.2021.8.24.0008/SC, Rel. Des. Ricardo Fontes, 4ª Câmara de Direito Comercial, DJEN 27.01.25- doc.</w:t>
      </w:r>
      <w:r w:rsidR="00CA34DB">
        <w:rPr>
          <w:rFonts w:ascii="Times New Roman" w:hAnsi="Times New Roman" w:cs="Times New Roman"/>
        </w:rPr>
        <w:t xml:space="preserve"> n. ...</w:t>
      </w:r>
      <w:r w:rsidRPr="007717EC">
        <w:rPr>
          <w:rFonts w:ascii="Times New Roman" w:hAnsi="Times New Roman" w:cs="Times New Roman"/>
        </w:rPr>
        <w:t>]</w:t>
      </w:r>
    </w:p>
    <w:p w14:paraId="6161E238" w14:textId="7A2CA7F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No voto condutor desse julgado, insista-se, cujos fundamentos, dada a absoluta similitude fática, aplicam-se ao caso vertente por identidade de razões </w:t>
      </w:r>
      <w:proofErr w:type="spellStart"/>
      <w:r w:rsidRPr="00CA34DB">
        <w:rPr>
          <w:rFonts w:ascii="Times New Roman" w:hAnsi="Times New Roman" w:cs="Times New Roman"/>
          <w:i/>
          <w:iCs/>
        </w:rPr>
        <w:t>eadem</w:t>
      </w:r>
      <w:proofErr w:type="spellEnd"/>
      <w:r w:rsidRPr="00CA34DB">
        <w:rPr>
          <w:rFonts w:ascii="Times New Roman" w:hAnsi="Times New Roman" w:cs="Times New Roman"/>
          <w:i/>
          <w:iCs/>
        </w:rPr>
        <w:t xml:space="preserve"> </w:t>
      </w:r>
      <w:proofErr w:type="spellStart"/>
      <w:r w:rsidRPr="00CA34DB">
        <w:rPr>
          <w:rFonts w:ascii="Times New Roman" w:hAnsi="Times New Roman" w:cs="Times New Roman"/>
          <w:i/>
          <w:iCs/>
        </w:rPr>
        <w:t>ratio</w:t>
      </w:r>
      <w:proofErr w:type="spellEnd"/>
      <w:r w:rsidRPr="007717EC">
        <w:rPr>
          <w:rFonts w:ascii="Times New Roman" w:hAnsi="Times New Roman" w:cs="Times New Roman"/>
        </w:rPr>
        <w:t xml:space="preserve">, </w:t>
      </w:r>
      <w:proofErr w:type="spellStart"/>
      <w:r w:rsidRPr="00CA34DB">
        <w:rPr>
          <w:rFonts w:ascii="Times New Roman" w:hAnsi="Times New Roman" w:cs="Times New Roman"/>
          <w:i/>
          <w:iCs/>
        </w:rPr>
        <w:t>eadem</w:t>
      </w:r>
      <w:proofErr w:type="spellEnd"/>
      <w:r w:rsidRPr="00CA34DB">
        <w:rPr>
          <w:rFonts w:ascii="Times New Roman" w:hAnsi="Times New Roman" w:cs="Times New Roman"/>
          <w:i/>
          <w:iCs/>
        </w:rPr>
        <w:t xml:space="preserve"> legis</w:t>
      </w:r>
      <w:r w:rsidRPr="007717EC">
        <w:rPr>
          <w:rFonts w:ascii="Times New Roman" w:hAnsi="Times New Roman" w:cs="Times New Roman"/>
        </w:rPr>
        <w:t xml:space="preserve"> dispositivo, o Des. RICARDO GOMES foi expresso ao afirmar que "</w:t>
      </w:r>
      <w:r w:rsidRPr="00CA34DB">
        <w:rPr>
          <w:rFonts w:ascii="Times New Roman" w:hAnsi="Times New Roman" w:cs="Times New Roman"/>
          <w:i/>
          <w:iCs/>
        </w:rPr>
        <w:t>a ação de consignação em pagamento comporta discussão sobre o débito, de modo que não prestigia a celeridade processual delegar essa discussão para a ação de apuração de haveres proposta pelo réu [...] anos após a sua retirada da sociedade e do ajuizamento da ação de consignação</w:t>
      </w:r>
      <w:r w:rsidRPr="007717EC">
        <w:rPr>
          <w:rFonts w:ascii="Times New Roman" w:hAnsi="Times New Roman" w:cs="Times New Roman"/>
        </w:rPr>
        <w:t>", concluindo, categoricamente, que:</w:t>
      </w:r>
    </w:p>
    <w:p w14:paraId="5C6DFC42" w14:textId="77777777" w:rsidR="00CA34DB" w:rsidRDefault="007717EC" w:rsidP="007717EC">
      <w:pPr>
        <w:ind w:right="-568"/>
        <w:jc w:val="both"/>
        <w:rPr>
          <w:rFonts w:ascii="Times New Roman" w:hAnsi="Times New Roman" w:cs="Times New Roman"/>
        </w:rPr>
      </w:pPr>
      <w:r w:rsidRPr="007717EC">
        <w:rPr>
          <w:rFonts w:ascii="Times New Roman" w:hAnsi="Times New Roman" w:cs="Times New Roman"/>
        </w:rPr>
        <w:t>"</w:t>
      </w:r>
      <w:r w:rsidRPr="00CA34DB">
        <w:rPr>
          <w:rFonts w:ascii="Times New Roman" w:hAnsi="Times New Roman" w:cs="Times New Roman"/>
          <w:i/>
          <w:iCs/>
        </w:rPr>
        <w:t>a sentença deve ser cassada, pois, embora as partes tenham pleiteado a realização de prova pericial para apuração dos valores, o Magistrado de origem optou por julgar antecipadamente o mérito, com supedâneo na discordância das partes em relação à apuração de haveres, situação que, todavia, poderia ser exaurida mediante prova pericial</w:t>
      </w:r>
      <w:r w:rsidRPr="007717EC">
        <w:rPr>
          <w:rFonts w:ascii="Times New Roman" w:hAnsi="Times New Roman" w:cs="Times New Roman"/>
        </w:rPr>
        <w:t>".</w:t>
      </w:r>
    </w:p>
    <w:p w14:paraId="0496A2AE" w14:textId="02735549"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No mesmo sentido, os precedentes citados desse mesmo augusto sodalício, TRIBUNAL DE JUSTIÇA DE SANTA CATARIA, trazendo acórdão paradigma, que bem demonstram a consolidação da matéria no âmbito desta Corte:</w:t>
      </w:r>
    </w:p>
    <w:p w14:paraId="66F657D1" w14:textId="1D9B74D0"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 </w:t>
      </w:r>
      <w:r w:rsidRPr="00CA34DB">
        <w:rPr>
          <w:rFonts w:ascii="Times New Roman" w:hAnsi="Times New Roman" w:cs="Times New Roman"/>
          <w:i/>
          <w:iCs/>
        </w:rPr>
        <w:t xml:space="preserve">TOGADO QUE JULGOU ANTECIPADAMENTE A LIDE SEM APRECIAÇÃO DO PEDIDO DO AUTOR DE JUNTADA DE PLANILHA DO SALDO DEVEDOR E PRODUÇÃO DE PROVA PERICIAL PARA APURAÇÃO DOS VALORES JÁ PAGOS [...]. CERCEAMENTO </w:t>
      </w:r>
      <w:r w:rsidRPr="00CA34DB">
        <w:rPr>
          <w:rFonts w:ascii="Times New Roman" w:hAnsi="Times New Roman" w:cs="Times New Roman"/>
          <w:i/>
          <w:iCs/>
        </w:rPr>
        <w:lastRenderedPageBreak/>
        <w:t>DE DEFESA POSITIVADO. IMPERATIVA DESCONSTITUIÇÃO DO DECISUM</w:t>
      </w:r>
      <w:r w:rsidRPr="007717EC">
        <w:rPr>
          <w:rFonts w:ascii="Times New Roman" w:hAnsi="Times New Roman" w:cs="Times New Roman"/>
        </w:rPr>
        <w:t xml:space="preserve">." [TJSC, Apelação Cível n. 0003209-24.2012.8.24.0030, Rel. Des. José Carlos </w:t>
      </w:r>
      <w:proofErr w:type="spellStart"/>
      <w:r w:rsidRPr="007717EC">
        <w:rPr>
          <w:rFonts w:ascii="Times New Roman" w:hAnsi="Times New Roman" w:cs="Times New Roman"/>
        </w:rPr>
        <w:t>Carstens</w:t>
      </w:r>
      <w:proofErr w:type="spellEnd"/>
      <w:r w:rsidRPr="007717EC">
        <w:rPr>
          <w:rFonts w:ascii="Times New Roman" w:hAnsi="Times New Roman" w:cs="Times New Roman"/>
        </w:rPr>
        <w:t xml:space="preserve"> Köhler, Quarta Câmara de Direito Comercial, j. 24.07.2018]</w:t>
      </w:r>
    </w:p>
    <w:p w14:paraId="1393CC50" w14:textId="7777777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w:t>
      </w:r>
      <w:r w:rsidRPr="00CA34DB">
        <w:rPr>
          <w:rFonts w:ascii="Times New Roman" w:hAnsi="Times New Roman" w:cs="Times New Roman"/>
          <w:i/>
          <w:iCs/>
        </w:rPr>
        <w:t>AGRAVO DE INSTRUMENTO. AÇÃO DE CONSIGNAÇÃO EM PAGAMENTO. DECISÃO QUE AUTORIZOU A PRODUÇÃO DA PROVA PERICIAL. [...] PROVA NECESSÁRIA PARA O DESLINDE DA CONTROVÉRSIA. DECISÃO MANTIDA</w:t>
      </w:r>
      <w:r w:rsidRPr="007717EC">
        <w:rPr>
          <w:rFonts w:ascii="Times New Roman" w:hAnsi="Times New Roman" w:cs="Times New Roman"/>
        </w:rPr>
        <w:t>." [TJSC, Agravo de Instrumento n. 5045754-94.2024.8.24.0000, Rel. Des. Getúlio Corrêa, Segunda Câmara de Direito Comercial, j. 28.01.2025]</w:t>
      </w:r>
    </w:p>
    <w:p w14:paraId="4F30ECAC" w14:textId="6FDD183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Some-se a esse arcabouço jurisprudencial a lição do processualista DANIEL AMORIM ASSUMPÇÃO NEVES, para quem a prova pericial se impõe sempre que a prova do fato depender de conhecimento técnico ou científico [art. 464, CPC], sendo defeso ao juiz substituir-se ao </w:t>
      </w:r>
      <w:r w:rsidRPr="00CA34DB">
        <w:rPr>
          <w:rFonts w:ascii="Times New Roman" w:hAnsi="Times New Roman" w:cs="Times New Roman"/>
          <w:i/>
          <w:iCs/>
        </w:rPr>
        <w:t>expert</w:t>
      </w:r>
      <w:r w:rsidRPr="007717EC">
        <w:rPr>
          <w:rFonts w:ascii="Times New Roman" w:hAnsi="Times New Roman" w:cs="Times New Roman"/>
        </w:rPr>
        <w:t xml:space="preserve"> em matérias que escapam ao seu conhecimento ordinário, como indiscutivelmente é o caso da valoração patrimonial de sociedade empresária titular de ativos rurais sujeitos a litígio expropriatório em curso.</w:t>
      </w:r>
    </w:p>
    <w:p w14:paraId="15F0B206" w14:textId="0FF7FAB6"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TAMBÉM DE SUMA IMPORTÂNCIA, como será desenvolvido na dianteira, mas desde já merece ser registrado, que ambas as partes contendoras autor e réu, pretendem sem mais delongas PAGAR [o autor] e RECEBER [o réu] seus haveres na presente demanda, cuja instrução se encontra avançada, bastando apenas realizar a prova pericial para se apurar o valor a ser pago e recebido.</w:t>
      </w:r>
    </w:p>
    <w:p w14:paraId="2E943CD1" w14:textId="3759D91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De ofício extinguir e julgar improcedente a ação é um atraso inconcebível na hipótese em apreço, pois não se trata de dissolução parcial de sociedade, esta matéria foi superada com a retirada voluntária do apelado, mas apenas e tão somente se apurar o valor dos haveres diante de uma oferta e recusa, circunstâncias estas perentes e sem controvérsia alguma, redobrada vênia.</w:t>
      </w:r>
    </w:p>
    <w:p w14:paraId="4EAE92BB" w14:textId="0CE9C09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Suma vênia, constitui manifesto desperdício de atividade jurisdicional e frontal descompasso com os princípios da duração razoável do processo, da primazia do julgamento de mérito e da instrumentalidade das formas  extinguir ou julgar improcedente a presente ação de consignação em pagamento, remetendo as partes ao ajuizamento de uma nova demanda de apuração de haveres, quando a controvérsia estabelecida entre consignante, na condição de devedora, e consignado, na qualidade de credor, restringe-se precisamente ao montante da obrigação ofertada e recusada. </w:t>
      </w:r>
    </w:p>
    <w:p w14:paraId="1F2397AF" w14:textId="7E8F1389"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Ambas as partes, de forma expressa e peremptória, reconhecem a necessidade de prosseguimento da consignatória para a fase instrutória, com a realização de prova pericial destinada à apuração do valor efetivamente devido, dentro do ambiente processual já instaurado e sob a plena observância do contraditório e da ampla defesa. </w:t>
      </w:r>
    </w:p>
    <w:p w14:paraId="05275F1D" w14:textId="77777777" w:rsidR="00CA34DB" w:rsidRDefault="007717EC" w:rsidP="007717EC">
      <w:pPr>
        <w:ind w:right="-568"/>
        <w:jc w:val="both"/>
        <w:rPr>
          <w:rFonts w:ascii="Times New Roman" w:hAnsi="Times New Roman" w:cs="Times New Roman"/>
        </w:rPr>
      </w:pPr>
      <w:r w:rsidRPr="007717EC">
        <w:rPr>
          <w:rFonts w:ascii="Times New Roman" w:hAnsi="Times New Roman" w:cs="Times New Roman"/>
        </w:rPr>
        <w:t>Impor-lhes o reinício de idêntica discussão em ação autônoma, além de prestigiar formalismo estéril, acarretaria inútil duplicação de atos processuais, aumento de custos, retardamento da solução do litígio e sobrecarga do Poder Judiciário, justamente em sentido oposto à celeridade e à eficiência que o sistema processual contemporâneo busca concretizar.</w:t>
      </w:r>
    </w:p>
    <w:p w14:paraId="2BAC2F90" w14:textId="799285E3"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lastRenderedPageBreak/>
        <w:t xml:space="preserve">A identidade fática entre o precedente paradigma e o caso vertente é praticamente integral: em ambos, sociedade autora consigna haveres apurados unilateralmente por profissional contábil; em ambos, o </w:t>
      </w:r>
      <w:proofErr w:type="spellStart"/>
      <w:r w:rsidRPr="007717EC">
        <w:rPr>
          <w:rFonts w:ascii="Times New Roman" w:hAnsi="Times New Roman" w:cs="Times New Roman"/>
        </w:rPr>
        <w:t>sócio-réu</w:t>
      </w:r>
      <w:proofErr w:type="spellEnd"/>
      <w:r w:rsidRPr="007717EC">
        <w:rPr>
          <w:rFonts w:ascii="Times New Roman" w:hAnsi="Times New Roman" w:cs="Times New Roman"/>
        </w:rPr>
        <w:t xml:space="preserve"> impugna a metodologia e requer expressamente perícia contábil sem, contudo, indicar valor alternativo.</w:t>
      </w:r>
    </w:p>
    <w:p w14:paraId="08575A30" w14:textId="52788292"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Em ambos, o Juízo a quo, em vez de determinar a prova técnica reiteradamente pleiteada, extingue o feito antecipadamente sob o pretexto de que a matéria demandaria via processual diversa. </w:t>
      </w:r>
    </w:p>
    <w:p w14:paraId="1C1C884B" w14:textId="023F5D14"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A mesma solução deve, pois, ser dada neste feito: O RECONHECIMENTO DO CERCEAMENTO DE DEFESA, COM A CASSAÇÃO DA SENTENÇA E O RETORNO DOS AUTOS À ORIGEM PARA REGULAR PRODUÇÃO DA PROVA PERICIAL CONTÁBIL E PATRIMONIAL, restando prejudicado, nesta fase recursal, o exame direto do mérito, como decidido, por unanimidade, pela doutra 4ª Câmara de Direito Comercial desta Egrégia Corte no precedente paradigma.</w:t>
      </w:r>
    </w:p>
    <w:p w14:paraId="0DA553DB" w14:textId="12323D1C"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III.2</w:t>
      </w:r>
      <w:r w:rsidR="00CA34DB" w:rsidRPr="00CA34DB">
        <w:rPr>
          <w:rFonts w:ascii="Times New Roman" w:hAnsi="Times New Roman" w:cs="Times New Roman"/>
          <w:b/>
          <w:bCs/>
        </w:rPr>
        <w:t xml:space="preserve"> </w:t>
      </w:r>
      <w:r w:rsidRPr="00CA34DB">
        <w:rPr>
          <w:rFonts w:ascii="Times New Roman" w:hAnsi="Times New Roman" w:cs="Times New Roman"/>
          <w:b/>
          <w:bCs/>
        </w:rPr>
        <w:t>MÉRITO- PREJUDICIALMENTE, CASO NÃO ACOLHIDA A PRELIMINAR:</w:t>
      </w:r>
    </w:p>
    <w:p w14:paraId="1A8EAB4A" w14:textId="542C7A36"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 xml:space="preserve">CABIMENTO DA AÇÃO DE CONSIGNAÇÃO EM PAGAMENTO A DESPEITO DA CONTROVÉRSIA SOBRE O </w:t>
      </w:r>
      <w:r w:rsidRPr="00CA34DB">
        <w:rPr>
          <w:rFonts w:ascii="Times New Roman" w:hAnsi="Times New Roman" w:cs="Times New Roman"/>
          <w:b/>
          <w:bCs/>
          <w:i/>
          <w:iCs/>
        </w:rPr>
        <w:t>QUANTUM</w:t>
      </w:r>
      <w:r w:rsidRPr="00CA34DB">
        <w:rPr>
          <w:rFonts w:ascii="Times New Roman" w:hAnsi="Times New Roman" w:cs="Times New Roman"/>
          <w:b/>
          <w:bCs/>
        </w:rPr>
        <w:t xml:space="preserve"> - TEMA PACIFICADO PELO SUPERIOR TRIBUNAL DE JUSTIÇA</w:t>
      </w:r>
    </w:p>
    <w:p w14:paraId="3DD32209"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Fato alegado</w:t>
      </w:r>
    </w:p>
    <w:p w14:paraId="67CD7DD2" w14:textId="495948A0"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A r. sentença recorrida assenta sua conclusão de improcedência na premissa de que "</w:t>
      </w:r>
      <w:r w:rsidRPr="00CA34DB">
        <w:rPr>
          <w:rFonts w:ascii="Times New Roman" w:hAnsi="Times New Roman" w:cs="Times New Roman"/>
          <w:i/>
          <w:iCs/>
        </w:rPr>
        <w:t>a discussão instaurada pelas partes transcende [...] os limites típicos da ação consignatória e ingressa em matéria própria de apuração e revisão de haveres societários</w:t>
      </w:r>
      <w:r w:rsidRPr="007717EC">
        <w:rPr>
          <w:rFonts w:ascii="Times New Roman" w:hAnsi="Times New Roman" w:cs="Times New Roman"/>
        </w:rPr>
        <w:t>", concluindo que o acolhimento do pedido exigiria "</w:t>
      </w:r>
      <w:r w:rsidRPr="00CA34DB">
        <w:rPr>
          <w:rFonts w:ascii="Times New Roman" w:hAnsi="Times New Roman" w:cs="Times New Roman"/>
          <w:i/>
          <w:iCs/>
        </w:rPr>
        <w:t>ampla cognição sobre a composição do patrimônio social, a valoração dos ativos e passivos da empresa e os critérios de liquidação das quotas, convertendo a presente consignatória em verdadeira ação de apuração judicial de haveres, providência incompatível com os limites da demanda proposta</w:t>
      </w:r>
      <w:r w:rsidRPr="007717EC">
        <w:rPr>
          <w:rFonts w:ascii="Times New Roman" w:hAnsi="Times New Roman" w:cs="Times New Roman"/>
        </w:rPr>
        <w:t>".</w:t>
      </w:r>
    </w:p>
    <w:p w14:paraId="1C3F2749"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Prova que sustenta o fato</w:t>
      </w:r>
    </w:p>
    <w:p w14:paraId="3DD2D717" w14:textId="206B434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 própria fundamentação da v. sentença recorrida, cotejada com a contestação [evento </w:t>
      </w:r>
      <w:r w:rsidR="00CA34DB">
        <w:rPr>
          <w:rFonts w:ascii="Times New Roman" w:hAnsi="Times New Roman" w:cs="Times New Roman"/>
        </w:rPr>
        <w:t>...</w:t>
      </w:r>
      <w:r w:rsidRPr="007717EC">
        <w:rPr>
          <w:rFonts w:ascii="Times New Roman" w:hAnsi="Times New Roman" w:cs="Times New Roman"/>
        </w:rPr>
        <w:t xml:space="preserve">] e a manifestação do evento </w:t>
      </w:r>
      <w:r w:rsidR="00CA34DB">
        <w:rPr>
          <w:rFonts w:ascii="Times New Roman" w:hAnsi="Times New Roman" w:cs="Times New Roman"/>
        </w:rPr>
        <w:t>...</w:t>
      </w:r>
      <w:r w:rsidRPr="007717EC">
        <w:rPr>
          <w:rFonts w:ascii="Times New Roman" w:hAnsi="Times New Roman" w:cs="Times New Roman"/>
        </w:rPr>
        <w:t>, cujo conteúdo integral, na exata medida em que se extrai da síntese da sentença e da documentação que instrui a inicial, gira em torno da impugnação a um único valor apurado unilateralmente, matéria que, como se demonstrará a seguir com lastro em farta jurisprudência, é própria e não estranha ao rito consignatório.</w:t>
      </w:r>
    </w:p>
    <w:p w14:paraId="3161547B"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Fundamento jurídico aplicável</w:t>
      </w:r>
    </w:p>
    <w:p w14:paraId="7DF2C1BB" w14:textId="4E01C54D" w:rsidR="007717EC" w:rsidRPr="007717EC" w:rsidRDefault="007717EC" w:rsidP="007717EC">
      <w:pPr>
        <w:ind w:right="-568"/>
        <w:jc w:val="both"/>
        <w:rPr>
          <w:rFonts w:ascii="Times New Roman" w:hAnsi="Times New Roman" w:cs="Times New Roman"/>
        </w:rPr>
      </w:pPr>
      <w:r w:rsidRPr="00CA34DB">
        <w:rPr>
          <w:rFonts w:ascii="Times New Roman" w:hAnsi="Times New Roman" w:cs="Times New Roman"/>
          <w:i/>
          <w:iCs/>
        </w:rPr>
        <w:t xml:space="preserve">Data </w:t>
      </w:r>
      <w:proofErr w:type="spellStart"/>
      <w:r w:rsidRPr="00CA34DB">
        <w:rPr>
          <w:rFonts w:ascii="Times New Roman" w:hAnsi="Times New Roman" w:cs="Times New Roman"/>
          <w:i/>
          <w:iCs/>
        </w:rPr>
        <w:t>maxima</w:t>
      </w:r>
      <w:proofErr w:type="spellEnd"/>
      <w:r w:rsidRPr="00CA34DB">
        <w:rPr>
          <w:rFonts w:ascii="Times New Roman" w:hAnsi="Times New Roman" w:cs="Times New Roman"/>
          <w:i/>
          <w:iCs/>
        </w:rPr>
        <w:t xml:space="preserve"> </w:t>
      </w:r>
      <w:proofErr w:type="spellStart"/>
      <w:r w:rsidRPr="00CA34DB">
        <w:rPr>
          <w:rFonts w:ascii="Times New Roman" w:hAnsi="Times New Roman" w:cs="Times New Roman"/>
          <w:i/>
          <w:iCs/>
        </w:rPr>
        <w:t>venia</w:t>
      </w:r>
      <w:proofErr w:type="spellEnd"/>
      <w:r w:rsidRPr="007717EC">
        <w:rPr>
          <w:rFonts w:ascii="Times New Roman" w:hAnsi="Times New Roman" w:cs="Times New Roman"/>
        </w:rPr>
        <w:t xml:space="preserve">, a premissa central da sentença recorrida está invertida! </w:t>
      </w:r>
    </w:p>
    <w:p w14:paraId="28D47FFB" w14:textId="34FAFD21"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O colendo SUPERIOR TRIBUNAL DE JUSTIÇA, ao apreciar o REsp n. 1.108.058/DF [Rel. Min. Raul Araújo, </w:t>
      </w:r>
      <w:proofErr w:type="spellStart"/>
      <w:r w:rsidRPr="007717EC">
        <w:rPr>
          <w:rFonts w:ascii="Times New Roman" w:hAnsi="Times New Roman" w:cs="Times New Roman"/>
        </w:rPr>
        <w:t>DJe</w:t>
      </w:r>
      <w:proofErr w:type="spellEnd"/>
      <w:r w:rsidRPr="007717EC">
        <w:rPr>
          <w:rFonts w:ascii="Times New Roman" w:hAnsi="Times New Roman" w:cs="Times New Roman"/>
        </w:rPr>
        <w:t xml:space="preserve"> de 19.12.2016], fixou entendimento reiterado em inúmeros precedentes daquela Corte Superior no sentido de que a discussão sobre o próprio débito — inclusive quanto à necessidade de revisão de cláusulas contratuais complexas — é absolutamente compatível com o rito da consignação em pagamento, </w:t>
      </w:r>
      <w:r w:rsidRPr="00CA34DB">
        <w:rPr>
          <w:rFonts w:ascii="Times New Roman" w:hAnsi="Times New Roman" w:cs="Times New Roman"/>
          <w:i/>
          <w:iCs/>
        </w:rPr>
        <w:t xml:space="preserve">mutatis </w:t>
      </w:r>
      <w:proofErr w:type="spellStart"/>
      <w:r w:rsidRPr="00CA34DB">
        <w:rPr>
          <w:rFonts w:ascii="Times New Roman" w:hAnsi="Times New Roman" w:cs="Times New Roman"/>
          <w:i/>
          <w:iCs/>
        </w:rPr>
        <w:t>mutantis</w:t>
      </w:r>
      <w:proofErr w:type="spellEnd"/>
      <w:r w:rsidRPr="007717EC">
        <w:rPr>
          <w:rFonts w:ascii="Times New Roman" w:hAnsi="Times New Roman" w:cs="Times New Roman"/>
        </w:rPr>
        <w:t>:</w:t>
      </w:r>
    </w:p>
    <w:p w14:paraId="7B3E8CC2" w14:textId="77777777" w:rsidR="007717EC" w:rsidRPr="007717EC" w:rsidRDefault="007717EC" w:rsidP="007717EC">
      <w:pPr>
        <w:ind w:right="-568"/>
        <w:jc w:val="both"/>
        <w:rPr>
          <w:rFonts w:ascii="Times New Roman" w:hAnsi="Times New Roman" w:cs="Times New Roman"/>
        </w:rPr>
      </w:pPr>
    </w:p>
    <w:p w14:paraId="19EC59B3" w14:textId="3D543E0D"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 </w:t>
      </w:r>
      <w:r w:rsidRPr="00CA34DB">
        <w:rPr>
          <w:rFonts w:ascii="Times New Roman" w:hAnsi="Times New Roman" w:cs="Times New Roman"/>
          <w:i/>
          <w:iCs/>
        </w:rPr>
        <w:t>diversos precedentes desta Corte defendem 'ser possível a discussão do valor do débito em sede de ação de consignação em pagamento, ainda que para tanto seja necessária a revisão de cláusulas contratuais' (</w:t>
      </w:r>
      <w:proofErr w:type="spellStart"/>
      <w:r w:rsidRPr="00CA34DB">
        <w:rPr>
          <w:rFonts w:ascii="Times New Roman" w:hAnsi="Times New Roman" w:cs="Times New Roman"/>
          <w:i/>
          <w:iCs/>
        </w:rPr>
        <w:t>AgRg</w:t>
      </w:r>
      <w:proofErr w:type="spellEnd"/>
      <w:r w:rsidRPr="00CA34DB">
        <w:rPr>
          <w:rFonts w:ascii="Times New Roman" w:hAnsi="Times New Roman" w:cs="Times New Roman"/>
          <w:i/>
          <w:iCs/>
        </w:rPr>
        <w:t xml:space="preserve"> no REsp 1.179.034/RJ, Rel. Ministra Maria Isabel Gallotti, Quarta Turma, </w:t>
      </w:r>
      <w:proofErr w:type="spellStart"/>
      <w:r w:rsidRPr="00CA34DB">
        <w:rPr>
          <w:rFonts w:ascii="Times New Roman" w:hAnsi="Times New Roman" w:cs="Times New Roman"/>
          <w:i/>
          <w:iCs/>
        </w:rPr>
        <w:t>DJe</w:t>
      </w:r>
      <w:proofErr w:type="spellEnd"/>
      <w:r w:rsidRPr="00CA34DB">
        <w:rPr>
          <w:rFonts w:ascii="Times New Roman" w:hAnsi="Times New Roman" w:cs="Times New Roman"/>
          <w:i/>
          <w:iCs/>
        </w:rPr>
        <w:t xml:space="preserve"> de 05.05.2015) [...]. No mesmo sentido: </w:t>
      </w:r>
      <w:proofErr w:type="spellStart"/>
      <w:r w:rsidRPr="00CA34DB">
        <w:rPr>
          <w:rFonts w:ascii="Times New Roman" w:hAnsi="Times New Roman" w:cs="Times New Roman"/>
          <w:i/>
          <w:iCs/>
        </w:rPr>
        <w:t>AgRg</w:t>
      </w:r>
      <w:proofErr w:type="spellEnd"/>
      <w:r w:rsidRPr="00CA34DB">
        <w:rPr>
          <w:rFonts w:ascii="Times New Roman" w:hAnsi="Times New Roman" w:cs="Times New Roman"/>
          <w:i/>
          <w:iCs/>
        </w:rPr>
        <w:t xml:space="preserve"> no Ag 406.408/DF (Terceira Turma, Rel. Min. Nancy Andrighi, </w:t>
      </w:r>
      <w:proofErr w:type="spellStart"/>
      <w:r w:rsidRPr="00CA34DB">
        <w:rPr>
          <w:rFonts w:ascii="Times New Roman" w:hAnsi="Times New Roman" w:cs="Times New Roman"/>
          <w:i/>
          <w:iCs/>
        </w:rPr>
        <w:t>DJe</w:t>
      </w:r>
      <w:proofErr w:type="spellEnd"/>
      <w:r w:rsidRPr="00CA34DB">
        <w:rPr>
          <w:rFonts w:ascii="Times New Roman" w:hAnsi="Times New Roman" w:cs="Times New Roman"/>
          <w:i/>
          <w:iCs/>
        </w:rPr>
        <w:t xml:space="preserve"> de 18.02.2002); </w:t>
      </w:r>
      <w:proofErr w:type="spellStart"/>
      <w:r w:rsidRPr="00CA34DB">
        <w:rPr>
          <w:rFonts w:ascii="Times New Roman" w:hAnsi="Times New Roman" w:cs="Times New Roman"/>
          <w:i/>
          <w:iCs/>
        </w:rPr>
        <w:t>AgRg</w:t>
      </w:r>
      <w:proofErr w:type="spellEnd"/>
      <w:r w:rsidRPr="00CA34DB">
        <w:rPr>
          <w:rFonts w:ascii="Times New Roman" w:hAnsi="Times New Roman" w:cs="Times New Roman"/>
          <w:i/>
          <w:iCs/>
        </w:rPr>
        <w:t xml:space="preserve"> no Ag 432.140/DF (Quarta Turma, Rel. Min. Sálvio de Figueiredo Teixeira, </w:t>
      </w:r>
      <w:proofErr w:type="spellStart"/>
      <w:r w:rsidRPr="00CA34DB">
        <w:rPr>
          <w:rFonts w:ascii="Times New Roman" w:hAnsi="Times New Roman" w:cs="Times New Roman"/>
          <w:i/>
          <w:iCs/>
        </w:rPr>
        <w:t>DJe</w:t>
      </w:r>
      <w:proofErr w:type="spellEnd"/>
      <w:r w:rsidRPr="00CA34DB">
        <w:rPr>
          <w:rFonts w:ascii="Times New Roman" w:hAnsi="Times New Roman" w:cs="Times New Roman"/>
          <w:i/>
          <w:iCs/>
        </w:rPr>
        <w:t xml:space="preserve"> de 17.06.2002); REsp 345.568/SP (Quarta Turma, Rel. Min. Aldir Passarinho Junior, </w:t>
      </w:r>
      <w:proofErr w:type="spellStart"/>
      <w:r w:rsidRPr="00CA34DB">
        <w:rPr>
          <w:rFonts w:ascii="Times New Roman" w:hAnsi="Times New Roman" w:cs="Times New Roman"/>
          <w:i/>
          <w:iCs/>
        </w:rPr>
        <w:t>DJe</w:t>
      </w:r>
      <w:proofErr w:type="spellEnd"/>
      <w:r w:rsidRPr="00CA34DB">
        <w:rPr>
          <w:rFonts w:ascii="Times New Roman" w:hAnsi="Times New Roman" w:cs="Times New Roman"/>
          <w:i/>
          <w:iCs/>
        </w:rPr>
        <w:t xml:space="preserve"> de 10.02.2003); REsp 299.171/MS (Quarta Turma, Rel. Min. Sálvio de Figueiredo Teixeira, </w:t>
      </w:r>
      <w:proofErr w:type="spellStart"/>
      <w:r w:rsidRPr="00CA34DB">
        <w:rPr>
          <w:rFonts w:ascii="Times New Roman" w:hAnsi="Times New Roman" w:cs="Times New Roman"/>
          <w:i/>
          <w:iCs/>
        </w:rPr>
        <w:t>DJe</w:t>
      </w:r>
      <w:proofErr w:type="spellEnd"/>
      <w:r w:rsidRPr="00CA34DB">
        <w:rPr>
          <w:rFonts w:ascii="Times New Roman" w:hAnsi="Times New Roman" w:cs="Times New Roman"/>
          <w:i/>
          <w:iCs/>
        </w:rPr>
        <w:t xml:space="preserve"> de 10.09.2001); e REsp 401.708/MG</w:t>
      </w:r>
      <w:r w:rsidR="00CA34DB" w:rsidRPr="00CA34DB">
        <w:rPr>
          <w:rFonts w:ascii="Times New Roman" w:hAnsi="Times New Roman" w:cs="Times New Roman"/>
          <w:i/>
          <w:iCs/>
        </w:rPr>
        <w:t xml:space="preserve"> </w:t>
      </w:r>
      <w:r w:rsidRPr="00CA34DB">
        <w:rPr>
          <w:rFonts w:ascii="Times New Roman" w:hAnsi="Times New Roman" w:cs="Times New Roman"/>
          <w:i/>
          <w:iCs/>
        </w:rPr>
        <w:t xml:space="preserve">(Terceira Turma, Rel. Min. Castro Filho, </w:t>
      </w:r>
      <w:proofErr w:type="spellStart"/>
      <w:r w:rsidRPr="00CA34DB">
        <w:rPr>
          <w:rFonts w:ascii="Times New Roman" w:hAnsi="Times New Roman" w:cs="Times New Roman"/>
          <w:i/>
          <w:iCs/>
        </w:rPr>
        <w:t>DJe</w:t>
      </w:r>
      <w:proofErr w:type="spellEnd"/>
      <w:r w:rsidRPr="00CA34DB">
        <w:rPr>
          <w:rFonts w:ascii="Times New Roman" w:hAnsi="Times New Roman" w:cs="Times New Roman"/>
          <w:i/>
          <w:iCs/>
        </w:rPr>
        <w:t xml:space="preserve"> de 09.12.2003). [...] Também [...] decidiu-se que 'na ação de consignação em pagamento, é possível ampla discussão sobre o débito e o seu valor, inclusive com a interpretação da validade e alcance das cláusulas contratuais' (REsp 436.842/RS, Rel. Ministra Nancy Andrighi, Terceira Turma, j. 08.03.2007)." </w:t>
      </w:r>
      <w:r w:rsidRPr="007717EC">
        <w:rPr>
          <w:rFonts w:ascii="Times New Roman" w:hAnsi="Times New Roman" w:cs="Times New Roman"/>
        </w:rPr>
        <w:t>[STJ, REsp n. 1.108.058/DF, Rel. Min. Raul Araújo, DJ 19.12.2016]</w:t>
      </w:r>
    </w:p>
    <w:p w14:paraId="1A190253" w14:textId="63DD4A2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Esse entendimento, longe de ser isolado, foi expressamente adotado por esta Egrégia Corte no já citado precedente paradigma [Apelação Cível n. 5032299-43.2021.8.24.0008/SC], em situação de flagrante similitude com a presente. </w:t>
      </w:r>
    </w:p>
    <w:p w14:paraId="2B4E9023" w14:textId="4F305C2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Inclusive quanto ao instrumento normativo invocado para operacionalizar essa ampla discussão dentro do próprio rito especial, </w:t>
      </w:r>
      <w:proofErr w:type="spellStart"/>
      <w:r w:rsidRPr="00CA34DB">
        <w:rPr>
          <w:rFonts w:ascii="Times New Roman" w:hAnsi="Times New Roman" w:cs="Times New Roman"/>
          <w:i/>
          <w:iCs/>
        </w:rPr>
        <w:t>verbis</w:t>
      </w:r>
      <w:proofErr w:type="spellEnd"/>
      <w:r w:rsidRPr="007717EC">
        <w:rPr>
          <w:rFonts w:ascii="Times New Roman" w:hAnsi="Times New Roman" w:cs="Times New Roman"/>
        </w:rPr>
        <w:t>:</w:t>
      </w:r>
    </w:p>
    <w:p w14:paraId="7FFC6661" w14:textId="7777777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 </w:t>
      </w:r>
      <w:r w:rsidRPr="00CA34DB">
        <w:rPr>
          <w:rFonts w:ascii="Times New Roman" w:hAnsi="Times New Roman" w:cs="Times New Roman"/>
          <w:i/>
          <w:iCs/>
        </w:rPr>
        <w:t>a mera discussão acerca dos valores devidos não enseja a improcedência da ação de consignação. Ao revés, o art. 544, inciso IV e parágrafo único do CPC, dispõe que o réu deverá indicar o montante que entende devido e, de acordo com o entendimento jurisprudencial, pode-se utilizar da realização de prova pericial para tal finalidade — prova esta que pode ser realizada nos próprios autos da ação de consignação</w:t>
      </w:r>
      <w:r w:rsidRPr="007717EC">
        <w:rPr>
          <w:rFonts w:ascii="Times New Roman" w:hAnsi="Times New Roman" w:cs="Times New Roman"/>
        </w:rPr>
        <w:t>." [TJSC, Apelação Cível n. 5032299-43.2021.8.24.0008/SC, Rel. Des. Ricardo Fontes, 4ª Câmara de Direito Comercial, j. 11.02.2025]</w:t>
      </w:r>
    </w:p>
    <w:p w14:paraId="7D32005C" w14:textId="0D4D41B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 discussão sobre o </w:t>
      </w:r>
      <w:r w:rsidRPr="00CA34DB">
        <w:rPr>
          <w:rFonts w:ascii="Times New Roman" w:hAnsi="Times New Roman" w:cs="Times New Roman"/>
          <w:i/>
          <w:iCs/>
        </w:rPr>
        <w:t xml:space="preserve">quantum </w:t>
      </w:r>
      <w:proofErr w:type="spellStart"/>
      <w:r w:rsidRPr="00CA34DB">
        <w:rPr>
          <w:rFonts w:ascii="Times New Roman" w:hAnsi="Times New Roman" w:cs="Times New Roman"/>
          <w:i/>
          <w:iCs/>
        </w:rPr>
        <w:t>debeatur</w:t>
      </w:r>
      <w:proofErr w:type="spellEnd"/>
      <w:r w:rsidRPr="007717EC">
        <w:rPr>
          <w:rFonts w:ascii="Times New Roman" w:hAnsi="Times New Roman" w:cs="Times New Roman"/>
        </w:rPr>
        <w:t xml:space="preserve"> [o valor exato da obrigação] não afeta o cabimento ou o interesse processual da ação consignatória. A suficiência ou insuficiência do depósito conduzirá ao julgamento de procedência ou improcedência do pedido, a matéria é de mérito, e jamais de carência da ação ou inadequação da via.</w:t>
      </w:r>
    </w:p>
    <w:p w14:paraId="4F7C90E0" w14:textId="0C7ACB54"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A sociedade empresária possui o direito subjetivo e legal de se liberar da parcela que entende devida ao sócio retirante, estancando a fluência de juros moratórios e encargos sobre o montante incontroverso. Num único trilhar a doutrina pátria de escol, v.g.</w:t>
      </w:r>
      <w:r w:rsidR="003B0A21">
        <w:rPr>
          <w:rStyle w:val="Refdenotaderodap"/>
          <w:rFonts w:ascii="Times New Roman" w:hAnsi="Times New Roman" w:cs="Times New Roman"/>
        </w:rPr>
        <w:footnoteReference w:id="1"/>
      </w:r>
      <w:r w:rsidRPr="007717EC">
        <w:rPr>
          <w:rFonts w:ascii="Times New Roman" w:hAnsi="Times New Roman" w:cs="Times New Roman"/>
        </w:rPr>
        <w:t xml:space="preserve">: </w:t>
      </w:r>
    </w:p>
    <w:p w14:paraId="2EABD63F" w14:textId="7777777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CARLOS ROBERTO GONÇALVES:</w:t>
      </w:r>
    </w:p>
    <w:p w14:paraId="11470907" w14:textId="77777777" w:rsidR="007717EC" w:rsidRPr="00CA34DB" w:rsidRDefault="007717EC" w:rsidP="007717EC">
      <w:pPr>
        <w:ind w:right="-568"/>
        <w:jc w:val="both"/>
        <w:rPr>
          <w:rFonts w:ascii="Times New Roman" w:hAnsi="Times New Roman" w:cs="Times New Roman"/>
          <w:i/>
          <w:iCs/>
        </w:rPr>
      </w:pPr>
      <w:r w:rsidRPr="007717EC">
        <w:rPr>
          <w:rFonts w:ascii="Times New Roman" w:hAnsi="Times New Roman" w:cs="Times New Roman"/>
        </w:rPr>
        <w:t>“</w:t>
      </w:r>
      <w:r w:rsidRPr="00CA34DB">
        <w:rPr>
          <w:rFonts w:ascii="Times New Roman" w:hAnsi="Times New Roman" w:cs="Times New Roman"/>
          <w:i/>
          <w:iCs/>
        </w:rPr>
        <w:t>O pagamento em consignação consiste no depósito, pelo devedor, da coisa devida, com o objetivo de liberar-se da obrigação. É meio indireto de pagamento ou pagamento especial [...].</w:t>
      </w:r>
    </w:p>
    <w:p w14:paraId="35EB607A" w14:textId="7550A7A1" w:rsidR="007717EC" w:rsidRPr="007717EC" w:rsidRDefault="007717EC" w:rsidP="007717EC">
      <w:pPr>
        <w:ind w:right="-568"/>
        <w:jc w:val="both"/>
        <w:rPr>
          <w:rFonts w:ascii="Times New Roman" w:hAnsi="Times New Roman" w:cs="Times New Roman"/>
        </w:rPr>
      </w:pPr>
      <w:r w:rsidRPr="00CA34DB">
        <w:rPr>
          <w:rFonts w:ascii="Times New Roman" w:hAnsi="Times New Roman" w:cs="Times New Roman"/>
          <w:i/>
          <w:iCs/>
        </w:rPr>
        <w:lastRenderedPageBreak/>
        <w:t xml:space="preserve">O sujeito passivo da obrigação tem não apenas o dever de </w:t>
      </w:r>
      <w:proofErr w:type="gramStart"/>
      <w:r w:rsidRPr="00CA34DB">
        <w:rPr>
          <w:rFonts w:ascii="Times New Roman" w:hAnsi="Times New Roman" w:cs="Times New Roman"/>
          <w:i/>
          <w:iCs/>
        </w:rPr>
        <w:t>pagar</w:t>
      </w:r>
      <w:proofErr w:type="gramEnd"/>
      <w:r w:rsidRPr="00CA34DB">
        <w:rPr>
          <w:rFonts w:ascii="Times New Roman" w:hAnsi="Times New Roman" w:cs="Times New Roman"/>
          <w:i/>
          <w:iCs/>
        </w:rPr>
        <w:t xml:space="preserve"> mas também o direito de pagar. Se não for possível realizar o pagamento diretamente ao credor, em razão de recusa injustificada deste em receber ou de alguma outra circunstância, poderá valer-se da consignação em pagamento para não sofrer as consequências da mora. O locatário, por exemplo, a quem o credor recusou o recebimento do aluguel por discordar do valor ofertado, tem interesse em não incorrer em mora e em não deixar acumular as prestações para não correr o risco de sofrer uma ação de despejo</w:t>
      </w:r>
      <w:r w:rsidRPr="007717EC">
        <w:rPr>
          <w:rFonts w:ascii="Times New Roman" w:hAnsi="Times New Roman" w:cs="Times New Roman"/>
        </w:rPr>
        <w:t>.</w:t>
      </w:r>
      <w:r w:rsidR="00CA34DB">
        <w:rPr>
          <w:rFonts w:ascii="Times New Roman" w:hAnsi="Times New Roman" w:cs="Times New Roman"/>
        </w:rPr>
        <w:t>”</w:t>
      </w:r>
    </w:p>
    <w:p w14:paraId="21E0F81F" w14:textId="7777777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PABLO STOLZE GAGLIANO E RODOLFO PAMPLONA FILHO:</w:t>
      </w:r>
    </w:p>
    <w:p w14:paraId="4E9B81E5" w14:textId="77777777" w:rsidR="007717EC" w:rsidRPr="00CA34DB" w:rsidRDefault="007717EC" w:rsidP="007717EC">
      <w:pPr>
        <w:ind w:right="-568"/>
        <w:jc w:val="both"/>
        <w:rPr>
          <w:rFonts w:ascii="Times New Roman" w:hAnsi="Times New Roman" w:cs="Times New Roman"/>
          <w:i/>
          <w:iCs/>
        </w:rPr>
      </w:pPr>
      <w:r w:rsidRPr="007717EC">
        <w:rPr>
          <w:rFonts w:ascii="Times New Roman" w:hAnsi="Times New Roman" w:cs="Times New Roman"/>
        </w:rPr>
        <w:t>“</w:t>
      </w:r>
      <w:r w:rsidRPr="00CA34DB">
        <w:rPr>
          <w:rFonts w:ascii="Times New Roman" w:hAnsi="Times New Roman" w:cs="Times New Roman"/>
          <w:i/>
          <w:iCs/>
        </w:rPr>
        <w:t>Embora o vínculo jurídico que envolve os sujeitos da relação obrigacional leve à visão de que o devedor somente tenha a obrigação de satisfazer o crédito, não há como se negar a ele o direito de cumprir a prestação que foi pactuada.</w:t>
      </w:r>
    </w:p>
    <w:p w14:paraId="431B533B" w14:textId="323BAFBE" w:rsidR="007717EC" w:rsidRPr="007717EC" w:rsidRDefault="007717EC" w:rsidP="007717EC">
      <w:pPr>
        <w:ind w:right="-568"/>
        <w:jc w:val="both"/>
        <w:rPr>
          <w:rFonts w:ascii="Times New Roman" w:hAnsi="Times New Roman" w:cs="Times New Roman"/>
        </w:rPr>
      </w:pPr>
      <w:r w:rsidRPr="00CA34DB">
        <w:rPr>
          <w:rFonts w:ascii="Times New Roman" w:hAnsi="Times New Roman" w:cs="Times New Roman"/>
          <w:i/>
          <w:iCs/>
        </w:rPr>
        <w:t>Assim, se o credor — teoricamente o mais interessado na realização da prestação — se nega a recebê-la ou surge outro fato qualquer obstativo desse pagamento direto, pode o devedor se valer da consignação para se ver livre da obrigação assumida</w:t>
      </w:r>
      <w:r w:rsidRPr="007717EC">
        <w:rPr>
          <w:rFonts w:ascii="Times New Roman" w:hAnsi="Times New Roman" w:cs="Times New Roman"/>
        </w:rPr>
        <w:t>.”</w:t>
      </w:r>
    </w:p>
    <w:p w14:paraId="0A54D5BB" w14:textId="7777777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FLÁVIO TARTUCE:</w:t>
      </w:r>
    </w:p>
    <w:p w14:paraId="73980B7F" w14:textId="7777777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w:t>
      </w:r>
      <w:r w:rsidRPr="00CA34DB">
        <w:rPr>
          <w:rFonts w:ascii="Times New Roman" w:hAnsi="Times New Roman" w:cs="Times New Roman"/>
          <w:i/>
          <w:iCs/>
        </w:rPr>
        <w:t>O pagamento em consignação, regra especial de pagamento, pode ser conceituado como o depósito feito pelo devedor, da coisa devida, para liberar-se de uma obrigação assumida em face de um credor determinado. Tal depósito pode ocorrer, conforme estabelece o art. 334 do CC, na esfera judicial ou extrajudicial (em estabelecimento bancário oficial, conforme já constava no art. 890 do CPC/1973, repetido pelo art. 539 do CPC/2015).</w:t>
      </w:r>
      <w:r w:rsidRPr="007717EC">
        <w:rPr>
          <w:rFonts w:ascii="Times New Roman" w:hAnsi="Times New Roman" w:cs="Times New Roman"/>
        </w:rPr>
        <w:t>”</w:t>
      </w:r>
    </w:p>
    <w:p w14:paraId="0D034F2D" w14:textId="2DA59E5F"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Desse modo, na esteira da melhor doutrina, o pagamento em consignação pode ser definido como o meio indireto de o devedor, em caso de mora do credor, exonerar-se do liame obrigacional, consistente no depósito judicial [consignação judicial] ou em estabelecimento bancário (consignação extrajudicial), da coisa devida, nos casos e formas da lei.</w:t>
      </w:r>
    </w:p>
    <w:p w14:paraId="53011D08"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Conclusão pretendida</w:t>
      </w:r>
    </w:p>
    <w:p w14:paraId="6CC391C6" w14:textId="45B9763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 premissa central da r. sentença recorrida está, portanto, equivocada e em desconformidade com a jurisprudência consolidada do Superior Tribunal de Justiça e desta própria Corte. </w:t>
      </w:r>
    </w:p>
    <w:p w14:paraId="40E036B5" w14:textId="76F8A4F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 existência de controvérsia sobre o </w:t>
      </w:r>
      <w:r w:rsidRPr="00CA34DB">
        <w:rPr>
          <w:rFonts w:ascii="Times New Roman" w:hAnsi="Times New Roman" w:cs="Times New Roman"/>
          <w:i/>
          <w:iCs/>
        </w:rPr>
        <w:t xml:space="preserve">quantum </w:t>
      </w:r>
      <w:r w:rsidRPr="007717EC">
        <w:rPr>
          <w:rFonts w:ascii="Times New Roman" w:hAnsi="Times New Roman" w:cs="Times New Roman"/>
        </w:rPr>
        <w:t xml:space="preserve">não é causa de inadequação da via consignatória — é, ao contrário, a própria hipótese normativa que o art. 544, IV, do CPC contempla e disciplina, autorizando sua resolução nos próprios autos da consignatória, mediante prova pericial, sem necessidade de remessa das partes a ação autônoma de apuração de haveres. </w:t>
      </w:r>
    </w:p>
    <w:p w14:paraId="402AC6F4" w14:textId="43AF48C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Impõe-se, assim, a reforma da r. sentença para QUE SEJA RECONHECIDO O PLENO CABIMENTO DA VIA ELEITA, COM O CONSEQUENTE PROSSEGUIMENTO DO FEITO PARA A PRODUÇÃO DA PROVA TÉCNICA PERTINENTE AO ÚNICO PONTO EFETIVAMENTE CONTROVERTIDO.</w:t>
      </w:r>
    </w:p>
    <w:p w14:paraId="2D723285" w14:textId="648C9082"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III.3</w:t>
      </w:r>
      <w:r w:rsidR="00CA34DB" w:rsidRPr="00CA34DB">
        <w:rPr>
          <w:rFonts w:ascii="Times New Roman" w:hAnsi="Times New Roman" w:cs="Times New Roman"/>
          <w:b/>
          <w:bCs/>
        </w:rPr>
        <w:t xml:space="preserve"> </w:t>
      </w:r>
      <w:r w:rsidRPr="00CA34DB">
        <w:rPr>
          <w:rFonts w:ascii="Times New Roman" w:hAnsi="Times New Roman" w:cs="Times New Roman"/>
          <w:b/>
          <w:bCs/>
        </w:rPr>
        <w:t>AUSÊNCIA DE INDICAÇÃO, PELO APELADO, DO VALOR QUE ENTENDE DEVIDO - ÔNUS PROCESSUAL NÃO CUMPRIDO [CPC, ART. 544, PARÁGRAFO ÚNICO] -</w:t>
      </w:r>
    </w:p>
    <w:p w14:paraId="6E581FEB" w14:textId="77777777" w:rsid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lastRenderedPageBreak/>
        <w:t>Fato alegado</w:t>
      </w:r>
    </w:p>
    <w:p w14:paraId="5EC84580" w14:textId="2B1109E7" w:rsidR="007717EC" w:rsidRPr="00CA34DB" w:rsidRDefault="007717EC" w:rsidP="007717EC">
      <w:pPr>
        <w:ind w:right="-568"/>
        <w:jc w:val="both"/>
        <w:rPr>
          <w:rFonts w:ascii="Times New Roman" w:hAnsi="Times New Roman" w:cs="Times New Roman"/>
          <w:b/>
          <w:bCs/>
        </w:rPr>
      </w:pPr>
      <w:r w:rsidRPr="007717EC">
        <w:rPr>
          <w:rFonts w:ascii="Times New Roman" w:hAnsi="Times New Roman" w:cs="Times New Roman"/>
        </w:rPr>
        <w:t xml:space="preserve">Em nenhum momento, nem na correspondência eletrônica trocada entre as partes, nem na contestação [evento </w:t>
      </w:r>
      <w:r w:rsidR="00CA34DB">
        <w:rPr>
          <w:rFonts w:ascii="Times New Roman" w:hAnsi="Times New Roman" w:cs="Times New Roman"/>
        </w:rPr>
        <w:t>...</w:t>
      </w:r>
      <w:r w:rsidRPr="007717EC">
        <w:rPr>
          <w:rFonts w:ascii="Times New Roman" w:hAnsi="Times New Roman" w:cs="Times New Roman"/>
        </w:rPr>
        <w:t xml:space="preserve">], nem na manifestação do evento </w:t>
      </w:r>
      <w:r w:rsidR="00CA34DB">
        <w:rPr>
          <w:rFonts w:ascii="Times New Roman" w:hAnsi="Times New Roman" w:cs="Times New Roman"/>
        </w:rPr>
        <w:t>...</w:t>
      </w:r>
      <w:r w:rsidRPr="007717EC">
        <w:rPr>
          <w:rFonts w:ascii="Times New Roman" w:hAnsi="Times New Roman" w:cs="Times New Roman"/>
        </w:rPr>
        <w:t xml:space="preserve">, o Apelado indicou o montante específico que entende devido a título de haveres decorrentes de sua retirada da sociedade. </w:t>
      </w:r>
    </w:p>
    <w:p w14:paraId="07AC3400" w14:textId="2014A74D"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Limitou-se, invariavelmente, a questionar o parâmetro de avaliação de um bem cuja indenização, por decorrer de ação de desapropriação ainda em curso e sujeita a álea processual própria, sequer está definida — jamais convertendo essa objeção pontual em uma cifra final e conclusiva relativa à sua própria quota de 5% na sociedade Apelante.</w:t>
      </w:r>
    </w:p>
    <w:p w14:paraId="74539A8C"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Prova que sustenta o fato</w:t>
      </w:r>
    </w:p>
    <w:p w14:paraId="465CCFB1" w14:textId="12B69A70"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O e-mail de </w:t>
      </w:r>
      <w:r w:rsidR="00CA34DB">
        <w:rPr>
          <w:rFonts w:ascii="Times New Roman" w:hAnsi="Times New Roman" w:cs="Times New Roman"/>
        </w:rPr>
        <w:t>...</w:t>
      </w:r>
      <w:r w:rsidRPr="007717EC">
        <w:rPr>
          <w:rFonts w:ascii="Times New Roman" w:hAnsi="Times New Roman" w:cs="Times New Roman"/>
        </w:rPr>
        <w:t xml:space="preserve"> [doc. </w:t>
      </w:r>
      <w:r w:rsidR="00CA34DB">
        <w:rPr>
          <w:rFonts w:ascii="Times New Roman" w:hAnsi="Times New Roman" w:cs="Times New Roman"/>
        </w:rPr>
        <w:t>...</w:t>
      </w:r>
      <w:r w:rsidRPr="007717EC">
        <w:rPr>
          <w:rFonts w:ascii="Times New Roman" w:hAnsi="Times New Roman" w:cs="Times New Roman"/>
        </w:rPr>
        <w:t xml:space="preserve">] revela que o Apelado apenas questiona o valor de R$ </w:t>
      </w:r>
      <w:r w:rsidR="00CA34DB">
        <w:rPr>
          <w:rFonts w:ascii="Times New Roman" w:hAnsi="Times New Roman" w:cs="Times New Roman"/>
        </w:rPr>
        <w:t>...</w:t>
      </w:r>
      <w:r w:rsidRPr="007717EC">
        <w:rPr>
          <w:rFonts w:ascii="Times New Roman" w:hAnsi="Times New Roman" w:cs="Times New Roman"/>
        </w:rPr>
        <w:t xml:space="preserve">/m² sem apresentar qualquer cálculo do total de haveres que entende devido. Já o e-mail de </w:t>
      </w:r>
      <w:r w:rsidR="00CA34DB">
        <w:rPr>
          <w:rFonts w:ascii="Times New Roman" w:hAnsi="Times New Roman" w:cs="Times New Roman"/>
        </w:rPr>
        <w:t>...</w:t>
      </w:r>
      <w:r w:rsidRPr="007717EC">
        <w:rPr>
          <w:rFonts w:ascii="Times New Roman" w:hAnsi="Times New Roman" w:cs="Times New Roman"/>
        </w:rPr>
        <w:t xml:space="preserve"> [doc. </w:t>
      </w:r>
      <w:r w:rsidR="00CA34DB">
        <w:rPr>
          <w:rFonts w:ascii="Times New Roman" w:hAnsi="Times New Roman" w:cs="Times New Roman"/>
        </w:rPr>
        <w:t>...</w:t>
      </w:r>
      <w:r w:rsidRPr="007717EC">
        <w:rPr>
          <w:rFonts w:ascii="Times New Roman" w:hAnsi="Times New Roman" w:cs="Times New Roman"/>
        </w:rPr>
        <w:t xml:space="preserve">], a despeito de mencionar parâmetro alternativo de R$ </w:t>
      </w:r>
      <w:r w:rsidR="00CA34DB">
        <w:rPr>
          <w:rFonts w:ascii="Times New Roman" w:hAnsi="Times New Roman" w:cs="Times New Roman"/>
        </w:rPr>
        <w:t>...</w:t>
      </w:r>
      <w:r w:rsidRPr="007717EC">
        <w:rPr>
          <w:rFonts w:ascii="Times New Roman" w:hAnsi="Times New Roman" w:cs="Times New Roman"/>
        </w:rPr>
        <w:t xml:space="preserve">/m² para a área rural </w:t>
      </w:r>
      <w:r w:rsidRPr="00CA34DB">
        <w:rPr>
          <w:rFonts w:ascii="Times New Roman" w:hAnsi="Times New Roman" w:cs="Times New Roman"/>
          <w:i/>
          <w:iCs/>
        </w:rPr>
        <w:t>sub judice</w:t>
      </w:r>
      <w:r w:rsidRPr="007717EC">
        <w:rPr>
          <w:rFonts w:ascii="Times New Roman" w:hAnsi="Times New Roman" w:cs="Times New Roman"/>
        </w:rPr>
        <w:t xml:space="preserve"> — chegando a sugerir, com base nesse parâmetro, uma valoração de R$ </w:t>
      </w:r>
      <w:r w:rsidR="00CA34DB">
        <w:rPr>
          <w:rFonts w:ascii="Times New Roman" w:hAnsi="Times New Roman" w:cs="Times New Roman"/>
        </w:rPr>
        <w:t>...</w:t>
      </w:r>
      <w:r w:rsidRPr="007717EC">
        <w:rPr>
          <w:rFonts w:ascii="Times New Roman" w:hAnsi="Times New Roman" w:cs="Times New Roman"/>
        </w:rPr>
        <w:t xml:space="preserve"> para a totalidade da gleba —, jamais converteu tal parâmetro em indicação do montante total de haveres que entende devido a si próprio, na proporção de sua quota de 5% do capital social. Tampouco a contestação ou a manifestação subsequente supriram essa lacuna essencial.</w:t>
      </w:r>
    </w:p>
    <w:p w14:paraId="54CDF778"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Fundamento jurídico aplicável</w:t>
      </w:r>
    </w:p>
    <w:p w14:paraId="7C9B900F" w14:textId="024F63E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Dispõe o art. 544, IV e parágrafo único, do CPC: "</w:t>
      </w:r>
      <w:r w:rsidRPr="00CA34DB">
        <w:rPr>
          <w:rFonts w:ascii="Times New Roman" w:hAnsi="Times New Roman" w:cs="Times New Roman"/>
          <w:i/>
          <w:iCs/>
        </w:rPr>
        <w:t>Na contestação, o réu poderá alegar que [...] IV — o depósito não é integral. Parágrafo único. No caso do inciso IV, a alegação somente será admissível se o réu indicar o montante que entende devido</w:t>
      </w:r>
      <w:r w:rsidRPr="007717EC">
        <w:rPr>
          <w:rFonts w:ascii="Times New Roman" w:hAnsi="Times New Roman" w:cs="Times New Roman"/>
        </w:rPr>
        <w:t xml:space="preserve">." </w:t>
      </w:r>
    </w:p>
    <w:p w14:paraId="490D9168" w14:textId="70925DA4"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Trata-se de requisito de admissibilidade da própria defesa, não de mera formalidade </w:t>
      </w:r>
      <w:proofErr w:type="gramStart"/>
      <w:r w:rsidRPr="007717EC">
        <w:rPr>
          <w:rFonts w:ascii="Times New Roman" w:hAnsi="Times New Roman" w:cs="Times New Roman"/>
        </w:rPr>
        <w:t>despicienda,,</w:t>
      </w:r>
      <w:proofErr w:type="gramEnd"/>
      <w:r w:rsidRPr="007717EC">
        <w:rPr>
          <w:rFonts w:ascii="Times New Roman" w:hAnsi="Times New Roman" w:cs="Times New Roman"/>
        </w:rPr>
        <w:t xml:space="preserve"> cuja ausência gera</w:t>
      </w:r>
      <w:r w:rsidR="00CA34DB">
        <w:rPr>
          <w:rFonts w:ascii="Times New Roman" w:hAnsi="Times New Roman" w:cs="Times New Roman"/>
        </w:rPr>
        <w:t xml:space="preserve"> </w:t>
      </w:r>
      <w:r w:rsidRPr="007717EC">
        <w:rPr>
          <w:rFonts w:ascii="Times New Roman" w:hAnsi="Times New Roman" w:cs="Times New Roman"/>
        </w:rPr>
        <w:t xml:space="preserve">a preclusão da alegação de insuficiência do depósito. </w:t>
      </w:r>
    </w:p>
    <w:p w14:paraId="28901EDF"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Conclusão pretendida</w:t>
      </w:r>
    </w:p>
    <w:p w14:paraId="3BFD0D8E" w14:textId="3A1F5BB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Ainda que se admitisse, </w:t>
      </w:r>
      <w:r w:rsidRPr="00CA34DB">
        <w:rPr>
          <w:rFonts w:ascii="Times New Roman" w:hAnsi="Times New Roman" w:cs="Times New Roman"/>
          <w:i/>
          <w:iCs/>
        </w:rPr>
        <w:t xml:space="preserve">ad </w:t>
      </w:r>
      <w:proofErr w:type="spellStart"/>
      <w:r w:rsidRPr="00CA34DB">
        <w:rPr>
          <w:rFonts w:ascii="Times New Roman" w:hAnsi="Times New Roman" w:cs="Times New Roman"/>
          <w:i/>
          <w:iCs/>
        </w:rPr>
        <w:t>argumentandum</w:t>
      </w:r>
      <w:proofErr w:type="spellEnd"/>
      <w:r w:rsidRPr="00CA34DB">
        <w:rPr>
          <w:rFonts w:ascii="Times New Roman" w:hAnsi="Times New Roman" w:cs="Times New Roman"/>
          <w:i/>
          <w:iCs/>
        </w:rPr>
        <w:t xml:space="preserve"> tantum</w:t>
      </w:r>
      <w:r w:rsidRPr="007717EC">
        <w:rPr>
          <w:rFonts w:ascii="Times New Roman" w:hAnsi="Times New Roman" w:cs="Times New Roman"/>
        </w:rPr>
        <w:t>, a existência de controvérsia técnica remanescente sobre o único ponto acima referido, o não atendimento ao ônus do art. 544, parágrafo único, do CPC deveria conduzir, no mínimo, à inadmissão da defesa de insuficiência do depósito quanto ao restante incontroverso do laudo — impondo-se a procedência da consignatória quanto à parcela incontroversa dos haveres — e jamais à improcedência total dos pedidos formulados na inicial, com condenação da Apelante à integralidade dos ônus sucumbenciais, tal como decidido pela r. sentença recorrida.</w:t>
      </w:r>
    </w:p>
    <w:p w14:paraId="253E8918" w14:textId="15C40F05"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III.4</w:t>
      </w:r>
      <w:r w:rsidR="00CA34DB" w:rsidRPr="00CA34DB">
        <w:rPr>
          <w:rFonts w:ascii="Times New Roman" w:hAnsi="Times New Roman" w:cs="Times New Roman"/>
          <w:b/>
          <w:bCs/>
        </w:rPr>
        <w:t xml:space="preserve"> </w:t>
      </w:r>
      <w:r w:rsidRPr="00CA34DB">
        <w:rPr>
          <w:rFonts w:ascii="Times New Roman" w:hAnsi="Times New Roman" w:cs="Times New Roman"/>
          <w:b/>
          <w:bCs/>
        </w:rPr>
        <w:t>CONTRADIÇÃO INTERNA DA SENTENÇA: RECONHECE A EXISTÊNCIA DE CONTROVÉRSIA TÉCNICA, MAS NÃO A INSTRUI, EXTINGUINDO O FEITO SEM PRODUÇÃO DE PROVA</w:t>
      </w:r>
    </w:p>
    <w:p w14:paraId="6B1E3263"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Fato alegado</w:t>
      </w:r>
    </w:p>
    <w:p w14:paraId="007FE38C" w14:textId="1D80E8D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A v. sentença recorrida reconhece expressamente, em sua própria fundamentação, que o Apelado, "</w:t>
      </w:r>
      <w:r w:rsidRPr="00CA34DB">
        <w:rPr>
          <w:rFonts w:ascii="Times New Roman" w:hAnsi="Times New Roman" w:cs="Times New Roman"/>
          <w:i/>
          <w:iCs/>
        </w:rPr>
        <w:t>tão logo lhe foi apresentado</w:t>
      </w:r>
      <w:r w:rsidRPr="007717EC">
        <w:rPr>
          <w:rFonts w:ascii="Times New Roman" w:hAnsi="Times New Roman" w:cs="Times New Roman"/>
        </w:rPr>
        <w:t>" o laudo, "</w:t>
      </w:r>
      <w:r w:rsidRPr="00CA34DB">
        <w:rPr>
          <w:rFonts w:ascii="Times New Roman" w:hAnsi="Times New Roman" w:cs="Times New Roman"/>
          <w:i/>
          <w:iCs/>
        </w:rPr>
        <w:t xml:space="preserve">passou a questionar a metodologia empregada, os documentos utilizados na elaboração do trabalho técnico, a valoração dos </w:t>
      </w:r>
      <w:r w:rsidRPr="00CA34DB">
        <w:rPr>
          <w:rFonts w:ascii="Times New Roman" w:hAnsi="Times New Roman" w:cs="Times New Roman"/>
          <w:i/>
          <w:iCs/>
        </w:rPr>
        <w:lastRenderedPageBreak/>
        <w:t>imóveis integrantes do patrimônio social e os reflexos patrimoniais de ação de desapropriação</w:t>
      </w:r>
      <w:r w:rsidRPr="007717EC">
        <w:rPr>
          <w:rFonts w:ascii="Times New Roman" w:hAnsi="Times New Roman" w:cs="Times New Roman"/>
        </w:rPr>
        <w:t xml:space="preserve">", ou seja, admite, categoricamente, a existência de matéria técnica contábil e patrimonial controvertida. </w:t>
      </w:r>
    </w:p>
    <w:p w14:paraId="4CC87C43" w14:textId="7571588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Não obstante esse reconhecimento expresso, e paradoxalmente, optou pelo julgamento antecipado e pela extinção do feito, sem determinar qualquer instrução sobre o ponto que ela própria identificou como relevante para o desate da controvérsia.</w:t>
      </w:r>
    </w:p>
    <w:p w14:paraId="50415D37"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Fundamento jurídico aplicável</w:t>
      </w:r>
    </w:p>
    <w:p w14:paraId="76A1E6BC" w14:textId="185DCD0C"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Os </w:t>
      </w:r>
      <w:proofErr w:type="spellStart"/>
      <w:r w:rsidRPr="007717EC">
        <w:rPr>
          <w:rFonts w:ascii="Times New Roman" w:hAnsi="Times New Roman" w:cs="Times New Roman"/>
        </w:rPr>
        <w:t>arts</w:t>
      </w:r>
      <w:proofErr w:type="spellEnd"/>
      <w:r w:rsidRPr="007717EC">
        <w:rPr>
          <w:rFonts w:ascii="Times New Roman" w:hAnsi="Times New Roman" w:cs="Times New Roman"/>
        </w:rPr>
        <w:t xml:space="preserve">. 370 e 464 do CPC atribuem ao juiz o dever-poder de determinar as provas necessárias ao julgamento do mérito quando a controvérsia depender de conhecimento técnico especializado, sendo vedado, nessas hipóteses, o julgamento antecipado [CPC, art. 355 c/c 357 a </w:t>
      </w:r>
      <w:proofErr w:type="spellStart"/>
      <w:r w:rsidRPr="00CA34DB">
        <w:rPr>
          <w:rFonts w:ascii="Times New Roman" w:hAnsi="Times New Roman" w:cs="Times New Roman"/>
          <w:i/>
          <w:iCs/>
        </w:rPr>
        <w:t>contrario</w:t>
      </w:r>
      <w:proofErr w:type="spellEnd"/>
      <w:r w:rsidRPr="00CA34DB">
        <w:rPr>
          <w:rFonts w:ascii="Times New Roman" w:hAnsi="Times New Roman" w:cs="Times New Roman"/>
          <w:i/>
          <w:iCs/>
        </w:rPr>
        <w:t xml:space="preserve"> sensu</w:t>
      </w:r>
      <w:r w:rsidRPr="007717EC">
        <w:rPr>
          <w:rFonts w:ascii="Times New Roman" w:hAnsi="Times New Roman" w:cs="Times New Roman"/>
        </w:rPr>
        <w:t xml:space="preserve">]. </w:t>
      </w:r>
    </w:p>
    <w:p w14:paraId="5C51C931" w14:textId="618FFA0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A coerência interna da decisão judicial, ademais, é </w:t>
      </w:r>
      <w:proofErr w:type="gramStart"/>
      <w:r w:rsidRPr="007717EC">
        <w:rPr>
          <w:rFonts w:ascii="Times New Roman" w:hAnsi="Times New Roman" w:cs="Times New Roman"/>
        </w:rPr>
        <w:t>pressuposto</w:t>
      </w:r>
      <w:proofErr w:type="gramEnd"/>
      <w:r w:rsidRPr="007717EC">
        <w:rPr>
          <w:rFonts w:ascii="Times New Roman" w:hAnsi="Times New Roman" w:cs="Times New Roman"/>
        </w:rPr>
        <w:t xml:space="preserve"> lógico de sua própria validade: não se pode, sem incorrer em </w:t>
      </w:r>
      <w:r w:rsidRPr="00CA34DB">
        <w:rPr>
          <w:rFonts w:ascii="Times New Roman" w:hAnsi="Times New Roman" w:cs="Times New Roman"/>
          <w:i/>
          <w:iCs/>
        </w:rPr>
        <w:t xml:space="preserve">non </w:t>
      </w:r>
      <w:proofErr w:type="spellStart"/>
      <w:r w:rsidRPr="00CA34DB">
        <w:rPr>
          <w:rFonts w:ascii="Times New Roman" w:hAnsi="Times New Roman" w:cs="Times New Roman"/>
          <w:i/>
          <w:iCs/>
        </w:rPr>
        <w:t>sequitur</w:t>
      </w:r>
      <w:proofErr w:type="spellEnd"/>
      <w:r w:rsidRPr="007717EC">
        <w:rPr>
          <w:rFonts w:ascii="Times New Roman" w:hAnsi="Times New Roman" w:cs="Times New Roman"/>
        </w:rPr>
        <w:t>, reconhecer a existência de controvérsia técnica idônea e, na sequência, extrair dessa mesma premissa a conclusão de que nada haveria a instruir.</w:t>
      </w:r>
    </w:p>
    <w:p w14:paraId="0DEA453C" w14:textId="77777777"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Conclusão pretendida</w:t>
      </w:r>
    </w:p>
    <w:p w14:paraId="6F6EC052" w14:textId="6B77F958"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Há incoerência lógica insanável entre a premissa fática reconhecida pelo próprio Juízo </w:t>
      </w:r>
      <w:r w:rsidRPr="00CA34DB">
        <w:rPr>
          <w:rFonts w:ascii="Times New Roman" w:hAnsi="Times New Roman" w:cs="Times New Roman"/>
          <w:i/>
          <w:iCs/>
        </w:rPr>
        <w:t>a quo</w:t>
      </w:r>
      <w:r w:rsidRPr="007717EC">
        <w:rPr>
          <w:rFonts w:ascii="Times New Roman" w:hAnsi="Times New Roman" w:cs="Times New Roman"/>
        </w:rPr>
        <w:t xml:space="preserve"> [existência de controvérsia técnica idônea] e a consequência jurídica dela extraída [extinção sem instrução, com remessa das partes a ação autônoma]. </w:t>
      </w:r>
    </w:p>
    <w:p w14:paraId="364C02AE" w14:textId="74A58925"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Destarte, reconhecida a necessidade de exame técnico, a consequência processual correta seria a produção de perícia, jamais o julgamento antecipado com extinção do feito, o que equivale, na prática, à denegação de jurisdição sobre matéria que o próprio Juízo admite ser controvertida e relevante, em manifesto prejuízo à efetividade da tutela jurisdicional buscada pela Apelante.</w:t>
      </w:r>
    </w:p>
    <w:p w14:paraId="65622725" w14:textId="5683F363"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III.5</w:t>
      </w:r>
      <w:r w:rsidR="00CA34DB" w:rsidRPr="00CA34DB">
        <w:rPr>
          <w:rFonts w:ascii="Times New Roman" w:hAnsi="Times New Roman" w:cs="Times New Roman"/>
          <w:b/>
          <w:bCs/>
        </w:rPr>
        <w:t xml:space="preserve"> </w:t>
      </w:r>
      <w:r w:rsidRPr="00CA34DB">
        <w:rPr>
          <w:rFonts w:ascii="Times New Roman" w:hAnsi="Times New Roman" w:cs="Times New Roman"/>
          <w:b/>
          <w:bCs/>
        </w:rPr>
        <w:t>ACOLHIMENTO DA PRELIMINAR E CONSEQUÊNCIA SOBRE OS ÔNUS SUCUMBENCIAIS</w:t>
      </w:r>
    </w:p>
    <w:p w14:paraId="59BBFC7E" w14:textId="1F1CF1B6"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Acolhida a preliminar de nulidade aqui suscitada alhures, ficará prejudicado, nesta fase recursal, o exame da distribuição dos ônus sucumbenciais, que deverá ser objeto de nova e fundamentada decisão após a regular instrução do feito na origem, sob pena de se antecipar juízo de mérito incompatível com a própria cassação pleiteada.</w:t>
      </w:r>
    </w:p>
    <w:p w14:paraId="70EF02AE" w14:textId="04C64A0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Subsidiariamente, acolhido o mérito recursal  para reformar a sentença e julgar procedente, total ou parcialmente, a ação consignatória, impõe-se a inversão do ônus de sucumbência, condenando-se o Apelado ao pagamento das custas processuais e dos honorários advocatícios, nos termos do art. 85 do CPC c/c art. 343 do Código Civil, por ter dado causa, com sua recusa injustificada e desacompanhada de indicação de valor, ao ajuizamento da presente demanda e a todo o desgaste processual dela decorrente.</w:t>
      </w:r>
    </w:p>
    <w:p w14:paraId="316D0068" w14:textId="4345F414" w:rsidR="007717EC" w:rsidRPr="00CA34DB" w:rsidRDefault="007717EC" w:rsidP="007717EC">
      <w:pPr>
        <w:ind w:right="-568"/>
        <w:jc w:val="both"/>
        <w:rPr>
          <w:rFonts w:ascii="Times New Roman" w:hAnsi="Times New Roman" w:cs="Times New Roman"/>
          <w:b/>
          <w:bCs/>
        </w:rPr>
      </w:pPr>
      <w:r w:rsidRPr="00CA34DB">
        <w:rPr>
          <w:rFonts w:ascii="Times New Roman" w:hAnsi="Times New Roman" w:cs="Times New Roman"/>
          <w:b/>
          <w:bCs/>
        </w:rPr>
        <w:t>IV.</w:t>
      </w:r>
      <w:r w:rsidR="00CA34DB" w:rsidRPr="00CA34DB">
        <w:rPr>
          <w:rFonts w:ascii="Times New Roman" w:hAnsi="Times New Roman" w:cs="Times New Roman"/>
          <w:b/>
          <w:bCs/>
        </w:rPr>
        <w:t xml:space="preserve"> </w:t>
      </w:r>
      <w:r w:rsidRPr="00CA34DB">
        <w:rPr>
          <w:rFonts w:ascii="Times New Roman" w:hAnsi="Times New Roman" w:cs="Times New Roman"/>
          <w:b/>
          <w:bCs/>
        </w:rPr>
        <w:t>PEDIDOS</w:t>
      </w:r>
    </w:p>
    <w:p w14:paraId="73826433" w14:textId="6DB17802" w:rsidR="007717EC" w:rsidRPr="007717EC" w:rsidRDefault="007717EC" w:rsidP="007717EC">
      <w:pPr>
        <w:ind w:right="-568"/>
        <w:jc w:val="both"/>
        <w:rPr>
          <w:rFonts w:ascii="Times New Roman" w:hAnsi="Times New Roman" w:cs="Times New Roman"/>
        </w:rPr>
      </w:pPr>
      <w:proofErr w:type="spellStart"/>
      <w:r w:rsidRPr="00CA34DB">
        <w:rPr>
          <w:rFonts w:ascii="Times New Roman" w:hAnsi="Times New Roman" w:cs="Times New Roman"/>
          <w:b/>
          <w:bCs/>
          <w:i/>
          <w:iCs/>
        </w:rPr>
        <w:t>Ex</w:t>
      </w:r>
      <w:proofErr w:type="spellEnd"/>
      <w:r w:rsidRPr="00CA34DB">
        <w:rPr>
          <w:rFonts w:ascii="Times New Roman" w:hAnsi="Times New Roman" w:cs="Times New Roman"/>
          <w:b/>
          <w:bCs/>
          <w:i/>
          <w:iCs/>
        </w:rPr>
        <w:t xml:space="preserve"> positis</w:t>
      </w:r>
      <w:r w:rsidRPr="007717EC">
        <w:rPr>
          <w:rFonts w:ascii="Times New Roman" w:hAnsi="Times New Roman" w:cs="Times New Roman"/>
        </w:rPr>
        <w:t>, o apelante requer:</w:t>
      </w:r>
    </w:p>
    <w:p w14:paraId="6C4AEFA9" w14:textId="4C55CF46" w:rsidR="007717EC" w:rsidRPr="007717EC" w:rsidRDefault="007717EC" w:rsidP="007717EC">
      <w:pPr>
        <w:ind w:right="-568"/>
        <w:jc w:val="both"/>
        <w:rPr>
          <w:rFonts w:ascii="Times New Roman" w:hAnsi="Times New Roman" w:cs="Times New Roman"/>
        </w:rPr>
      </w:pPr>
    </w:p>
    <w:p w14:paraId="519699BE" w14:textId="48770CAB" w:rsidR="007717EC" w:rsidRPr="007717EC" w:rsidRDefault="00CA34DB" w:rsidP="007717EC">
      <w:pPr>
        <w:ind w:right="-568"/>
        <w:jc w:val="both"/>
        <w:rPr>
          <w:rFonts w:ascii="Times New Roman" w:hAnsi="Times New Roman" w:cs="Times New Roman"/>
        </w:rPr>
      </w:pPr>
      <w:r w:rsidRPr="00CA34DB">
        <w:rPr>
          <w:rFonts w:ascii="Times New Roman" w:hAnsi="Times New Roman" w:cs="Times New Roman"/>
        </w:rPr>
        <w:lastRenderedPageBreak/>
        <w:t>a)</w:t>
      </w:r>
      <w:r>
        <w:rPr>
          <w:rFonts w:ascii="Times New Roman" w:hAnsi="Times New Roman" w:cs="Times New Roman"/>
        </w:rPr>
        <w:t xml:space="preserve"> </w:t>
      </w:r>
      <w:r w:rsidR="007717EC" w:rsidRPr="00CA34DB">
        <w:rPr>
          <w:rFonts w:ascii="Times New Roman" w:hAnsi="Times New Roman" w:cs="Times New Roman"/>
          <w:i/>
          <w:iCs/>
        </w:rPr>
        <w:t>prima facie</w:t>
      </w:r>
      <w:r w:rsidR="007717EC" w:rsidRPr="00CA34DB">
        <w:rPr>
          <w:rFonts w:ascii="Times New Roman" w:hAnsi="Times New Roman" w:cs="Times New Roman"/>
        </w:rPr>
        <w:t>, SEJA RECONHECIDA E ACOLHIDA A PRELIMINAR DE NULIDADE DA SENTENÇA POR CERCEAMENTO DE DEFESA, ANTE A AUSÊNCIA DE PRODUÇÃO DA PROVA PERICIAL CONTÁBIL E PATRIMONIAL expressamente requerida pelo próprio Apelado em duas oportunidades processuais, com a consequente cassação da sentença e retorno dos autos à origem para regular prosseguimento da instrução probatória, restando prejudicado, nesta fase, o exame do mérito recursal, tal como decidido por esta Egrégia Corte no precedente paradigma [TJSC, Apelação Cível n. 5032299-43.2021.8.24.0008/SC];</w:t>
      </w:r>
    </w:p>
    <w:p w14:paraId="0355DB04" w14:textId="415D724E"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 xml:space="preserve">b) subsidiariamente, caso superada a preliminar, SEJA DADO PROVIMENTO AO RECURSO PARA REFORMAR INTEGRALMENTE A SENTENÇA, RECONHECENDO-SE O CABIMENTO DA AÇÃO DE CONSIGNAÇÃO EM PAGAMENTO A DESPEITO DA CONTROVÉRSIA PONTUAL SOBRE O VALOR DOS HAVERES  nos termos do Tema consolidado pelo Superior Tribunal de Justiça no REsp n. 1.108.058/DF —, com o consequente retorno dos autos à origem para produção de prova pericial contábil circunscrita ao único ponto efetivamente controvertido [metodologia de avaliação dos imóveis rurais objeto da Ação de Desapropriação n. </w:t>
      </w:r>
      <w:r w:rsidR="00CA34DB">
        <w:rPr>
          <w:rFonts w:ascii="Times New Roman" w:hAnsi="Times New Roman" w:cs="Times New Roman"/>
        </w:rPr>
        <w:t>...</w:t>
      </w:r>
      <w:r w:rsidRPr="007717EC">
        <w:rPr>
          <w:rFonts w:ascii="Times New Roman" w:hAnsi="Times New Roman" w:cs="Times New Roman"/>
        </w:rPr>
        <w:t>], prosseguindo-se o feito nos próprios autos da presente consignatória;</w:t>
      </w:r>
    </w:p>
    <w:p w14:paraId="5102CD00" w14:textId="38F6E08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c) subsidiariamente ainda, SEJA RECONHECIDA A INADMISSIBILIDADE DA DEFESA DE INSUFICIÊNCIA DO DEPÓSITO, ANTE A AUSÊNCIA DE INDICAÇÃO, PELO APELADO, DO MONTANTE QUE ENTENDE DEVIDO [art. 544, parágrafo único, CPC], com a consequente procedência da ação quanto à parcela incontroversa dos haveres apurados;</w:t>
      </w:r>
    </w:p>
    <w:p w14:paraId="765D767D" w14:textId="14821DDB"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d) em qualquer das hipóteses de provimento, seja invertida a sucumbência ou, quando cabível, prejudicada a análise dos honorários até a prolação de nova decisão de mérito, condenando-se o Apelado ao pagamento das custas e honorários advocatícios sucumbenciais, nos termos do art. 85 do CPC;</w:t>
      </w:r>
    </w:p>
    <w:p w14:paraId="26571D7D" w14:textId="51877FD7" w:rsidR="007717EC" w:rsidRPr="007717EC" w:rsidRDefault="007717EC" w:rsidP="007717EC">
      <w:pPr>
        <w:ind w:right="-568"/>
        <w:jc w:val="both"/>
        <w:rPr>
          <w:rFonts w:ascii="Times New Roman" w:hAnsi="Times New Roman" w:cs="Times New Roman"/>
        </w:rPr>
      </w:pPr>
      <w:r w:rsidRPr="007717EC">
        <w:rPr>
          <w:rFonts w:ascii="Times New Roman" w:hAnsi="Times New Roman" w:cs="Times New Roman"/>
        </w:rPr>
        <w:t>e)</w:t>
      </w:r>
      <w:r w:rsidR="00CA34DB">
        <w:rPr>
          <w:rFonts w:ascii="Times New Roman" w:hAnsi="Times New Roman" w:cs="Times New Roman"/>
        </w:rPr>
        <w:t xml:space="preserve"> </w:t>
      </w:r>
      <w:r w:rsidRPr="007717EC">
        <w:rPr>
          <w:rFonts w:ascii="Times New Roman" w:hAnsi="Times New Roman" w:cs="Times New Roman"/>
        </w:rPr>
        <w:t>a juntada da guia do preparo recursal quitada [doc.</w:t>
      </w:r>
      <w:r w:rsidR="00CA34DB">
        <w:rPr>
          <w:rFonts w:ascii="Times New Roman" w:hAnsi="Times New Roman" w:cs="Times New Roman"/>
        </w:rPr>
        <w:t xml:space="preserve"> n. ...</w:t>
      </w:r>
      <w:r w:rsidRPr="007717EC">
        <w:rPr>
          <w:rFonts w:ascii="Times New Roman" w:hAnsi="Times New Roman" w:cs="Times New Roman"/>
        </w:rPr>
        <w:t>].</w:t>
      </w:r>
    </w:p>
    <w:p w14:paraId="7713104F" w14:textId="49D0CDF3" w:rsidR="007717EC" w:rsidRPr="007717EC" w:rsidRDefault="007717EC" w:rsidP="00CA34DB">
      <w:pPr>
        <w:spacing w:after="0" w:line="240" w:lineRule="auto"/>
        <w:ind w:right="-567"/>
        <w:jc w:val="center"/>
        <w:rPr>
          <w:rFonts w:ascii="Times New Roman" w:hAnsi="Times New Roman" w:cs="Times New Roman"/>
        </w:rPr>
      </w:pPr>
      <w:r w:rsidRPr="007717EC">
        <w:rPr>
          <w:rFonts w:ascii="Times New Roman" w:hAnsi="Times New Roman" w:cs="Times New Roman"/>
        </w:rPr>
        <w:t>P</w:t>
      </w:r>
      <w:r w:rsidR="00CA34DB">
        <w:rPr>
          <w:rFonts w:ascii="Times New Roman" w:hAnsi="Times New Roman" w:cs="Times New Roman"/>
        </w:rPr>
        <w:t>ede</w:t>
      </w:r>
      <w:r w:rsidRPr="007717EC">
        <w:rPr>
          <w:rFonts w:ascii="Times New Roman" w:hAnsi="Times New Roman" w:cs="Times New Roman"/>
        </w:rPr>
        <w:t xml:space="preserve"> Deferimento.</w:t>
      </w:r>
    </w:p>
    <w:p w14:paraId="78B2CE34" w14:textId="2C744D55" w:rsidR="007717EC" w:rsidRDefault="00CA34DB" w:rsidP="00CA34DB">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741E42D4" w14:textId="5C57BB2E" w:rsidR="00CA34DB" w:rsidRPr="007717EC" w:rsidRDefault="00CA34DB" w:rsidP="00CA34DB">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CA34DB" w:rsidRPr="007717E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D63EF" w14:textId="77777777" w:rsidR="00A70081" w:rsidRDefault="00A70081" w:rsidP="007717EC">
      <w:pPr>
        <w:spacing w:after="0" w:line="240" w:lineRule="auto"/>
      </w:pPr>
      <w:r>
        <w:separator/>
      </w:r>
    </w:p>
  </w:endnote>
  <w:endnote w:type="continuationSeparator" w:id="0">
    <w:p w14:paraId="3DA128D1" w14:textId="77777777" w:rsidR="00A70081" w:rsidRDefault="00A70081" w:rsidP="00771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4A95" w14:textId="77777777" w:rsidR="00A70081" w:rsidRDefault="00A70081" w:rsidP="007717EC">
      <w:pPr>
        <w:spacing w:after="0" w:line="240" w:lineRule="auto"/>
      </w:pPr>
      <w:r>
        <w:separator/>
      </w:r>
    </w:p>
  </w:footnote>
  <w:footnote w:type="continuationSeparator" w:id="0">
    <w:p w14:paraId="65C1784A" w14:textId="77777777" w:rsidR="00A70081" w:rsidRDefault="00A70081" w:rsidP="007717EC">
      <w:pPr>
        <w:spacing w:after="0" w:line="240" w:lineRule="auto"/>
      </w:pPr>
      <w:r>
        <w:continuationSeparator/>
      </w:r>
    </w:p>
  </w:footnote>
  <w:footnote w:id="1">
    <w:p w14:paraId="5DD71115" w14:textId="71135ACD" w:rsidR="003B0A21" w:rsidRDefault="003B0A21">
      <w:pPr>
        <w:pStyle w:val="Textodenotaderodap"/>
      </w:pPr>
      <w:r>
        <w:rPr>
          <w:rStyle w:val="Refdenotaderodap"/>
        </w:rPr>
        <w:footnoteRef/>
      </w:r>
      <w:r>
        <w:t xml:space="preserve"> </w:t>
      </w:r>
      <w:r w:rsidRPr="003B0A21">
        <w:t xml:space="preserve">apud </w:t>
      </w:r>
      <w:hyperlink r:id="rId1" w:history="1">
        <w:r w:rsidRPr="00130563">
          <w:rPr>
            <w:rStyle w:val="Hyperlink"/>
          </w:rPr>
          <w:t>https://www.jusbrasil.com.br/artigos/o-que-e-consignacao-em-pagamento/1112643936</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84659"/>
    <w:multiLevelType w:val="hybridMultilevel"/>
    <w:tmpl w:val="039251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3276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EC"/>
    <w:rsid w:val="003B0A21"/>
    <w:rsid w:val="00584FF0"/>
    <w:rsid w:val="007717EC"/>
    <w:rsid w:val="00A70081"/>
    <w:rsid w:val="00CA34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358EA"/>
  <w15:chartTrackingRefBased/>
  <w15:docId w15:val="{414383A1-E6DB-4A83-B91E-45568F77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717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717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717E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717E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717E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717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717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717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717E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717E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717E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717E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717E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717E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717E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717E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717E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717EC"/>
    <w:rPr>
      <w:rFonts w:eastAsiaTheme="majorEastAsia" w:cstheme="majorBidi"/>
      <w:color w:val="272727" w:themeColor="text1" w:themeTint="D8"/>
    </w:rPr>
  </w:style>
  <w:style w:type="paragraph" w:styleId="Ttulo">
    <w:name w:val="Title"/>
    <w:basedOn w:val="Normal"/>
    <w:next w:val="Normal"/>
    <w:link w:val="TtuloChar"/>
    <w:uiPriority w:val="10"/>
    <w:qFormat/>
    <w:rsid w:val="00771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717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717E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717E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717EC"/>
    <w:pPr>
      <w:spacing w:before="160"/>
      <w:jc w:val="center"/>
    </w:pPr>
    <w:rPr>
      <w:i/>
      <w:iCs/>
      <w:color w:val="404040" w:themeColor="text1" w:themeTint="BF"/>
    </w:rPr>
  </w:style>
  <w:style w:type="character" w:customStyle="1" w:styleId="CitaoChar">
    <w:name w:val="Citação Char"/>
    <w:basedOn w:val="Fontepargpadro"/>
    <w:link w:val="Citao"/>
    <w:uiPriority w:val="29"/>
    <w:rsid w:val="007717EC"/>
    <w:rPr>
      <w:i/>
      <w:iCs/>
      <w:color w:val="404040" w:themeColor="text1" w:themeTint="BF"/>
    </w:rPr>
  </w:style>
  <w:style w:type="paragraph" w:styleId="PargrafodaLista">
    <w:name w:val="List Paragraph"/>
    <w:basedOn w:val="Normal"/>
    <w:uiPriority w:val="34"/>
    <w:qFormat/>
    <w:rsid w:val="007717EC"/>
    <w:pPr>
      <w:ind w:left="720"/>
      <w:contextualSpacing/>
    </w:pPr>
  </w:style>
  <w:style w:type="character" w:styleId="nfaseIntensa">
    <w:name w:val="Intense Emphasis"/>
    <w:basedOn w:val="Fontepargpadro"/>
    <w:uiPriority w:val="21"/>
    <w:qFormat/>
    <w:rsid w:val="007717EC"/>
    <w:rPr>
      <w:i/>
      <w:iCs/>
      <w:color w:val="2F5496" w:themeColor="accent1" w:themeShade="BF"/>
    </w:rPr>
  </w:style>
  <w:style w:type="paragraph" w:styleId="CitaoIntensa">
    <w:name w:val="Intense Quote"/>
    <w:basedOn w:val="Normal"/>
    <w:next w:val="Normal"/>
    <w:link w:val="CitaoIntensaChar"/>
    <w:uiPriority w:val="30"/>
    <w:qFormat/>
    <w:rsid w:val="007717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717EC"/>
    <w:rPr>
      <w:i/>
      <w:iCs/>
      <w:color w:val="2F5496" w:themeColor="accent1" w:themeShade="BF"/>
    </w:rPr>
  </w:style>
  <w:style w:type="character" w:styleId="RefernciaIntensa">
    <w:name w:val="Intense Reference"/>
    <w:basedOn w:val="Fontepargpadro"/>
    <w:uiPriority w:val="32"/>
    <w:qFormat/>
    <w:rsid w:val="007717EC"/>
    <w:rPr>
      <w:b/>
      <w:bCs/>
      <w:smallCaps/>
      <w:color w:val="2F5496" w:themeColor="accent1" w:themeShade="BF"/>
      <w:spacing w:val="5"/>
    </w:rPr>
  </w:style>
  <w:style w:type="paragraph" w:styleId="Textodenotaderodap">
    <w:name w:val="footnote text"/>
    <w:basedOn w:val="Normal"/>
    <w:link w:val="TextodenotaderodapChar"/>
    <w:uiPriority w:val="99"/>
    <w:semiHidden/>
    <w:unhideWhenUsed/>
    <w:rsid w:val="003B0A2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B0A21"/>
    <w:rPr>
      <w:sz w:val="20"/>
      <w:szCs w:val="20"/>
    </w:rPr>
  </w:style>
  <w:style w:type="character" w:styleId="Refdenotaderodap">
    <w:name w:val="footnote reference"/>
    <w:basedOn w:val="Fontepargpadro"/>
    <w:uiPriority w:val="99"/>
    <w:semiHidden/>
    <w:unhideWhenUsed/>
    <w:rsid w:val="003B0A21"/>
    <w:rPr>
      <w:vertAlign w:val="superscript"/>
    </w:rPr>
  </w:style>
  <w:style w:type="character" w:styleId="Hyperlink">
    <w:name w:val="Hyperlink"/>
    <w:basedOn w:val="Fontepargpadro"/>
    <w:uiPriority w:val="99"/>
    <w:unhideWhenUsed/>
    <w:rsid w:val="003B0A21"/>
    <w:rPr>
      <w:color w:val="0563C1" w:themeColor="hyperlink"/>
      <w:u w:val="single"/>
    </w:rPr>
  </w:style>
  <w:style w:type="character" w:styleId="MenoPendente">
    <w:name w:val="Unresolved Mention"/>
    <w:basedOn w:val="Fontepargpadro"/>
    <w:uiPriority w:val="99"/>
    <w:semiHidden/>
    <w:unhideWhenUsed/>
    <w:rsid w:val="003B0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jusbrasil.com.br/artigos/o-que-e-consignacao-em-pagamento/1112643936"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D46DA-F9D8-47E0-B541-860F65555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5657</Words>
  <Characters>30549</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2026-10-07T17:53:00Z</dcterms:created>
  <dcterms:modified xsi:type="dcterms:W3CDTF">2026-10-07T18:17:00Z</dcterms:modified>
</cp:coreProperties>
</file>