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A503E" w14:textId="77777777" w:rsidR="003C1649" w:rsidRPr="003C1649" w:rsidRDefault="003C1649" w:rsidP="003C1649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C1649">
        <w:rPr>
          <w:rFonts w:ascii="Arial Black" w:hAnsi="Arial Black" w:cs="Times New Roman"/>
        </w:rPr>
        <w:t>MODELO DE PETIÇÃO</w:t>
      </w:r>
    </w:p>
    <w:p w14:paraId="41052839" w14:textId="77777777" w:rsidR="003C1649" w:rsidRPr="003C1649" w:rsidRDefault="003C1649" w:rsidP="003C1649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C1649">
        <w:rPr>
          <w:rFonts w:ascii="Arial Black" w:hAnsi="Arial Black" w:cs="Times New Roman"/>
        </w:rPr>
        <w:t>COMPRA E VENDA DE VEÍCULO. ALIENAÇÃO FIDUCIÁRIA.</w:t>
      </w:r>
    </w:p>
    <w:p w14:paraId="7DE4FA68" w14:textId="77777777" w:rsidR="003C1649" w:rsidRPr="003C1649" w:rsidRDefault="003C1649" w:rsidP="003C1649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C1649">
        <w:rPr>
          <w:rFonts w:ascii="Arial Black" w:hAnsi="Arial Black" w:cs="Times New Roman"/>
        </w:rPr>
        <w:t>OBRIGAÇÃO DO VENDEDOR ENTREGAR LIVRE DE ÔNUS.</w:t>
      </w:r>
    </w:p>
    <w:p w14:paraId="5467509B" w14:textId="77777777" w:rsidR="003C1649" w:rsidRPr="003C1649" w:rsidRDefault="003C1649" w:rsidP="003C1649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C1649">
        <w:rPr>
          <w:rFonts w:ascii="Arial Black" w:hAnsi="Arial Black" w:cs="Times New Roman"/>
        </w:rPr>
        <w:t>ENTREGA DE DOCUMENTAÇÃO APTA PARA TRANSFERÊNCIA.</w:t>
      </w:r>
    </w:p>
    <w:p w14:paraId="1A8C28A5" w14:textId="77777777" w:rsidR="003C1649" w:rsidRPr="003C1649" w:rsidRDefault="003C1649" w:rsidP="003C1649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C1649">
        <w:rPr>
          <w:rFonts w:ascii="Arial Black" w:hAnsi="Arial Black" w:cs="Times New Roman"/>
        </w:rPr>
        <w:t>NOTIFICAÇÃO JUDICIAL</w:t>
      </w:r>
    </w:p>
    <w:p w14:paraId="0E000FB8" w14:textId="77777777" w:rsidR="003C1649" w:rsidRPr="003C1649" w:rsidRDefault="003C1649" w:rsidP="003C1649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3C1649">
        <w:rPr>
          <w:rFonts w:ascii="Arial Black" w:hAnsi="Arial Black" w:cs="Times New Roman"/>
        </w:rPr>
        <w:t>Rénan</w:t>
      </w:r>
      <w:proofErr w:type="spellEnd"/>
      <w:r w:rsidRPr="003C1649">
        <w:rPr>
          <w:rFonts w:ascii="Arial Black" w:hAnsi="Arial Black" w:cs="Times New Roman"/>
        </w:rPr>
        <w:t xml:space="preserve"> </w:t>
      </w:r>
      <w:proofErr w:type="spellStart"/>
      <w:r w:rsidRPr="003C1649">
        <w:rPr>
          <w:rFonts w:ascii="Arial Black" w:hAnsi="Arial Black" w:cs="Times New Roman"/>
        </w:rPr>
        <w:t>Kfuri</w:t>
      </w:r>
      <w:proofErr w:type="spellEnd"/>
      <w:r w:rsidRPr="003C1649">
        <w:rPr>
          <w:rFonts w:ascii="Arial Black" w:hAnsi="Arial Black" w:cs="Times New Roman"/>
        </w:rPr>
        <w:t xml:space="preserve"> Lopes</w:t>
      </w:r>
    </w:p>
    <w:p w14:paraId="3367CE27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</w:p>
    <w:p w14:paraId="52E9F9F2" w14:textId="25FD19DF" w:rsid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  <w:r w:rsidR="00C43021">
        <w:rPr>
          <w:rStyle w:val="Refdenotaderodap"/>
          <w:rFonts w:ascii="Times New Roman" w:hAnsi="Times New Roman" w:cs="Times New Roman"/>
        </w:rPr>
        <w:footnoteReference w:id="1"/>
      </w:r>
    </w:p>
    <w:p w14:paraId="4C3EF5EF" w14:textId="0C5031A2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(nome, qualificação, endereço, </w:t>
      </w:r>
      <w:proofErr w:type="gramStart"/>
      <w:r>
        <w:rPr>
          <w:rFonts w:ascii="Times New Roman" w:hAnsi="Times New Roman" w:cs="Times New Roman"/>
        </w:rPr>
        <w:t>CPF  e</w:t>
      </w:r>
      <w:proofErr w:type="gramEnd"/>
      <w:r>
        <w:rPr>
          <w:rFonts w:ascii="Times New Roman" w:hAnsi="Times New Roman" w:cs="Times New Roman"/>
        </w:rPr>
        <w:t xml:space="preserve"> e-mail)</w:t>
      </w:r>
      <w:r w:rsidRPr="003C1649">
        <w:rPr>
          <w:rFonts w:ascii="Times New Roman" w:hAnsi="Times New Roman" w:cs="Times New Roman"/>
        </w:rPr>
        <w:t xml:space="preserve">, pelos comuns advogados </w:t>
      </w:r>
      <w:r w:rsidRPr="003C1649">
        <w:rPr>
          <w:rFonts w:ascii="Times New Roman" w:hAnsi="Times New Roman" w:cs="Times New Roman"/>
          <w:i/>
          <w:iCs/>
        </w:rPr>
        <w:t>in fine</w:t>
      </w:r>
      <w:r w:rsidRPr="003C1649">
        <w:rPr>
          <w:rFonts w:ascii="Times New Roman" w:hAnsi="Times New Roman" w:cs="Times New Roman"/>
        </w:rPr>
        <w:t xml:space="preserve"> assinados [doc.1- Procuração, CNH e Comprovante de Residência], vem, respeitosamente, promover a presente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NOTIFICAÇÃO JUDICIAL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 xml:space="preserve">[CPC, </w:t>
      </w:r>
      <w:proofErr w:type="spellStart"/>
      <w:r w:rsidRPr="003C1649">
        <w:rPr>
          <w:rFonts w:ascii="Times New Roman" w:hAnsi="Times New Roman" w:cs="Times New Roman"/>
        </w:rPr>
        <w:t>arts</w:t>
      </w:r>
      <w:proofErr w:type="spellEnd"/>
      <w:r w:rsidRPr="003C1649">
        <w:rPr>
          <w:rFonts w:ascii="Times New Roman" w:hAnsi="Times New Roman" w:cs="Times New Roman"/>
        </w:rPr>
        <w:t xml:space="preserve">. 726 </w:t>
      </w:r>
      <w:proofErr w:type="spellStart"/>
      <w:r w:rsidRPr="003C1649">
        <w:rPr>
          <w:rFonts w:ascii="Times New Roman" w:hAnsi="Times New Roman" w:cs="Times New Roman"/>
          <w:i/>
          <w:iCs/>
        </w:rPr>
        <w:t>usque</w:t>
      </w:r>
      <w:proofErr w:type="spellEnd"/>
      <w:r w:rsidRPr="003C1649">
        <w:rPr>
          <w:rFonts w:ascii="Times New Roman" w:hAnsi="Times New Roman" w:cs="Times New Roman"/>
        </w:rPr>
        <w:t xml:space="preserve"> 729]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 xml:space="preserve">contra </w:t>
      </w:r>
      <w:r>
        <w:rPr>
          <w:rFonts w:ascii="Times New Roman" w:hAnsi="Times New Roman" w:cs="Times New Roman"/>
        </w:rPr>
        <w:t>(nome, qualificação, endereço e CNPJ)</w:t>
      </w:r>
      <w:r w:rsidRPr="003C1649">
        <w:rPr>
          <w:rFonts w:ascii="Times New Roman" w:hAnsi="Times New Roman" w:cs="Times New Roman"/>
        </w:rPr>
        <w:t>, a ser notificada na pessoa de seu representante legal/</w:t>
      </w:r>
      <w:proofErr w:type="spellStart"/>
      <w:r w:rsidRPr="003C1649">
        <w:rPr>
          <w:rFonts w:ascii="Times New Roman" w:hAnsi="Times New Roman" w:cs="Times New Roman"/>
        </w:rPr>
        <w:t>sócio-administrador</w:t>
      </w:r>
      <w:proofErr w:type="spellEnd"/>
      <w:r w:rsidRPr="003C16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(nome, qualificação, endereço, </w:t>
      </w:r>
      <w:proofErr w:type="gramStart"/>
      <w:r>
        <w:rPr>
          <w:rFonts w:ascii="Times New Roman" w:hAnsi="Times New Roman" w:cs="Times New Roman"/>
        </w:rPr>
        <w:t>CPF  e</w:t>
      </w:r>
      <w:proofErr w:type="gramEnd"/>
      <w:r>
        <w:rPr>
          <w:rFonts w:ascii="Times New Roman" w:hAnsi="Times New Roman" w:cs="Times New Roman"/>
        </w:rPr>
        <w:t xml:space="preserve"> -mail)</w:t>
      </w:r>
      <w:r w:rsidRPr="003C1649">
        <w:rPr>
          <w:rFonts w:ascii="Times New Roman" w:hAnsi="Times New Roman" w:cs="Times New Roman"/>
        </w:rPr>
        <w:t>, pelas razões adiante articuladas:</w:t>
      </w:r>
    </w:p>
    <w:p w14:paraId="5970D3D6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C1649">
        <w:rPr>
          <w:rFonts w:ascii="Times New Roman" w:hAnsi="Times New Roman" w:cs="Times New Roman"/>
          <w:b/>
          <w:bCs/>
        </w:rPr>
        <w:t>DOS FATOS</w:t>
      </w:r>
    </w:p>
    <w:p w14:paraId="1AD80B98" w14:textId="7B8CC23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  <w:i/>
          <w:iCs/>
        </w:rPr>
        <w:t>Prima facie</w:t>
      </w:r>
      <w:r w:rsidRPr="003C1649">
        <w:rPr>
          <w:rFonts w:ascii="Times New Roman" w:hAnsi="Times New Roman" w:cs="Times New Roman"/>
        </w:rPr>
        <w:t>, insta pontuar que a presente medida possui natureza eminentemente de jurisdição voluntária e decorre de situação que, inicialmente compreendida como simples “</w:t>
      </w:r>
      <w:r w:rsidRPr="003C1649">
        <w:rPr>
          <w:rFonts w:ascii="Times New Roman" w:hAnsi="Times New Roman" w:cs="Times New Roman"/>
          <w:i/>
          <w:iCs/>
        </w:rPr>
        <w:t>pendência</w:t>
      </w:r>
      <w:r w:rsidRPr="003C1649">
        <w:rPr>
          <w:rFonts w:ascii="Times New Roman" w:hAnsi="Times New Roman" w:cs="Times New Roman"/>
        </w:rPr>
        <w:t>” documental, acabou assumindo contornos manifestamente incompatíveis com a lisura, higidez, transparência e segurança jurídica esperadas de transações de relevante repercussão econômica, cuja regularidade depende de observância rigorosa de exigências registrais.</w:t>
      </w:r>
    </w:p>
    <w:p w14:paraId="0362394A" w14:textId="3028C72F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Através de “</w:t>
      </w:r>
      <w:r w:rsidRPr="003C1649">
        <w:rPr>
          <w:rFonts w:ascii="Times New Roman" w:hAnsi="Times New Roman" w:cs="Times New Roman"/>
          <w:i/>
          <w:iCs/>
        </w:rPr>
        <w:t>CONTRATO DE VENDA</w:t>
      </w:r>
      <w:r w:rsidRPr="003C1649">
        <w:rPr>
          <w:rFonts w:ascii="Times New Roman" w:hAnsi="Times New Roman" w:cs="Times New Roman"/>
        </w:rPr>
        <w:t xml:space="preserve">” datado de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o ora NOTIFICANTE adquiriu o automóvel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placa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ano/modelo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RENAVAM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chassi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cor branca, mediante pagamento de R$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] à vista, realizado através de 2 [duas] transferências bancárias modalidade “</w:t>
      </w:r>
      <w:r w:rsidRPr="003C1649">
        <w:rPr>
          <w:rFonts w:ascii="Times New Roman" w:hAnsi="Times New Roman" w:cs="Times New Roman"/>
          <w:i/>
          <w:iCs/>
        </w:rPr>
        <w:t>Pix</w:t>
      </w:r>
      <w:r w:rsidRPr="003C1649">
        <w:rPr>
          <w:rFonts w:ascii="Times New Roman" w:hAnsi="Times New Roman" w:cs="Times New Roman"/>
        </w:rPr>
        <w:t xml:space="preserve">”, uma de R$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[cinco mil reais] em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e outra de R$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] em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3C1649">
        <w:rPr>
          <w:rFonts w:ascii="Times New Roman" w:hAnsi="Times New Roman" w:cs="Times New Roman"/>
        </w:rPr>
        <w:t>].</w:t>
      </w:r>
    </w:p>
    <w:p w14:paraId="2D8742C0" w14:textId="45906EF4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Referido instrumento particular de compra e venda foi elaborado e encaminhado ao NOTIFICANTE pela sociedade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., inscrita no CNPJ sob o n.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, figurando como intermediário “</w:t>
      </w:r>
      <w:r w:rsidRPr="003C1649">
        <w:rPr>
          <w:rFonts w:ascii="Times New Roman" w:hAnsi="Times New Roman" w:cs="Times New Roman"/>
          <w:i/>
          <w:iCs/>
        </w:rPr>
        <w:t>vendedor</w:t>
      </w:r>
      <w:r w:rsidRPr="003C1649">
        <w:rPr>
          <w:rFonts w:ascii="Times New Roman" w:hAnsi="Times New Roman" w:cs="Times New Roman"/>
        </w:rPr>
        <w:t xml:space="preserve">” a pessoa de </w:t>
      </w:r>
      <w:r>
        <w:rPr>
          <w:rFonts w:ascii="Times New Roman" w:hAnsi="Times New Roman" w:cs="Times New Roman"/>
        </w:rPr>
        <w:t>...</w:t>
      </w:r>
    </w:p>
    <w:p w14:paraId="7DD80385" w14:textId="21E15213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Nada obstante, além da efetiva entrega do automóvel [tradição] ao NOTIFICANTE, restou expressamente convencionado que o bem adquirido seria disponibilizado livre de quaisquer ônus, com entrega do documento de transferência no prazo máximo de 60 [sessenta] dias, </w:t>
      </w:r>
      <w:r w:rsidRPr="003C1649">
        <w:rPr>
          <w:rFonts w:ascii="Times New Roman" w:hAnsi="Times New Roman" w:cs="Times New Roman"/>
          <w:i/>
          <w:iCs/>
        </w:rPr>
        <w:t>ad litteris</w:t>
      </w:r>
      <w:r w:rsidRPr="003C1649">
        <w:rPr>
          <w:rFonts w:ascii="Times New Roman" w:hAnsi="Times New Roman" w:cs="Times New Roman"/>
        </w:rPr>
        <w:t>:</w:t>
      </w:r>
    </w:p>
    <w:p w14:paraId="630C049E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</w:rPr>
        <w:t>“</w:t>
      </w:r>
      <w:r w:rsidRPr="003C1649">
        <w:rPr>
          <w:rFonts w:ascii="Times New Roman" w:hAnsi="Times New Roman" w:cs="Times New Roman"/>
          <w:i/>
          <w:iCs/>
        </w:rPr>
        <w:t>Cláusulas Contratuais.</w:t>
      </w:r>
    </w:p>
    <w:p w14:paraId="5F1A129D" w14:textId="640A4A39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lastRenderedPageBreak/>
        <w:t>1.</w:t>
      </w:r>
      <w:r w:rsidRPr="003C1649">
        <w:rPr>
          <w:rFonts w:ascii="Times New Roman" w:hAnsi="Times New Roman" w:cs="Times New Roman"/>
          <w:i/>
          <w:iCs/>
        </w:rPr>
        <w:t xml:space="preserve"> </w:t>
      </w:r>
      <w:r w:rsidRPr="003C1649">
        <w:rPr>
          <w:rFonts w:ascii="Times New Roman" w:hAnsi="Times New Roman" w:cs="Times New Roman"/>
          <w:i/>
          <w:iCs/>
        </w:rPr>
        <w:t>O VENDEDOR se compromete a entregar o veículo livre e desembaraçado de quaisquer ônus que pese sobre o mesmo.</w:t>
      </w:r>
    </w:p>
    <w:p w14:paraId="390AE6A8" w14:textId="2FB15BB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  <w:i/>
          <w:iCs/>
        </w:rPr>
        <w:t>2.</w:t>
      </w:r>
      <w:r w:rsidRPr="003C1649">
        <w:rPr>
          <w:rFonts w:ascii="Times New Roman" w:hAnsi="Times New Roman" w:cs="Times New Roman"/>
          <w:i/>
          <w:iCs/>
        </w:rPr>
        <w:t xml:space="preserve"> </w:t>
      </w:r>
      <w:r w:rsidRPr="003C1649">
        <w:rPr>
          <w:rFonts w:ascii="Times New Roman" w:hAnsi="Times New Roman" w:cs="Times New Roman"/>
          <w:i/>
          <w:iCs/>
        </w:rPr>
        <w:t>O recibo será entregue em até 60 dias para o cliente realizar a transferência de propriedade do veículo</w:t>
      </w:r>
      <w:r w:rsidRPr="003C1649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[vide doc.</w:t>
      </w:r>
      <w:r>
        <w:rPr>
          <w:rFonts w:ascii="Times New Roman" w:hAnsi="Times New Roman" w:cs="Times New Roman"/>
        </w:rPr>
        <w:t xml:space="preserve"> n. ...</w:t>
      </w:r>
      <w:r w:rsidRPr="003C1649">
        <w:rPr>
          <w:rFonts w:ascii="Times New Roman" w:hAnsi="Times New Roman" w:cs="Times New Roman"/>
        </w:rPr>
        <w:t>]</w:t>
      </w:r>
    </w:p>
    <w:p w14:paraId="7A01E35C" w14:textId="427DCAC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Porém, mesmo integralmente quitado o preço ajustado para aquisição do automóvel, transcorreu período muito superior aos 60 [sessenta] dias expressamente convencionados sem que a documentação necessária à transferência fosse disponibilizada ao NOTIFICANTE, permanecendo até o presente momento pendente a regularização registral do bem perante o DETRAN/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.</w:t>
      </w:r>
    </w:p>
    <w:p w14:paraId="787AC675" w14:textId="6ED9194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A irregularidade documental assume contornos ainda mais preocupantes quando examinada a titularidade registral do automóvel. </w:t>
      </w:r>
    </w:p>
    <w:p w14:paraId="70681916" w14:textId="538523E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Muito embora a negociação tenha sido instrumentalizada pela </w:t>
      </w:r>
      <w:r>
        <w:rPr>
          <w:rFonts w:ascii="Times New Roman" w:hAnsi="Times New Roman" w:cs="Times New Roman"/>
        </w:rPr>
        <w:t>..</w:t>
      </w:r>
      <w:r w:rsidRPr="003C1649">
        <w:rPr>
          <w:rFonts w:ascii="Times New Roman" w:hAnsi="Times New Roman" w:cs="Times New Roman"/>
        </w:rPr>
        <w:t>., o CRLV-Certificado de Registro e Licenciamento de Veículo identifica como titular do automóvel a ora NOTIFICADA, evidenciando peculiar e nebulosa triangulação entre a pessoa física e as sociedades empresárias [provável grupo econômico] que participaram da operação [doc.</w:t>
      </w:r>
      <w:r>
        <w:rPr>
          <w:rFonts w:ascii="Times New Roman" w:hAnsi="Times New Roman" w:cs="Times New Roman"/>
        </w:rPr>
        <w:t xml:space="preserve"> n. ...</w:t>
      </w:r>
      <w:r w:rsidRPr="003C1649">
        <w:rPr>
          <w:rFonts w:ascii="Times New Roman" w:hAnsi="Times New Roman" w:cs="Times New Roman"/>
        </w:rPr>
        <w:t>].</w:t>
      </w:r>
    </w:p>
    <w:p w14:paraId="1D8437FB" w14:textId="35BFC883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Por si só, essa conformação negocial reclamaria esclarecimentos, sobretudo porque se prolonga por meses sem que seja solucionada obrigação documental extremamente simples e que deveria ter sido cumprida em prazo contratualmente definido, além de não ter sido sequer disponibilizada a nota fiscal de compra.</w:t>
      </w:r>
    </w:p>
    <w:p w14:paraId="497D641F" w14:textId="70296989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Mais que isso, há anotação de “</w:t>
      </w:r>
      <w:r w:rsidRPr="003C1649">
        <w:rPr>
          <w:rFonts w:ascii="Times New Roman" w:hAnsi="Times New Roman" w:cs="Times New Roman"/>
          <w:i/>
          <w:iCs/>
        </w:rPr>
        <w:t>ALIENAÇÃO FIDUCIÁRIA</w:t>
      </w:r>
      <w:r w:rsidRPr="003C1649">
        <w:rPr>
          <w:rFonts w:ascii="Times New Roman" w:hAnsi="Times New Roman" w:cs="Times New Roman"/>
        </w:rPr>
        <w:t>” no CRLV, de modo que o automóvel adquirido e integralmente quitado permanece documentalmente vinculado à garantia fiduciária constituída em favor de terceiro [vide doc.</w:t>
      </w:r>
      <w:r>
        <w:rPr>
          <w:rFonts w:ascii="Times New Roman" w:hAnsi="Times New Roman" w:cs="Times New Roman"/>
        </w:rPr>
        <w:t xml:space="preserve"> n. ...</w:t>
      </w:r>
      <w:r w:rsidRPr="003C1649">
        <w:rPr>
          <w:rFonts w:ascii="Times New Roman" w:hAnsi="Times New Roman" w:cs="Times New Roman"/>
        </w:rPr>
        <w:t>].</w:t>
      </w:r>
    </w:p>
    <w:p w14:paraId="6E2DFFDA" w14:textId="464983A0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Ora, é indiscutível a gravidade da situação, pois o NOTIFICANTE desembolsou R$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] pela aquisição do automóvel, além de suportar os encargos inerentes à sua manutenção, mas permanece impossibilitado de usufruir do bem com a tranquilidade e segurança jurídica legitimamente esperadas, visto que desconhece a situação da obrigação financeira garantida pela alienação fiduciária, inclusive eventual inadimplemento.</w:t>
      </w:r>
    </w:p>
    <w:p w14:paraId="61D2EE04" w14:textId="0D4B5F5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Mais grave, convive diariamente com o justificável receio de que eventual credor fiduciário venha a exercer as prerrogativas decorrentes da garantia e promover a busca e apreensão do automóvel que o NOTIFICANTE adquiriu e integralmente pagou.</w:t>
      </w:r>
    </w:p>
    <w:p w14:paraId="0C5C2603" w14:textId="1F95CB73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Destarte, tem-se na </w:t>
      </w:r>
      <w:proofErr w:type="spellStart"/>
      <w:r w:rsidRPr="003C1649">
        <w:rPr>
          <w:rFonts w:ascii="Times New Roman" w:hAnsi="Times New Roman" w:cs="Times New Roman"/>
          <w:i/>
          <w:iCs/>
        </w:rPr>
        <w:t>specie</w:t>
      </w:r>
      <w:proofErr w:type="spellEnd"/>
      <w:r w:rsidRPr="003C1649">
        <w:rPr>
          <w:rFonts w:ascii="Times New Roman" w:hAnsi="Times New Roman" w:cs="Times New Roman"/>
        </w:rPr>
        <w:t xml:space="preserve"> situação absolutamente inadmissível. </w:t>
      </w:r>
    </w:p>
    <w:p w14:paraId="782079EA" w14:textId="50AAC6C1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Resumidamente, o consumidor pagou integralmente por determinado automóvel e, meses depois, permanece utilizando bem sujeito a direito real de garantia relacionado à obrigação financeira que não contraiu e sobre a qual sequer possui controle.</w:t>
      </w:r>
    </w:p>
    <w:p w14:paraId="2F891B81" w14:textId="4297BAFF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Naturalmente, a presente notificação não se presta a antecipar imputação criminal ou formular juízo definitivo acerca da conduta daqueles que participaram da negociação.</w:t>
      </w:r>
    </w:p>
    <w:p w14:paraId="6AFFEE0E" w14:textId="51ED9D28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lastRenderedPageBreak/>
        <w:t>Contudo, a situação já atingiu grau de gravidade que não permite afastar, a priori, eventual repercussão para além da esfera meramente contratual, caso se constate que o veículo foi conscientemente comercializado como livre e desembaraçado apesar da subsistência de ônus fiduciário, com ocultação dessa circunstância ou impossibilidade deliberada de transferência.</w:t>
      </w:r>
    </w:p>
    <w:p w14:paraId="3287D75C" w14:textId="23B2DD2D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É justamente para evitar o agravamento dessa situação que se promove a presente medida.</w:t>
      </w:r>
    </w:p>
    <w:p w14:paraId="2BFD99AC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C1649">
        <w:rPr>
          <w:rFonts w:ascii="Times New Roman" w:hAnsi="Times New Roman" w:cs="Times New Roman"/>
          <w:b/>
          <w:bCs/>
        </w:rPr>
        <w:t>DO DIREITO E DA FORMAL INTERPELAÇÃO</w:t>
      </w:r>
    </w:p>
    <w:p w14:paraId="3AFD13D5" w14:textId="1FDBD26E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A presente providência encontra fundamento nos </w:t>
      </w:r>
      <w:proofErr w:type="spellStart"/>
      <w:r w:rsidRPr="003C1649">
        <w:rPr>
          <w:rFonts w:ascii="Times New Roman" w:hAnsi="Times New Roman" w:cs="Times New Roman"/>
        </w:rPr>
        <w:t>arts</w:t>
      </w:r>
      <w:proofErr w:type="spellEnd"/>
      <w:r w:rsidRPr="003C1649">
        <w:rPr>
          <w:rFonts w:ascii="Times New Roman" w:hAnsi="Times New Roman" w:cs="Times New Roman"/>
        </w:rPr>
        <w:t xml:space="preserve">. 726 </w:t>
      </w:r>
      <w:proofErr w:type="spellStart"/>
      <w:r w:rsidRPr="003C1649">
        <w:rPr>
          <w:rFonts w:ascii="Times New Roman" w:hAnsi="Times New Roman" w:cs="Times New Roman"/>
          <w:i/>
          <w:iCs/>
        </w:rPr>
        <w:t>usque</w:t>
      </w:r>
      <w:proofErr w:type="spellEnd"/>
      <w:r w:rsidRPr="003C1649">
        <w:rPr>
          <w:rFonts w:ascii="Times New Roman" w:hAnsi="Times New Roman" w:cs="Times New Roman"/>
        </w:rPr>
        <w:t xml:space="preserve"> 729 do Código de Processo Civil, que facultam ao interessado manifestar formalmente sua vontade sobre questão juridicamente relevante e interpelar aquele que participa da correspondente relação jurídica para que pratique providência entendida como de seu direito, </w:t>
      </w:r>
      <w:proofErr w:type="spellStart"/>
      <w:r w:rsidRPr="003C1649">
        <w:rPr>
          <w:rFonts w:ascii="Times New Roman" w:hAnsi="Times New Roman" w:cs="Times New Roman"/>
          <w:i/>
          <w:iCs/>
        </w:rPr>
        <w:t>ex</w:t>
      </w:r>
      <w:proofErr w:type="spellEnd"/>
      <w:r w:rsidRPr="003C1649">
        <w:rPr>
          <w:rFonts w:ascii="Times New Roman" w:hAnsi="Times New Roman" w:cs="Times New Roman"/>
          <w:i/>
          <w:iCs/>
        </w:rPr>
        <w:t xml:space="preserve"> vi legis</w:t>
      </w:r>
      <w:r w:rsidRPr="003C1649">
        <w:rPr>
          <w:rFonts w:ascii="Times New Roman" w:hAnsi="Times New Roman" w:cs="Times New Roman"/>
        </w:rPr>
        <w:t>:</w:t>
      </w:r>
    </w:p>
    <w:p w14:paraId="63F11395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>CPC, art. 726. Quem tiver interesse em manifestar formalmente sua vontade a outrem sobre assunto juridicamente relevante poderá notificar pessoas participantes da mesma relação jurídica para dar-lhes ciência de seu propósito.</w:t>
      </w:r>
    </w:p>
    <w:p w14:paraId="32892E98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>§1º Se a pretensão for a de dar conhecimento geral ao público, mediante edital, o juiz só a deferirá se a tiver por fundada e necessária ao resguardo de direito.</w:t>
      </w:r>
    </w:p>
    <w:p w14:paraId="53CD5389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>§2º Aplica-se o disposto nesta Seção, no que couber, ao protesto judicial.</w:t>
      </w:r>
    </w:p>
    <w:p w14:paraId="070A9234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 xml:space="preserve">CPC, art. 727. Também poderá o interessado interpelar o requerido, no caso do art. </w:t>
      </w:r>
      <w:proofErr w:type="gramStart"/>
      <w:r w:rsidRPr="003C1649">
        <w:rPr>
          <w:rFonts w:ascii="Times New Roman" w:hAnsi="Times New Roman" w:cs="Times New Roman"/>
          <w:i/>
          <w:iCs/>
        </w:rPr>
        <w:t>726 ,</w:t>
      </w:r>
      <w:proofErr w:type="gramEnd"/>
      <w:r w:rsidRPr="003C1649">
        <w:rPr>
          <w:rFonts w:ascii="Times New Roman" w:hAnsi="Times New Roman" w:cs="Times New Roman"/>
          <w:i/>
          <w:iCs/>
        </w:rPr>
        <w:t xml:space="preserve"> para que faça ou deixe de fazer o que o requerente entenda ser de seu direito.</w:t>
      </w:r>
    </w:p>
    <w:p w14:paraId="3B9789CA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>CPC, art. 728. O requerido será previamente ouvido antes do deferimento da notificação ou do respectivo edital:</w:t>
      </w:r>
    </w:p>
    <w:p w14:paraId="3F8DED5D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 xml:space="preserve">I - </w:t>
      </w:r>
      <w:proofErr w:type="gramStart"/>
      <w:r w:rsidRPr="003C1649">
        <w:rPr>
          <w:rFonts w:ascii="Times New Roman" w:hAnsi="Times New Roman" w:cs="Times New Roman"/>
          <w:i/>
          <w:iCs/>
        </w:rPr>
        <w:t>se</w:t>
      </w:r>
      <w:proofErr w:type="gramEnd"/>
      <w:r w:rsidRPr="003C1649">
        <w:rPr>
          <w:rFonts w:ascii="Times New Roman" w:hAnsi="Times New Roman" w:cs="Times New Roman"/>
          <w:i/>
          <w:iCs/>
        </w:rPr>
        <w:t xml:space="preserve"> houver suspeita de que o requerente, por meio da notificação ou do edital, pretende alcançar fim ilícito;</w:t>
      </w:r>
    </w:p>
    <w:p w14:paraId="42D7E09A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C1649">
        <w:rPr>
          <w:rFonts w:ascii="Times New Roman" w:hAnsi="Times New Roman" w:cs="Times New Roman"/>
          <w:i/>
          <w:iCs/>
        </w:rPr>
        <w:t xml:space="preserve">II - </w:t>
      </w:r>
      <w:proofErr w:type="gramStart"/>
      <w:r w:rsidRPr="003C1649">
        <w:rPr>
          <w:rFonts w:ascii="Times New Roman" w:hAnsi="Times New Roman" w:cs="Times New Roman"/>
          <w:i/>
          <w:iCs/>
        </w:rPr>
        <w:t>se</w:t>
      </w:r>
      <w:proofErr w:type="gramEnd"/>
      <w:r w:rsidRPr="003C1649">
        <w:rPr>
          <w:rFonts w:ascii="Times New Roman" w:hAnsi="Times New Roman" w:cs="Times New Roman"/>
          <w:i/>
          <w:iCs/>
        </w:rPr>
        <w:t xml:space="preserve"> tiver sido requerida a averbação da notificação em registro público.</w:t>
      </w:r>
    </w:p>
    <w:p w14:paraId="6ED04949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  <w:i/>
          <w:iCs/>
        </w:rPr>
        <w:t>CPC, art. 729. Deferida e realizada a notificação ou interpelação, os autos serão entregues ao requerente.</w:t>
      </w:r>
    </w:p>
    <w:p w14:paraId="3E453367" w14:textId="4F247996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3C1649">
        <w:rPr>
          <w:rFonts w:ascii="Times New Roman" w:hAnsi="Times New Roman" w:cs="Times New Roman"/>
          <w:i/>
          <w:iCs/>
        </w:rPr>
        <w:t>casu</w:t>
      </w:r>
      <w:proofErr w:type="spellEnd"/>
      <w:r w:rsidRPr="003C1649">
        <w:rPr>
          <w:rFonts w:ascii="Times New Roman" w:hAnsi="Times New Roman" w:cs="Times New Roman"/>
        </w:rPr>
        <w:t>, a obrigação não comporta maiores digressões. O contrato assegurou expressamente que o automóvel seria entregue “</w:t>
      </w:r>
      <w:r w:rsidRPr="003C1649">
        <w:rPr>
          <w:rFonts w:ascii="Times New Roman" w:hAnsi="Times New Roman" w:cs="Times New Roman"/>
          <w:i/>
          <w:iCs/>
        </w:rPr>
        <w:t>livre e desembaraçado de quaisquer ônus</w:t>
      </w:r>
      <w:r w:rsidRPr="003C1649">
        <w:rPr>
          <w:rFonts w:ascii="Times New Roman" w:hAnsi="Times New Roman" w:cs="Times New Roman"/>
        </w:rPr>
        <w:t>” e que o documento necessário à transferência seria disponibilizado em até 60 [sessenta] dias, prazo que se encontra amplamente superado.</w:t>
      </w:r>
    </w:p>
    <w:p w14:paraId="2C2A0870" w14:textId="0842282E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Tratando-se de obrigação positiva submetida a termo certo, o próprio vencimento constitui o devedor em mora [CC, art. 397]</w:t>
      </w:r>
      <w:r w:rsidR="00C43021">
        <w:rPr>
          <w:rStyle w:val="Refdenotaderodap"/>
          <w:rFonts w:ascii="Times New Roman" w:hAnsi="Times New Roman" w:cs="Times New Roman"/>
        </w:rPr>
        <w:footnoteReference w:id="2"/>
      </w:r>
      <w:r w:rsidRPr="003C1649">
        <w:rPr>
          <w:rFonts w:ascii="Times New Roman" w:hAnsi="Times New Roman" w:cs="Times New Roman"/>
        </w:rPr>
        <w:t>, razão pela qual es</w:t>
      </w:r>
      <w:r>
        <w:rPr>
          <w:rFonts w:ascii="Times New Roman" w:hAnsi="Times New Roman" w:cs="Times New Roman"/>
        </w:rPr>
        <w:t>s</w:t>
      </w:r>
      <w:r w:rsidRPr="003C1649">
        <w:rPr>
          <w:rFonts w:ascii="Times New Roman" w:hAnsi="Times New Roman" w:cs="Times New Roman"/>
        </w:rPr>
        <w:t>a notificação não inaugura novo prazo contratual, servindo como derradeira interpelação para cumprimento voluntário antes da adoção das providências contenciosas.</w:t>
      </w:r>
    </w:p>
    <w:p w14:paraId="07327638" w14:textId="4B46BA02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lastRenderedPageBreak/>
        <w:t>Noutro vértice, as informações suficientemente precisas prestadas ao consumidor vinculam aquele que as oferece e integram a contratação [CDC, art. 30]</w:t>
      </w:r>
      <w:r w:rsidR="00C43021">
        <w:rPr>
          <w:rStyle w:val="Refdenotaderodap"/>
          <w:rFonts w:ascii="Times New Roman" w:hAnsi="Times New Roman" w:cs="Times New Roman"/>
        </w:rPr>
        <w:footnoteReference w:id="3"/>
      </w:r>
      <w:r w:rsidRPr="003C1649">
        <w:rPr>
          <w:rFonts w:ascii="Times New Roman" w:hAnsi="Times New Roman" w:cs="Times New Roman"/>
        </w:rPr>
        <w:t>, assegurando-se ao adquirente, em caso de recusa ou descumprimento, os meios previstos no art. 35 do Código de Defesa do Consumidor</w:t>
      </w:r>
      <w:r w:rsidR="00C43021">
        <w:rPr>
          <w:rStyle w:val="Refdenotaderodap"/>
          <w:rFonts w:ascii="Times New Roman" w:hAnsi="Times New Roman" w:cs="Times New Roman"/>
        </w:rPr>
        <w:footnoteReference w:id="4"/>
      </w:r>
      <w:r w:rsidRPr="003C1649">
        <w:rPr>
          <w:rFonts w:ascii="Times New Roman" w:hAnsi="Times New Roman" w:cs="Times New Roman"/>
        </w:rPr>
        <w:t xml:space="preserve">. </w:t>
      </w:r>
    </w:p>
    <w:p w14:paraId="31582F6A" w14:textId="731E4F53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Destarte, considerando o inequívoco inadimplemento contratual, a permanência da titularidade registral em nome da NOTIFICADA e, sobretudo, a gravíssima anotação de “</w:t>
      </w:r>
      <w:r w:rsidRPr="003C1649">
        <w:rPr>
          <w:rFonts w:ascii="Times New Roman" w:hAnsi="Times New Roman" w:cs="Times New Roman"/>
          <w:i/>
          <w:iCs/>
        </w:rPr>
        <w:t>ALIENAÇÃO FIDUCIÁRIA</w:t>
      </w:r>
      <w:r w:rsidRPr="003C1649">
        <w:rPr>
          <w:rFonts w:ascii="Times New Roman" w:hAnsi="Times New Roman" w:cs="Times New Roman"/>
        </w:rPr>
        <w:t>” ainda constante da documentação do veículo, o NOTIFICANTE interpela formalmente a NOTIFICADA para que, no prazo improrrogável de 10 [dez] dias, contado de sua efetiva ciência, adote integralmente as seguintes providências:</w:t>
      </w:r>
    </w:p>
    <w:p w14:paraId="1EA805F1" w14:textId="3F7F47F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(i</w:t>
      </w:r>
      <w:r>
        <w:rPr>
          <w:rFonts w:ascii="Times New Roman" w:hAnsi="Times New Roman" w:cs="Times New Roman"/>
        </w:rPr>
        <w:t xml:space="preserve">) </w:t>
      </w:r>
      <w:r w:rsidRPr="003C1649">
        <w:rPr>
          <w:rFonts w:ascii="Times New Roman" w:hAnsi="Times New Roman" w:cs="Times New Roman"/>
        </w:rPr>
        <w:t>comprove documentalmente a situação atual da alienação fiduciária anotada no CRLV e, acaso ainda subsistente, promova imediatamente sua baixa, bem como a eliminação de qualquer outro gravame, bloqueio ou restrição administrativa/registral que impeça ou dificulte a livre transferência da propriedade;</w:t>
      </w:r>
    </w:p>
    <w:p w14:paraId="172CCD06" w14:textId="4B05D45D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(</w:t>
      </w:r>
      <w:proofErr w:type="spellStart"/>
      <w:r w:rsidRPr="003C1649">
        <w:rPr>
          <w:rFonts w:ascii="Times New Roman" w:hAnsi="Times New Roman" w:cs="Times New Roman"/>
        </w:rPr>
        <w:t>ii</w:t>
      </w:r>
      <w:proofErr w:type="spellEnd"/>
      <w:r w:rsidRPr="003C16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disponibilize ao NOTIFICANTE o documento hábil à transferência da propriedade, seja ATPV-e, CRV ou instrumento equivalente admitido pela regulamentação vigente, devidamente preenchido, assinado e revestido das formalidades necessárias à imediata regularização perante o DETRAN/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; e,</w:t>
      </w:r>
    </w:p>
    <w:p w14:paraId="2CC216DA" w14:textId="5003B6D4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(</w:t>
      </w:r>
      <w:proofErr w:type="spellStart"/>
      <w:r w:rsidRPr="003C1649">
        <w:rPr>
          <w:rFonts w:ascii="Times New Roman" w:hAnsi="Times New Roman" w:cs="Times New Roman"/>
        </w:rPr>
        <w:t>iii</w:t>
      </w:r>
      <w:proofErr w:type="spellEnd"/>
      <w:r w:rsidRPr="003C16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forneça a documentação fiscal correspondente à operação de compra e venda, inclusive a respectiva nota fiscal, até o presente momento não disponibilizada ao adquirente.</w:t>
      </w:r>
    </w:p>
    <w:p w14:paraId="14BA64A9" w14:textId="3989CBB1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Não se pretende, evidentemente, a mera disponibilização formal de documentos desprovidos de aptidão para produzir o resultado jurídico esperado. O cumprimento da obrigação somente poderá ser reputado integral quando o veículo estiver efetivamente livre e desembaraçado de quaisquer ônus, acompanhado de documentação idônea que permita ao NOTIFICANTE promover a imediata transferência para seu nome, sem depender de qualquer providência ulterior da proprietária registral.</w:t>
      </w:r>
    </w:p>
    <w:p w14:paraId="110B60F6" w14:textId="7658159F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O prazo ora estabelecido tampouco representa novação, concessão de nova oportunidade contratual ou prorrogação dos 60 [sessenta] dias originalmente convencionados. Cuida-se apenas de derradeira providência adotada ad cautelam, antes da necessária judicialização contenciosa da matéria.</w:t>
      </w:r>
    </w:p>
    <w:p w14:paraId="3D885539" w14:textId="2C426A2D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A persistência do atual estado de coisas, após regularmente cientificada a NOTIFICADA, importará o definitivo esgotamento de qualquer possibilidade de composição amigável, legitimando a imediata adoção das providências contenciosas cabíveis.</w:t>
      </w:r>
    </w:p>
    <w:p w14:paraId="23F79FCA" w14:textId="77777777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C1649">
        <w:rPr>
          <w:rFonts w:ascii="Times New Roman" w:hAnsi="Times New Roman" w:cs="Times New Roman"/>
          <w:b/>
          <w:bCs/>
        </w:rPr>
        <w:lastRenderedPageBreak/>
        <w:t>PEDIDOS</w:t>
      </w:r>
    </w:p>
    <w:p w14:paraId="6DB9C380" w14:textId="0AF00C1B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C1649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3C1649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3C1649">
        <w:rPr>
          <w:rFonts w:ascii="Times New Roman" w:hAnsi="Times New Roman" w:cs="Times New Roman"/>
        </w:rPr>
        <w:t xml:space="preserve">, o notificante requer: </w:t>
      </w:r>
    </w:p>
    <w:p w14:paraId="018CA976" w14:textId="0E8EC6B5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 xml:space="preserve">seja recebida e processada a presente NOTIFICAÇÃO JUDICIAL, determinando-se a imediata expedição de mandado direcionado à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, no endereço declinado no preâmbulo da exordial, a fim de cientificá-la formalmente para que, no prazo improrrogável de 10 [dez] dias, contado do efetivo cumprimento da diligência:</w:t>
      </w:r>
    </w:p>
    <w:p w14:paraId="3C8B23A3" w14:textId="257547A3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3C1649">
        <w:rPr>
          <w:rFonts w:ascii="Times New Roman" w:hAnsi="Times New Roman" w:cs="Times New Roman"/>
        </w:rPr>
        <w:t>comprove</w:t>
      </w:r>
      <w:proofErr w:type="gramEnd"/>
      <w:r w:rsidRPr="003C1649">
        <w:rPr>
          <w:rFonts w:ascii="Times New Roman" w:hAnsi="Times New Roman" w:cs="Times New Roman"/>
        </w:rPr>
        <w:t xml:space="preserve"> documentalmente a situação atual da alienação fiduciária anotada no CRLV do automóvel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placa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ano/modelo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, RENAVAM 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 xml:space="preserve"> e, acaso ainda subsistente, promova sua imediata baixa, bem como a eliminação de qualquer outro gravame, bloqueio ou restrição administrativa/registral que impeça a livre transferência do automóvel, comprovando a integral regularização do bem;</w:t>
      </w:r>
    </w:p>
    <w:p w14:paraId="5C9CDEDD" w14:textId="43245938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3C1649">
        <w:rPr>
          <w:rFonts w:ascii="Times New Roman" w:hAnsi="Times New Roman" w:cs="Times New Roman"/>
        </w:rPr>
        <w:t>disponibilize</w:t>
      </w:r>
      <w:proofErr w:type="gramEnd"/>
      <w:r w:rsidRPr="003C1649">
        <w:rPr>
          <w:rFonts w:ascii="Times New Roman" w:hAnsi="Times New Roman" w:cs="Times New Roman"/>
        </w:rPr>
        <w:t xml:space="preserve"> ao NOTIFICANTE a documentação hábil à imediata transferência da propriedade, mediante ATPV-e, CRV ou instrumento equivalente admitido pela regulamentação vigente, devidamente preenchido, assinado e revestido das formalidades necessárias à regularização perante o DETRAN/</w:t>
      </w:r>
      <w:r>
        <w:rPr>
          <w:rFonts w:ascii="Times New Roman" w:hAnsi="Times New Roman" w:cs="Times New Roman"/>
        </w:rPr>
        <w:t>...</w:t>
      </w:r>
      <w:r w:rsidRPr="003C1649">
        <w:rPr>
          <w:rFonts w:ascii="Times New Roman" w:hAnsi="Times New Roman" w:cs="Times New Roman"/>
        </w:rPr>
        <w:t>; e,</w:t>
      </w:r>
    </w:p>
    <w:p w14:paraId="091EA03A" w14:textId="0AD71F6D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3C1649">
        <w:rPr>
          <w:rFonts w:ascii="Times New Roman" w:hAnsi="Times New Roman" w:cs="Times New Roman"/>
        </w:rPr>
        <w:t>forneça</w:t>
      </w:r>
      <w:proofErr w:type="gramEnd"/>
      <w:r w:rsidRPr="003C1649">
        <w:rPr>
          <w:rFonts w:ascii="Times New Roman" w:hAnsi="Times New Roman" w:cs="Times New Roman"/>
        </w:rPr>
        <w:t xml:space="preserve"> a documentação fiscal correspondente à operação de compra e venda, inclusive a respectiva nota fiscal, até o presente momento não disponibilizada ao adquirente;</w:t>
      </w:r>
    </w:p>
    <w:p w14:paraId="200817FB" w14:textId="5B9F5841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após cumpridas as diligências, sejam entregues os presentes autos ao notificante, na forma do art. 729 do CPC;</w:t>
      </w:r>
    </w:p>
    <w:p w14:paraId="3E0993E7" w14:textId="5CD0D41F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c)</w:t>
      </w:r>
      <w:r>
        <w:rPr>
          <w:rFonts w:ascii="Times New Roman" w:hAnsi="Times New Roman" w:cs="Times New Roman"/>
        </w:rPr>
        <w:t xml:space="preserve"> </w:t>
      </w:r>
      <w:r w:rsidRPr="003C1649">
        <w:rPr>
          <w:rFonts w:ascii="Times New Roman" w:hAnsi="Times New Roman" w:cs="Times New Roman"/>
        </w:rPr>
        <w:t>o cadastramento dos advogados signatários, para que doravante sejam intimados em conjunto, sob pena de nulidade [CPC, art. 272, §5º].</w:t>
      </w:r>
    </w:p>
    <w:p w14:paraId="7899A71D" w14:textId="02372728" w:rsidR="003C1649" w:rsidRPr="003C1649" w:rsidRDefault="003C1649" w:rsidP="003C1649">
      <w:pPr>
        <w:ind w:right="-568"/>
        <w:jc w:val="both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 xml:space="preserve">Valor da causa: R$ </w:t>
      </w:r>
      <w:r>
        <w:rPr>
          <w:rFonts w:ascii="Times New Roman" w:hAnsi="Times New Roman" w:cs="Times New Roman"/>
        </w:rPr>
        <w:t>...</w:t>
      </w:r>
    </w:p>
    <w:p w14:paraId="39AD05B0" w14:textId="298BED37" w:rsidR="003C1649" w:rsidRPr="003C1649" w:rsidRDefault="003C1649" w:rsidP="003C164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3C1649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3C1649">
        <w:rPr>
          <w:rFonts w:ascii="Times New Roman" w:hAnsi="Times New Roman" w:cs="Times New Roman"/>
        </w:rPr>
        <w:t xml:space="preserve"> Deferimento.</w:t>
      </w:r>
    </w:p>
    <w:p w14:paraId="30CEEFAF" w14:textId="50FB42FF" w:rsidR="003C1649" w:rsidRDefault="003C1649" w:rsidP="003C164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62923AD" w14:textId="2E1ACAAF" w:rsidR="003C1649" w:rsidRPr="003C1649" w:rsidRDefault="003C1649" w:rsidP="003C164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3C1649" w:rsidRPr="003C16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AD99" w14:textId="77777777" w:rsidR="00E60A73" w:rsidRDefault="00E60A73" w:rsidP="003C1649">
      <w:pPr>
        <w:spacing w:after="0" w:line="240" w:lineRule="auto"/>
      </w:pPr>
      <w:r>
        <w:separator/>
      </w:r>
    </w:p>
  </w:endnote>
  <w:endnote w:type="continuationSeparator" w:id="0">
    <w:p w14:paraId="1FF6D43C" w14:textId="77777777" w:rsidR="00E60A73" w:rsidRDefault="00E60A73" w:rsidP="003C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E5AF" w14:textId="77777777" w:rsidR="00E60A73" w:rsidRDefault="00E60A73" w:rsidP="003C1649">
      <w:pPr>
        <w:spacing w:after="0" w:line="240" w:lineRule="auto"/>
      </w:pPr>
      <w:r>
        <w:separator/>
      </w:r>
    </w:p>
  </w:footnote>
  <w:footnote w:type="continuationSeparator" w:id="0">
    <w:p w14:paraId="49E543D4" w14:textId="77777777" w:rsidR="00E60A73" w:rsidRDefault="00E60A73" w:rsidP="003C1649">
      <w:pPr>
        <w:spacing w:after="0" w:line="240" w:lineRule="auto"/>
      </w:pPr>
      <w:r>
        <w:continuationSeparator/>
      </w:r>
    </w:p>
  </w:footnote>
  <w:footnote w:id="1">
    <w:p w14:paraId="12346C7A" w14:textId="77777777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Style w:val="Refdenotaderodap"/>
          <w:rFonts w:ascii="Times New Roman" w:hAnsi="Times New Roman" w:cs="Times New Roman"/>
        </w:rPr>
        <w:footnoteRef/>
      </w:r>
      <w:r w:rsidRPr="00C43021">
        <w:rPr>
          <w:rFonts w:ascii="Times New Roman" w:hAnsi="Times New Roman" w:cs="Times New Roman"/>
        </w:rPr>
        <w:t xml:space="preserve"> </w:t>
      </w:r>
      <w:r w:rsidRPr="00C43021">
        <w:rPr>
          <w:rFonts w:ascii="Times New Roman" w:hAnsi="Times New Roman" w:cs="Times New Roman"/>
        </w:rPr>
        <w:t>CPC, art. 53. É competente o foro: III- do lugar: a) onde está a sede, para a ação em que for ré pessoa jurídica;</w:t>
      </w:r>
    </w:p>
    <w:p w14:paraId="003245E3" w14:textId="77777777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Fonts w:ascii="Times New Roman" w:hAnsi="Times New Roman" w:cs="Times New Roman"/>
        </w:rPr>
        <w:t>“Em ação fundada em direito pessoal, ainda que haja cláusula de eleição de foro no contrato, aplica-se a regra do artigo 46 do Código de Processo Civil, sendo competente, em regra, o foro do domicílio do réu...</w:t>
      </w:r>
      <w:proofErr w:type="spellStart"/>
      <w:r w:rsidRPr="00C43021">
        <w:rPr>
          <w:rFonts w:ascii="Times New Roman" w:hAnsi="Times New Roman" w:cs="Times New Roman"/>
        </w:rPr>
        <w:t>omissis</w:t>
      </w:r>
      <w:proofErr w:type="spellEnd"/>
      <w:r w:rsidRPr="00C43021">
        <w:rPr>
          <w:rFonts w:ascii="Times New Roman" w:hAnsi="Times New Roman" w:cs="Times New Roman"/>
        </w:rPr>
        <w:t xml:space="preserve">...” [TJMG, Conflito de Competência n. 1.0000.25.494426-7/000, Relator Desembargador Nicolau </w:t>
      </w:r>
      <w:proofErr w:type="spellStart"/>
      <w:r w:rsidRPr="00C43021">
        <w:rPr>
          <w:rFonts w:ascii="Times New Roman" w:hAnsi="Times New Roman" w:cs="Times New Roman"/>
        </w:rPr>
        <w:t>Lupianhes</w:t>
      </w:r>
      <w:proofErr w:type="spellEnd"/>
      <w:r w:rsidRPr="00C43021">
        <w:rPr>
          <w:rFonts w:ascii="Times New Roman" w:hAnsi="Times New Roman" w:cs="Times New Roman"/>
        </w:rPr>
        <w:t xml:space="preserve"> Neto, 14ª Câmara Cível, </w:t>
      </w:r>
      <w:proofErr w:type="spellStart"/>
      <w:r w:rsidRPr="00C43021">
        <w:rPr>
          <w:rFonts w:ascii="Times New Roman" w:hAnsi="Times New Roman" w:cs="Times New Roman"/>
        </w:rPr>
        <w:t>DJe</w:t>
      </w:r>
      <w:proofErr w:type="spellEnd"/>
      <w:r w:rsidRPr="00C43021">
        <w:rPr>
          <w:rFonts w:ascii="Times New Roman" w:hAnsi="Times New Roman" w:cs="Times New Roman"/>
        </w:rPr>
        <w:t xml:space="preserve"> 20.03.2026].</w:t>
      </w:r>
    </w:p>
    <w:p w14:paraId="79D65461" w14:textId="23AFC678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Fonts w:ascii="Times New Roman" w:hAnsi="Times New Roman" w:cs="Times New Roman"/>
        </w:rPr>
        <w:t>Embora a controvérsia decorra de relação de consumo, a opção pelo foro da sede da NOTIFICADA se orienta por razões de economia e celeridade processual, evitando-se a necessidade de expedição de carta precatória para o cumprimento da diligência notificatória</w:t>
      </w:r>
    </w:p>
  </w:footnote>
  <w:footnote w:id="2">
    <w:p w14:paraId="6D0C1EE9" w14:textId="1E34AFAD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Style w:val="Refdenotaderodap"/>
          <w:rFonts w:ascii="Times New Roman" w:hAnsi="Times New Roman" w:cs="Times New Roman"/>
        </w:rPr>
        <w:footnoteRef/>
      </w:r>
      <w:r w:rsidRPr="00C43021">
        <w:rPr>
          <w:rFonts w:ascii="Times New Roman" w:hAnsi="Times New Roman" w:cs="Times New Roman"/>
        </w:rPr>
        <w:t xml:space="preserve"> </w:t>
      </w:r>
      <w:r w:rsidRPr="00C43021">
        <w:rPr>
          <w:rFonts w:ascii="Times New Roman" w:hAnsi="Times New Roman" w:cs="Times New Roman"/>
        </w:rPr>
        <w:t>Código Civil, art. 397. O inadimplemento da obrigação, positiva e líquida, no seu termo, constitui de pleno direito em mora o devedor. Parágrafo único. Não havendo termo, a mora se constitui mediante interpelação judicial ou extrajudicial.</w:t>
      </w:r>
    </w:p>
  </w:footnote>
  <w:footnote w:id="3">
    <w:p w14:paraId="22AFF889" w14:textId="5C4DD840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Style w:val="Refdenotaderodap"/>
          <w:rFonts w:ascii="Times New Roman" w:hAnsi="Times New Roman" w:cs="Times New Roman"/>
        </w:rPr>
        <w:footnoteRef/>
      </w:r>
      <w:r w:rsidRPr="00C43021">
        <w:rPr>
          <w:rFonts w:ascii="Times New Roman" w:hAnsi="Times New Roman" w:cs="Times New Roman"/>
        </w:rPr>
        <w:t xml:space="preserve"> </w:t>
      </w:r>
      <w:r w:rsidRPr="00C43021">
        <w:rPr>
          <w:rFonts w:ascii="Times New Roman" w:hAnsi="Times New Roman" w:cs="Times New Roman"/>
        </w:rPr>
        <w:t>CDC, art. 30. Toda informação ou publicidade, suficientemente precisa, veiculada por qualquer forma ou meio de comunicação com relação a produtos e serviços oferecidos ou apresentados, obriga o fornecedor que a fizer veicular ou dela se utilizar e integra o contrato que vier a ser celebrado.</w:t>
      </w:r>
    </w:p>
  </w:footnote>
  <w:footnote w:id="4">
    <w:p w14:paraId="735AC500" w14:textId="65D9E5D6" w:rsidR="00C43021" w:rsidRPr="00C43021" w:rsidRDefault="00C43021" w:rsidP="00C43021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C43021">
        <w:rPr>
          <w:rStyle w:val="Refdenotaderodap"/>
          <w:rFonts w:ascii="Times New Roman" w:hAnsi="Times New Roman" w:cs="Times New Roman"/>
        </w:rPr>
        <w:footnoteRef/>
      </w:r>
      <w:r w:rsidRPr="00C43021">
        <w:rPr>
          <w:rFonts w:ascii="Times New Roman" w:hAnsi="Times New Roman" w:cs="Times New Roman"/>
        </w:rPr>
        <w:t xml:space="preserve"> </w:t>
      </w:r>
      <w:r w:rsidRPr="00C43021">
        <w:rPr>
          <w:rFonts w:ascii="Times New Roman" w:hAnsi="Times New Roman" w:cs="Times New Roman"/>
        </w:rPr>
        <w:t>CDC, art. 35. Se o fornecedor de produtos ou serviços recusar cumprimento à oferta, apresentação ou publicidade, o consumidor poderá, alternativamente e à sua livre escolha: I - exigir o cumprimento forçado da obrigação, nos termos da oferta, apresentação ou publicidade; II - aceitar outro produto ou prestação de serviço equivalente; III - rescindir o contrato, com direito à restituição de quantia eventualmente antecipada, monetariamente atualizada, e a perdas e danos.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A0E89"/>
    <w:multiLevelType w:val="hybridMultilevel"/>
    <w:tmpl w:val="4E5E02B0"/>
    <w:lvl w:ilvl="0" w:tplc="7D54A0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E0034"/>
    <w:multiLevelType w:val="hybridMultilevel"/>
    <w:tmpl w:val="3C481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384040">
    <w:abstractNumId w:val="0"/>
  </w:num>
  <w:num w:numId="2" w16cid:durableId="1422068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9"/>
    <w:rsid w:val="003C1649"/>
    <w:rsid w:val="00C43021"/>
    <w:rsid w:val="00CA1CA3"/>
    <w:rsid w:val="00E6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77A4"/>
  <w15:chartTrackingRefBased/>
  <w15:docId w15:val="{560317D0-86EB-4BD9-BE2A-6A29FCF6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C1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1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1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1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1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1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1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1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1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1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16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164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16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164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16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16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1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1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1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1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1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16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164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164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1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164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1649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430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430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430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5DFA-934B-4722-8FB6-E6BAD9DEE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1755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2026-10-06T22:05:00Z</dcterms:created>
  <dcterms:modified xsi:type="dcterms:W3CDTF">2026-10-06T22:18:00Z</dcterms:modified>
</cp:coreProperties>
</file>