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33EE0" w14:textId="77777777" w:rsidR="00EA72B5" w:rsidRPr="00EA72B5" w:rsidRDefault="00EA72B5" w:rsidP="00EA72B5">
      <w:pPr>
        <w:spacing w:after="0" w:line="240" w:lineRule="auto"/>
        <w:ind w:right="-567"/>
        <w:jc w:val="center"/>
        <w:rPr>
          <w:rFonts w:ascii="Arial Black" w:hAnsi="Arial Black" w:cs="Times New Roman"/>
        </w:rPr>
      </w:pPr>
      <w:r w:rsidRPr="00EA72B5">
        <w:rPr>
          <w:rFonts w:ascii="Arial Black" w:hAnsi="Arial Black" w:cs="Times New Roman"/>
        </w:rPr>
        <w:t>MODELO DE PETIÇÃO</w:t>
      </w:r>
    </w:p>
    <w:p w14:paraId="5DDFFDF3" w14:textId="77777777" w:rsidR="00EA72B5" w:rsidRPr="00EA72B5" w:rsidRDefault="00EA72B5" w:rsidP="00EA72B5">
      <w:pPr>
        <w:spacing w:after="0" w:line="240" w:lineRule="auto"/>
        <w:ind w:right="-567"/>
        <w:jc w:val="center"/>
        <w:rPr>
          <w:rFonts w:ascii="Arial Black" w:hAnsi="Arial Black" w:cs="Times New Roman"/>
        </w:rPr>
      </w:pPr>
      <w:r w:rsidRPr="00EA72B5">
        <w:rPr>
          <w:rFonts w:ascii="Arial Black" w:hAnsi="Arial Black" w:cs="Times New Roman"/>
        </w:rPr>
        <w:t>COISA JULGADA. SENTENÇA HOMOLOGATÓRIA.</w:t>
      </w:r>
    </w:p>
    <w:p w14:paraId="751E46AA" w14:textId="77777777" w:rsidR="00EA72B5" w:rsidRPr="00EA72B5" w:rsidRDefault="00EA72B5" w:rsidP="00EA72B5">
      <w:pPr>
        <w:spacing w:after="0" w:line="240" w:lineRule="auto"/>
        <w:ind w:right="-567"/>
        <w:jc w:val="center"/>
        <w:rPr>
          <w:rFonts w:ascii="Arial Black" w:hAnsi="Arial Black" w:cs="Times New Roman"/>
        </w:rPr>
      </w:pPr>
      <w:r w:rsidRPr="00EA72B5">
        <w:rPr>
          <w:rFonts w:ascii="Arial Black" w:hAnsi="Arial Black" w:cs="Times New Roman"/>
        </w:rPr>
        <w:t>IMPOSSIBILIDADE JURÍDICA DO JUÍZO TORNAR SEM EFEITO</w:t>
      </w:r>
    </w:p>
    <w:p w14:paraId="2589DD79" w14:textId="77777777" w:rsidR="00EA72B5" w:rsidRPr="00EA72B5" w:rsidRDefault="00EA72B5" w:rsidP="00EA72B5">
      <w:pPr>
        <w:spacing w:after="0" w:line="240" w:lineRule="auto"/>
        <w:ind w:right="-567"/>
        <w:jc w:val="center"/>
        <w:rPr>
          <w:rFonts w:ascii="Arial Black" w:hAnsi="Arial Black" w:cs="Times New Roman"/>
        </w:rPr>
      </w:pPr>
      <w:r w:rsidRPr="00EA72B5">
        <w:rPr>
          <w:rFonts w:ascii="Arial Black" w:hAnsi="Arial Black" w:cs="Times New Roman"/>
        </w:rPr>
        <w:t>DECISÃO HOMOLOGATÓRIA COM RESOLUÇÃO DO MÉRITO. PETIÇÃO</w:t>
      </w:r>
    </w:p>
    <w:p w14:paraId="35022C38" w14:textId="77777777" w:rsidR="00EA72B5" w:rsidRPr="00EA72B5" w:rsidRDefault="00EA72B5" w:rsidP="00EA72B5">
      <w:pPr>
        <w:spacing w:after="0" w:line="240" w:lineRule="auto"/>
        <w:ind w:right="-567"/>
        <w:jc w:val="right"/>
        <w:rPr>
          <w:rFonts w:ascii="Arial Black" w:hAnsi="Arial Black" w:cs="Times New Roman"/>
        </w:rPr>
      </w:pPr>
      <w:proofErr w:type="spellStart"/>
      <w:r w:rsidRPr="00EA72B5">
        <w:rPr>
          <w:rFonts w:ascii="Arial Black" w:hAnsi="Arial Black" w:cs="Times New Roman"/>
        </w:rPr>
        <w:t>Rénan</w:t>
      </w:r>
      <w:proofErr w:type="spellEnd"/>
      <w:r w:rsidRPr="00EA72B5">
        <w:rPr>
          <w:rFonts w:ascii="Arial Black" w:hAnsi="Arial Black" w:cs="Times New Roman"/>
        </w:rPr>
        <w:t xml:space="preserve"> </w:t>
      </w:r>
      <w:proofErr w:type="spellStart"/>
      <w:r w:rsidRPr="00EA72B5">
        <w:rPr>
          <w:rFonts w:ascii="Arial Black" w:hAnsi="Arial Black" w:cs="Times New Roman"/>
        </w:rPr>
        <w:t>Kfuri</w:t>
      </w:r>
      <w:proofErr w:type="spellEnd"/>
      <w:r w:rsidRPr="00EA72B5">
        <w:rPr>
          <w:rFonts w:ascii="Arial Black" w:hAnsi="Arial Black" w:cs="Times New Roman"/>
        </w:rPr>
        <w:t xml:space="preserve"> Lopes</w:t>
      </w:r>
    </w:p>
    <w:p w14:paraId="2F674234" w14:textId="77777777" w:rsidR="00EA72B5" w:rsidRPr="00EA72B5" w:rsidRDefault="00EA72B5" w:rsidP="00EA72B5">
      <w:pPr>
        <w:ind w:right="-568"/>
        <w:jc w:val="both"/>
        <w:rPr>
          <w:rFonts w:ascii="Times New Roman" w:hAnsi="Times New Roman" w:cs="Times New Roman"/>
        </w:rPr>
      </w:pPr>
    </w:p>
    <w:p w14:paraId="0BAF7499" w14:textId="77777777" w:rsidR="00EA72B5" w:rsidRDefault="00EA72B5" w:rsidP="00EA72B5">
      <w:pPr>
        <w:ind w:right="-568"/>
        <w:jc w:val="both"/>
        <w:rPr>
          <w:rFonts w:ascii="Times New Roman" w:hAnsi="Times New Roman" w:cs="Times New Roman"/>
        </w:rPr>
      </w:pPr>
      <w:r w:rsidRPr="00EA72B5">
        <w:rPr>
          <w:rFonts w:ascii="Times New Roman" w:hAnsi="Times New Roman" w:cs="Times New Roman"/>
        </w:rPr>
        <w:t>E</w:t>
      </w:r>
      <w:r>
        <w:rPr>
          <w:rFonts w:ascii="Times New Roman" w:hAnsi="Times New Roman" w:cs="Times New Roman"/>
        </w:rPr>
        <w:t>xmo. Sr. Juiz de Direito da ... Vara Cível da Comarca de ...</w:t>
      </w:r>
    </w:p>
    <w:p w14:paraId="4C574DA8" w14:textId="0E2C8BCD"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Processo n. </w:t>
      </w:r>
      <w:r>
        <w:rPr>
          <w:rFonts w:ascii="Times New Roman" w:hAnsi="Times New Roman" w:cs="Times New Roman"/>
        </w:rPr>
        <w:t>...</w:t>
      </w:r>
    </w:p>
    <w:p w14:paraId="625F7EA8" w14:textId="5DFBEFF8" w:rsidR="00EA72B5" w:rsidRPr="00EA72B5" w:rsidRDefault="00EA72B5" w:rsidP="00EA72B5">
      <w:pPr>
        <w:ind w:right="-568"/>
        <w:jc w:val="both"/>
        <w:rPr>
          <w:rFonts w:ascii="Times New Roman" w:hAnsi="Times New Roman" w:cs="Times New Roman"/>
          <w:b/>
          <w:bCs/>
        </w:rPr>
      </w:pPr>
      <w:r w:rsidRPr="00EA72B5">
        <w:rPr>
          <w:rFonts w:ascii="Times New Roman" w:hAnsi="Times New Roman" w:cs="Times New Roman"/>
          <w:b/>
          <w:bCs/>
        </w:rPr>
        <w:t>- IMPOSSIBILIDADE JURÍDICA DO JUÍZO TORNAR SEM EFEITO SENTENÇA HOMOLOGATÓRIA DE ACORDO COM RESOLUÇÃO DO MÉRITO TRANSITADA EM JULGADO POR ELE PRÓPRIO PROFERIDA-</w:t>
      </w:r>
    </w:p>
    <w:p w14:paraId="048AE646" w14:textId="127F41CF" w:rsidR="00EA72B5" w:rsidRPr="00EA72B5" w:rsidRDefault="00EA72B5" w:rsidP="00EA72B5">
      <w:pPr>
        <w:ind w:right="-568"/>
        <w:jc w:val="both"/>
        <w:rPr>
          <w:rFonts w:ascii="Times New Roman" w:hAnsi="Times New Roman" w:cs="Times New Roman"/>
          <w:b/>
          <w:bCs/>
        </w:rPr>
      </w:pPr>
      <w:r w:rsidRPr="00EA72B5">
        <w:rPr>
          <w:rFonts w:ascii="Times New Roman" w:hAnsi="Times New Roman" w:cs="Times New Roman"/>
          <w:b/>
          <w:bCs/>
        </w:rPr>
        <w:t xml:space="preserve">- INDEFERIMENTO PEDIDO DO EVENTO </w:t>
      </w:r>
      <w:r w:rsidRPr="00EA72B5">
        <w:rPr>
          <w:rFonts w:ascii="Times New Roman" w:hAnsi="Times New Roman" w:cs="Times New Roman"/>
          <w:b/>
          <w:bCs/>
        </w:rPr>
        <w:t>...</w:t>
      </w:r>
      <w:r w:rsidRPr="00EA72B5">
        <w:rPr>
          <w:rFonts w:ascii="Times New Roman" w:hAnsi="Times New Roman" w:cs="Times New Roman"/>
          <w:b/>
          <w:bCs/>
        </w:rPr>
        <w:t xml:space="preserve"> -</w:t>
      </w:r>
    </w:p>
    <w:p w14:paraId="5A347F28" w14:textId="3CB209E6"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ESPÓLIO DE </w:t>
      </w:r>
      <w:r>
        <w:rPr>
          <w:rFonts w:ascii="Times New Roman" w:hAnsi="Times New Roman" w:cs="Times New Roman"/>
        </w:rPr>
        <w:t>...</w:t>
      </w:r>
      <w:r w:rsidRPr="00EA72B5">
        <w:rPr>
          <w:rFonts w:ascii="Times New Roman" w:hAnsi="Times New Roman" w:cs="Times New Roman"/>
        </w:rPr>
        <w:t xml:space="preserve">, por seus advogados </w:t>
      </w:r>
      <w:r w:rsidRPr="00EA72B5">
        <w:rPr>
          <w:rFonts w:ascii="Times New Roman" w:hAnsi="Times New Roman" w:cs="Times New Roman"/>
          <w:i/>
          <w:iCs/>
        </w:rPr>
        <w:t xml:space="preserve">in fine </w:t>
      </w:r>
      <w:r w:rsidRPr="00EA72B5">
        <w:rPr>
          <w:rFonts w:ascii="Times New Roman" w:hAnsi="Times New Roman" w:cs="Times New Roman"/>
        </w:rPr>
        <w:t xml:space="preserve">assinados, nos autos epigrafados que contende contra </w:t>
      </w:r>
      <w:r>
        <w:rPr>
          <w:rFonts w:ascii="Times New Roman" w:hAnsi="Times New Roman" w:cs="Times New Roman"/>
        </w:rPr>
        <w:t>...</w:t>
      </w:r>
      <w:r w:rsidRPr="00EA72B5">
        <w:rPr>
          <w:rFonts w:ascii="Times New Roman" w:hAnsi="Times New Roman" w:cs="Times New Roman"/>
        </w:rPr>
        <w:t xml:space="preserve">, vem, respeitosamente, em atendimento ao r. despacho do evento </w:t>
      </w:r>
      <w:r>
        <w:rPr>
          <w:rFonts w:ascii="Times New Roman" w:hAnsi="Times New Roman" w:cs="Times New Roman"/>
        </w:rPr>
        <w:t>...</w:t>
      </w:r>
      <w:r w:rsidRPr="00EA72B5">
        <w:rPr>
          <w:rFonts w:ascii="Times New Roman" w:hAnsi="Times New Roman" w:cs="Times New Roman"/>
        </w:rPr>
        <w:t>, aduzir o que se segue:</w:t>
      </w:r>
    </w:p>
    <w:p w14:paraId="79405EE0" w14:textId="28734D01"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Através da petição formulada no evento </w:t>
      </w:r>
      <w:r>
        <w:rPr>
          <w:rFonts w:ascii="Times New Roman" w:hAnsi="Times New Roman" w:cs="Times New Roman"/>
        </w:rPr>
        <w:t>...,</w:t>
      </w:r>
      <w:r w:rsidRPr="00EA72B5">
        <w:rPr>
          <w:rFonts w:ascii="Times New Roman" w:hAnsi="Times New Roman" w:cs="Times New Roman"/>
        </w:rPr>
        <w:t xml:space="preserve"> </w:t>
      </w:r>
      <w:r>
        <w:rPr>
          <w:rFonts w:ascii="Times New Roman" w:hAnsi="Times New Roman" w:cs="Times New Roman"/>
        </w:rPr>
        <w:t>...</w:t>
      </w:r>
      <w:r w:rsidRPr="00EA72B5">
        <w:rPr>
          <w:rFonts w:ascii="Times New Roman" w:hAnsi="Times New Roman" w:cs="Times New Roman"/>
        </w:rPr>
        <w:t xml:space="preserve"> veio à presença desse d. juízo da “</w:t>
      </w:r>
      <w:r>
        <w:rPr>
          <w:rFonts w:ascii="Times New Roman" w:hAnsi="Times New Roman" w:cs="Times New Roman"/>
        </w:rPr>
        <w:t>...</w:t>
      </w:r>
      <w:r w:rsidRPr="00EA72B5">
        <w:rPr>
          <w:rFonts w:ascii="Times New Roman" w:hAnsi="Times New Roman" w:cs="Times New Roman"/>
          <w:i/>
          <w:iCs/>
        </w:rPr>
        <w:t xml:space="preserve">ª Vara Cível de </w:t>
      </w:r>
      <w:r>
        <w:rPr>
          <w:rFonts w:ascii="Times New Roman" w:hAnsi="Times New Roman" w:cs="Times New Roman"/>
          <w:i/>
          <w:iCs/>
        </w:rPr>
        <w:t>...</w:t>
      </w:r>
      <w:r w:rsidRPr="00EA72B5">
        <w:rPr>
          <w:rFonts w:ascii="Times New Roman" w:hAnsi="Times New Roman" w:cs="Times New Roman"/>
        </w:rPr>
        <w:t>”, pedir o desarquivamento e a reativação para fins de “prosseguimento do presente feito”, sob o fundamento central de que a v. sentença homologatória proferida por outro juízo, da “</w:t>
      </w:r>
      <w:r>
        <w:rPr>
          <w:rFonts w:ascii="Times New Roman" w:hAnsi="Times New Roman" w:cs="Times New Roman"/>
        </w:rPr>
        <w:t>...</w:t>
      </w:r>
      <w:r w:rsidRPr="00EA72B5">
        <w:rPr>
          <w:rFonts w:ascii="Times New Roman" w:hAnsi="Times New Roman" w:cs="Times New Roman"/>
        </w:rPr>
        <w:t xml:space="preserve">ª </w:t>
      </w:r>
      <w:r w:rsidRPr="00EA72B5">
        <w:rPr>
          <w:rFonts w:ascii="Times New Roman" w:hAnsi="Times New Roman" w:cs="Times New Roman"/>
          <w:i/>
          <w:iCs/>
        </w:rPr>
        <w:t xml:space="preserve">Vara Cível de </w:t>
      </w:r>
      <w:r w:rsidRPr="00EA72B5">
        <w:rPr>
          <w:rFonts w:ascii="Times New Roman" w:hAnsi="Times New Roman" w:cs="Times New Roman"/>
          <w:i/>
          <w:iCs/>
        </w:rPr>
        <w:t>...</w:t>
      </w:r>
      <w:r w:rsidRPr="00EA72B5">
        <w:rPr>
          <w:rFonts w:ascii="Times New Roman" w:hAnsi="Times New Roman" w:cs="Times New Roman"/>
          <w:i/>
          <w:iCs/>
        </w:rPr>
        <w:t>”</w:t>
      </w:r>
      <w:r w:rsidRPr="00EA72B5">
        <w:rPr>
          <w:rFonts w:ascii="Times New Roman" w:hAnsi="Times New Roman" w:cs="Times New Roman"/>
        </w:rPr>
        <w:t xml:space="preserve"> em outro processo número </w:t>
      </w:r>
      <w:r>
        <w:rPr>
          <w:rFonts w:ascii="Times New Roman" w:hAnsi="Times New Roman" w:cs="Times New Roman"/>
        </w:rPr>
        <w:t>...</w:t>
      </w:r>
      <w:r w:rsidRPr="00EA72B5">
        <w:rPr>
          <w:rFonts w:ascii="Times New Roman" w:hAnsi="Times New Roman" w:cs="Times New Roman"/>
        </w:rPr>
        <w:t xml:space="preserve">, teria o condão de tornar sem efeito a decisão de V.Exa. proferida no evento </w:t>
      </w:r>
      <w:r>
        <w:rPr>
          <w:rFonts w:ascii="Times New Roman" w:hAnsi="Times New Roman" w:cs="Times New Roman"/>
        </w:rPr>
        <w:t>...</w:t>
      </w:r>
    </w:p>
    <w:p w14:paraId="79849DC9" w14:textId="433A64E3"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Mais precisamente, como consta no pedido do evento </w:t>
      </w:r>
      <w:r>
        <w:rPr>
          <w:rFonts w:ascii="Times New Roman" w:hAnsi="Times New Roman" w:cs="Times New Roman"/>
        </w:rPr>
        <w:t>...</w:t>
      </w:r>
      <w:r w:rsidRPr="00EA72B5">
        <w:rPr>
          <w:rFonts w:ascii="Times New Roman" w:hAnsi="Times New Roman" w:cs="Times New Roman"/>
        </w:rPr>
        <w:t>, “</w:t>
      </w:r>
      <w:r w:rsidRPr="00EA72B5">
        <w:rPr>
          <w:rFonts w:ascii="Times New Roman" w:hAnsi="Times New Roman" w:cs="Times New Roman"/>
          <w:i/>
          <w:iCs/>
        </w:rPr>
        <w:t xml:space="preserve">Requer o reconhecimento de parte deste r. Juízo, da perda da eficácia da sentença homologatória do evento </w:t>
      </w:r>
      <w:r>
        <w:rPr>
          <w:rFonts w:ascii="Times New Roman" w:hAnsi="Times New Roman" w:cs="Times New Roman"/>
          <w:i/>
          <w:iCs/>
        </w:rPr>
        <w:t>...</w:t>
      </w:r>
      <w:r w:rsidRPr="00EA72B5">
        <w:rPr>
          <w:rFonts w:ascii="Times New Roman" w:hAnsi="Times New Roman" w:cs="Times New Roman"/>
          <w:i/>
          <w:iCs/>
        </w:rPr>
        <w:t xml:space="preserve">, em linha de continuidade com a decisão transitada em julgado nos autos nº </w:t>
      </w:r>
      <w:r>
        <w:rPr>
          <w:rFonts w:ascii="Times New Roman" w:hAnsi="Times New Roman" w:cs="Times New Roman"/>
          <w:i/>
          <w:iCs/>
        </w:rPr>
        <w:t>...</w:t>
      </w:r>
      <w:r w:rsidRPr="00EA72B5">
        <w:rPr>
          <w:rFonts w:ascii="Times New Roman" w:hAnsi="Times New Roman" w:cs="Times New Roman"/>
          <w:i/>
          <w:iCs/>
        </w:rPr>
        <w:t xml:space="preserve"> da Anulatória da </w:t>
      </w:r>
      <w:r>
        <w:rPr>
          <w:rFonts w:ascii="Times New Roman" w:hAnsi="Times New Roman" w:cs="Times New Roman"/>
          <w:i/>
          <w:iCs/>
        </w:rPr>
        <w:t>...</w:t>
      </w:r>
      <w:r w:rsidRPr="00EA72B5">
        <w:rPr>
          <w:rFonts w:ascii="Times New Roman" w:hAnsi="Times New Roman" w:cs="Times New Roman"/>
          <w:i/>
          <w:iCs/>
        </w:rPr>
        <w:t xml:space="preserve">ª Vara- Evento </w:t>
      </w:r>
      <w:r>
        <w:rPr>
          <w:rFonts w:ascii="Times New Roman" w:hAnsi="Times New Roman" w:cs="Times New Roman"/>
          <w:i/>
          <w:iCs/>
        </w:rPr>
        <w:t>...</w:t>
      </w:r>
      <w:r w:rsidRPr="00EA72B5">
        <w:rPr>
          <w:rFonts w:ascii="Times New Roman" w:hAnsi="Times New Roman" w:cs="Times New Roman"/>
          <w:i/>
          <w:iCs/>
        </w:rPr>
        <w:t>], determinando-se o retorno ao status quo ante, avançando-se na fase 2</w:t>
      </w:r>
      <w:r w:rsidRPr="00EA72B5">
        <w:rPr>
          <w:rFonts w:ascii="Times New Roman" w:hAnsi="Times New Roman" w:cs="Times New Roman"/>
        </w:rPr>
        <w:t>” [sic].</w:t>
      </w:r>
    </w:p>
    <w:p w14:paraId="3C7B2B7C" w14:textId="6D05B605"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Data máxima </w:t>
      </w:r>
      <w:proofErr w:type="spellStart"/>
      <w:r w:rsidRPr="00EA72B5">
        <w:rPr>
          <w:rFonts w:ascii="Times New Roman" w:hAnsi="Times New Roman" w:cs="Times New Roman"/>
          <w:i/>
          <w:iCs/>
        </w:rPr>
        <w:t>venia</w:t>
      </w:r>
      <w:proofErr w:type="spellEnd"/>
      <w:r w:rsidRPr="00EA72B5">
        <w:rPr>
          <w:rFonts w:ascii="Times New Roman" w:hAnsi="Times New Roman" w:cs="Times New Roman"/>
        </w:rPr>
        <w:t xml:space="preserve">, não há qualquer calço legal que dê amparo à pretensão veiculada na petição do evento </w:t>
      </w:r>
      <w:r>
        <w:rPr>
          <w:rFonts w:ascii="Times New Roman" w:hAnsi="Times New Roman" w:cs="Times New Roman"/>
        </w:rPr>
        <w:t>...</w:t>
      </w:r>
    </w:p>
    <w:p w14:paraId="20844670" w14:textId="312001ED"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Ora, na referida decisão do evento </w:t>
      </w:r>
      <w:r>
        <w:rPr>
          <w:rFonts w:ascii="Times New Roman" w:hAnsi="Times New Roman" w:cs="Times New Roman"/>
        </w:rPr>
        <w:t>...</w:t>
      </w:r>
      <w:r w:rsidRPr="00EA72B5">
        <w:rPr>
          <w:rFonts w:ascii="Times New Roman" w:hAnsi="Times New Roman" w:cs="Times New Roman"/>
        </w:rPr>
        <w:t xml:space="preserve">esse d. juízo homologou o acordo trazido por </w:t>
      </w:r>
      <w:r>
        <w:rPr>
          <w:rFonts w:ascii="Times New Roman" w:hAnsi="Times New Roman" w:cs="Times New Roman"/>
        </w:rPr>
        <w:t>...</w:t>
      </w:r>
      <w:r w:rsidRPr="00EA72B5">
        <w:rPr>
          <w:rFonts w:ascii="Times New Roman" w:hAnsi="Times New Roman" w:cs="Times New Roman"/>
        </w:rPr>
        <w:t xml:space="preserve"> no evento</w:t>
      </w:r>
      <w:r>
        <w:rPr>
          <w:rFonts w:ascii="Times New Roman" w:hAnsi="Times New Roman" w:cs="Times New Roman"/>
        </w:rPr>
        <w:t>...</w:t>
      </w:r>
      <w:r w:rsidRPr="00EA72B5">
        <w:rPr>
          <w:rFonts w:ascii="Times New Roman" w:hAnsi="Times New Roman" w:cs="Times New Roman"/>
        </w:rPr>
        <w:t xml:space="preserve"> e documentos e também extinguiu o presente processo com resolução do mérito, na forma prevista no art. 487, III, ´b´ do CPC</w:t>
      </w:r>
      <w:r w:rsidR="00A01061">
        <w:rPr>
          <w:rStyle w:val="Refdenotaderodap"/>
          <w:rFonts w:ascii="Times New Roman" w:hAnsi="Times New Roman" w:cs="Times New Roman"/>
        </w:rPr>
        <w:footnoteReference w:id="1"/>
      </w:r>
      <w:r w:rsidRPr="00EA72B5">
        <w:rPr>
          <w:rFonts w:ascii="Times New Roman" w:hAnsi="Times New Roman" w:cs="Times New Roman"/>
        </w:rPr>
        <w:t xml:space="preserve">, </w:t>
      </w:r>
      <w:r w:rsidRPr="00EA72B5">
        <w:rPr>
          <w:rFonts w:ascii="Times New Roman" w:hAnsi="Times New Roman" w:cs="Times New Roman"/>
          <w:i/>
          <w:iCs/>
        </w:rPr>
        <w:t>in litteris</w:t>
      </w:r>
      <w:r w:rsidRPr="00EA72B5">
        <w:rPr>
          <w:rFonts w:ascii="Times New Roman" w:hAnsi="Times New Roman" w:cs="Times New Roman"/>
        </w:rPr>
        <w:t>:</w:t>
      </w:r>
    </w:p>
    <w:p w14:paraId="5B049D84" w14:textId="2E74E394" w:rsidR="00EA72B5" w:rsidRPr="00EA72B5" w:rsidRDefault="00EA72B5" w:rsidP="00EA72B5">
      <w:pPr>
        <w:ind w:right="-568"/>
        <w:jc w:val="both"/>
        <w:rPr>
          <w:rFonts w:ascii="Times New Roman" w:hAnsi="Times New Roman" w:cs="Times New Roman"/>
          <w:i/>
          <w:iCs/>
        </w:rPr>
      </w:pPr>
      <w:r>
        <w:rPr>
          <w:rFonts w:ascii="Times New Roman" w:hAnsi="Times New Roman" w:cs="Times New Roman"/>
        </w:rPr>
        <w:t>“</w:t>
      </w:r>
      <w:r w:rsidRPr="00EA72B5">
        <w:rPr>
          <w:rFonts w:ascii="Times New Roman" w:hAnsi="Times New Roman" w:cs="Times New Roman"/>
          <w:i/>
          <w:iCs/>
        </w:rPr>
        <w:t>SENTENÇA</w:t>
      </w:r>
    </w:p>
    <w:p w14:paraId="5B1BAB51" w14:textId="3188BC61" w:rsidR="00EA72B5" w:rsidRPr="00EA72B5" w:rsidRDefault="00EA72B5" w:rsidP="00EA72B5">
      <w:pPr>
        <w:ind w:right="-568"/>
        <w:jc w:val="both"/>
        <w:rPr>
          <w:rFonts w:ascii="Times New Roman" w:hAnsi="Times New Roman" w:cs="Times New Roman"/>
          <w:i/>
          <w:iCs/>
        </w:rPr>
      </w:pPr>
      <w:r w:rsidRPr="00EA72B5">
        <w:rPr>
          <w:rFonts w:ascii="Times New Roman" w:hAnsi="Times New Roman" w:cs="Times New Roman"/>
          <w:i/>
          <w:iCs/>
        </w:rPr>
        <w:t xml:space="preserve">Trata-se de ação de exigir contas proposta por </w:t>
      </w:r>
      <w:r w:rsidRPr="00EA72B5">
        <w:rPr>
          <w:rFonts w:ascii="Times New Roman" w:hAnsi="Times New Roman" w:cs="Times New Roman"/>
          <w:i/>
          <w:iCs/>
        </w:rPr>
        <w:t>...</w:t>
      </w:r>
      <w:r w:rsidRPr="00EA72B5">
        <w:rPr>
          <w:rFonts w:ascii="Times New Roman" w:hAnsi="Times New Roman" w:cs="Times New Roman"/>
          <w:i/>
          <w:iCs/>
        </w:rPr>
        <w:t xml:space="preserve"> em face de ESPÓLIO DE </w:t>
      </w:r>
      <w:proofErr w:type="gramStart"/>
      <w:r w:rsidRPr="00EA72B5">
        <w:rPr>
          <w:rFonts w:ascii="Times New Roman" w:hAnsi="Times New Roman" w:cs="Times New Roman"/>
          <w:i/>
          <w:iCs/>
        </w:rPr>
        <w:t>...</w:t>
      </w:r>
      <w:r w:rsidRPr="00EA72B5">
        <w:rPr>
          <w:rFonts w:ascii="Times New Roman" w:hAnsi="Times New Roman" w:cs="Times New Roman"/>
          <w:i/>
          <w:iCs/>
        </w:rPr>
        <w:t>(</w:t>
      </w:r>
      <w:proofErr w:type="gramEnd"/>
      <w:r w:rsidRPr="00EA72B5">
        <w:rPr>
          <w:rFonts w:ascii="Times New Roman" w:hAnsi="Times New Roman" w:cs="Times New Roman"/>
          <w:i/>
          <w:iCs/>
        </w:rPr>
        <w:t xml:space="preserve">Espólio), </w:t>
      </w:r>
      <w:r w:rsidRPr="00EA72B5">
        <w:rPr>
          <w:rFonts w:ascii="Times New Roman" w:hAnsi="Times New Roman" w:cs="Times New Roman"/>
          <w:i/>
          <w:iCs/>
        </w:rPr>
        <w:t>...</w:t>
      </w:r>
      <w:r w:rsidRPr="00EA72B5">
        <w:rPr>
          <w:rFonts w:ascii="Times New Roman" w:hAnsi="Times New Roman" w:cs="Times New Roman"/>
          <w:i/>
          <w:iCs/>
        </w:rPr>
        <w:t xml:space="preserve"> e </w:t>
      </w:r>
      <w:r w:rsidRPr="00EA72B5">
        <w:rPr>
          <w:rFonts w:ascii="Times New Roman" w:hAnsi="Times New Roman" w:cs="Times New Roman"/>
          <w:i/>
          <w:iCs/>
        </w:rPr>
        <w:t>...</w:t>
      </w:r>
      <w:r w:rsidRPr="00EA72B5">
        <w:rPr>
          <w:rFonts w:ascii="Times New Roman" w:hAnsi="Times New Roman" w:cs="Times New Roman"/>
          <w:i/>
          <w:iCs/>
        </w:rPr>
        <w:t xml:space="preserve"> (Inventariante).</w:t>
      </w:r>
    </w:p>
    <w:p w14:paraId="34076A7F" w14:textId="5BC61BED" w:rsidR="00EA72B5" w:rsidRPr="00EA72B5" w:rsidRDefault="00EA72B5" w:rsidP="00EA72B5">
      <w:pPr>
        <w:ind w:right="-568"/>
        <w:jc w:val="both"/>
        <w:rPr>
          <w:rFonts w:ascii="Times New Roman" w:hAnsi="Times New Roman" w:cs="Times New Roman"/>
          <w:i/>
          <w:iCs/>
        </w:rPr>
      </w:pPr>
      <w:r w:rsidRPr="00EA72B5">
        <w:rPr>
          <w:rFonts w:ascii="Times New Roman" w:hAnsi="Times New Roman" w:cs="Times New Roman"/>
          <w:i/>
          <w:iCs/>
        </w:rPr>
        <w:t xml:space="preserve">No Evento </w:t>
      </w:r>
      <w:r w:rsidRPr="00EA72B5">
        <w:rPr>
          <w:rFonts w:ascii="Times New Roman" w:hAnsi="Times New Roman" w:cs="Times New Roman"/>
          <w:i/>
          <w:iCs/>
        </w:rPr>
        <w:t>...</w:t>
      </w:r>
      <w:r w:rsidRPr="00EA72B5">
        <w:rPr>
          <w:rFonts w:ascii="Times New Roman" w:hAnsi="Times New Roman" w:cs="Times New Roman"/>
          <w:i/>
          <w:iCs/>
        </w:rPr>
        <w:t>, PED HOMOLOG, as partes noticiaram a composição amigável da lide e requereram a extinção do feito.</w:t>
      </w:r>
    </w:p>
    <w:p w14:paraId="18E84F04" w14:textId="554B6461" w:rsidR="00EA72B5" w:rsidRPr="00EA72B5" w:rsidRDefault="00EA72B5" w:rsidP="00EA72B5">
      <w:pPr>
        <w:ind w:right="-568"/>
        <w:jc w:val="both"/>
        <w:rPr>
          <w:rFonts w:ascii="Times New Roman" w:hAnsi="Times New Roman" w:cs="Times New Roman"/>
          <w:i/>
          <w:iCs/>
        </w:rPr>
      </w:pPr>
      <w:r w:rsidRPr="00EA72B5">
        <w:rPr>
          <w:rFonts w:ascii="Times New Roman" w:hAnsi="Times New Roman" w:cs="Times New Roman"/>
          <w:i/>
          <w:iCs/>
        </w:rPr>
        <w:lastRenderedPageBreak/>
        <w:t>Diante da petição retro, tendo em conta que o documento foi assinado pelos procuradores e pelas partes, homologo o acordo referido, para que produza seus jurídicos e legais efeitos e, de consequência, julgo extinto o processo com resolução de mérito, nos termos do art. 487, III, b, do CPC.</w:t>
      </w:r>
    </w:p>
    <w:p w14:paraId="6953E726" w14:textId="4856BF3F" w:rsidR="00EA72B5" w:rsidRPr="00EA72B5" w:rsidRDefault="00EA72B5" w:rsidP="00EA72B5">
      <w:pPr>
        <w:ind w:right="-568"/>
        <w:jc w:val="both"/>
        <w:rPr>
          <w:rFonts w:ascii="Times New Roman" w:hAnsi="Times New Roman" w:cs="Times New Roman"/>
          <w:i/>
          <w:iCs/>
        </w:rPr>
      </w:pPr>
      <w:r w:rsidRPr="00EA72B5">
        <w:rPr>
          <w:rFonts w:ascii="Times New Roman" w:hAnsi="Times New Roman" w:cs="Times New Roman"/>
          <w:i/>
          <w:iCs/>
        </w:rPr>
        <w:t>Honorários conforme acordados.</w:t>
      </w:r>
    </w:p>
    <w:p w14:paraId="32A9BEAE" w14:textId="42F39DD7" w:rsidR="00EA72B5" w:rsidRPr="00EA72B5" w:rsidRDefault="00EA72B5" w:rsidP="00EA72B5">
      <w:pPr>
        <w:ind w:right="-568"/>
        <w:jc w:val="both"/>
        <w:rPr>
          <w:rFonts w:ascii="Times New Roman" w:hAnsi="Times New Roman" w:cs="Times New Roman"/>
          <w:i/>
          <w:iCs/>
        </w:rPr>
      </w:pPr>
      <w:r w:rsidRPr="00EA72B5">
        <w:rPr>
          <w:rFonts w:ascii="Times New Roman" w:hAnsi="Times New Roman" w:cs="Times New Roman"/>
          <w:i/>
          <w:iCs/>
        </w:rPr>
        <w:t>Eventuais custas/despesas processuais pendentes, se houver, a cargo da parte ré, conforme acordado e em observância ao princípio da causalidade.</w:t>
      </w:r>
    </w:p>
    <w:p w14:paraId="160A7825" w14:textId="74ED2550"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i/>
          <w:iCs/>
        </w:rPr>
        <w:t>Publique-se. Registre-se. Intime-se</w:t>
      </w:r>
      <w:r w:rsidRPr="00EA72B5">
        <w:rPr>
          <w:rFonts w:ascii="Times New Roman" w:hAnsi="Times New Roman" w:cs="Times New Roman"/>
        </w:rPr>
        <w:t>.</w:t>
      </w:r>
      <w:r>
        <w:rPr>
          <w:rFonts w:ascii="Times New Roman" w:hAnsi="Times New Roman" w:cs="Times New Roman"/>
        </w:rPr>
        <w:t>”</w:t>
      </w:r>
      <w:r w:rsidRPr="00EA72B5">
        <w:rPr>
          <w:rFonts w:ascii="Times New Roman" w:hAnsi="Times New Roman" w:cs="Times New Roman"/>
        </w:rPr>
        <w:t xml:space="preserve"> </w:t>
      </w:r>
    </w:p>
    <w:p w14:paraId="37BABCB3" w14:textId="3BE09518"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Com o trânsito em julgado, arquivem-se os autos com as devidas baixas.</w:t>
      </w:r>
    </w:p>
    <w:p w14:paraId="267E9F13" w14:textId="3F177D01" w:rsidR="00EA72B5" w:rsidRPr="00EA72B5" w:rsidRDefault="00EA72B5" w:rsidP="00EA72B5">
      <w:pPr>
        <w:ind w:right="-568"/>
        <w:jc w:val="both"/>
        <w:rPr>
          <w:rFonts w:ascii="Times New Roman" w:hAnsi="Times New Roman" w:cs="Times New Roman"/>
        </w:rPr>
      </w:pPr>
      <w:r w:rsidRPr="00A01061">
        <w:rPr>
          <w:rFonts w:ascii="Times New Roman" w:hAnsi="Times New Roman" w:cs="Times New Roman"/>
          <w:i/>
          <w:iCs/>
        </w:rPr>
        <w:t>A posteriori</w:t>
      </w:r>
      <w:r w:rsidRPr="00EA72B5">
        <w:rPr>
          <w:rFonts w:ascii="Times New Roman" w:hAnsi="Times New Roman" w:cs="Times New Roman"/>
        </w:rPr>
        <w:t xml:space="preserve">, foi proferida decisão integrativa com REJEIÇÃO de embargos de declaração, evento </w:t>
      </w:r>
      <w:r>
        <w:rPr>
          <w:rFonts w:ascii="Times New Roman" w:hAnsi="Times New Roman" w:cs="Times New Roman"/>
        </w:rPr>
        <w:t>..</w:t>
      </w:r>
      <w:r w:rsidRPr="00EA72B5">
        <w:rPr>
          <w:rFonts w:ascii="Times New Roman" w:hAnsi="Times New Roman" w:cs="Times New Roman"/>
        </w:rPr>
        <w:t xml:space="preserve">. E com o trânsito em julgado da decisão homologatória com resolução de mérito/transação do evento </w:t>
      </w:r>
      <w:r>
        <w:rPr>
          <w:rFonts w:ascii="Times New Roman" w:hAnsi="Times New Roman" w:cs="Times New Roman"/>
        </w:rPr>
        <w:t>...</w:t>
      </w:r>
      <w:r w:rsidRPr="00EA72B5">
        <w:rPr>
          <w:rFonts w:ascii="Times New Roman" w:hAnsi="Times New Roman" w:cs="Times New Roman"/>
        </w:rPr>
        <w:t xml:space="preserve">, esse d. juízo determinou o retorno dos autos ao arquivo no despacho do evento </w:t>
      </w:r>
      <w:r>
        <w:rPr>
          <w:rFonts w:ascii="Times New Roman" w:hAnsi="Times New Roman" w:cs="Times New Roman"/>
        </w:rPr>
        <w:t>...</w:t>
      </w:r>
    </w:p>
    <w:p w14:paraId="1831018E" w14:textId="032361A3"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Data máxima </w:t>
      </w:r>
      <w:proofErr w:type="spellStart"/>
      <w:r w:rsidRPr="00EA72B5">
        <w:rPr>
          <w:rFonts w:ascii="Times New Roman" w:hAnsi="Times New Roman" w:cs="Times New Roman"/>
          <w:i/>
          <w:iCs/>
        </w:rPr>
        <w:t>venia</w:t>
      </w:r>
      <w:proofErr w:type="spellEnd"/>
      <w:r w:rsidRPr="00EA72B5">
        <w:rPr>
          <w:rFonts w:ascii="Times New Roman" w:hAnsi="Times New Roman" w:cs="Times New Roman"/>
        </w:rPr>
        <w:t>, não há previsão na legislação pátria para o “</w:t>
      </w:r>
      <w:r w:rsidRPr="00EA72B5">
        <w:rPr>
          <w:rFonts w:ascii="Times New Roman" w:hAnsi="Times New Roman" w:cs="Times New Roman"/>
          <w:i/>
          <w:iCs/>
        </w:rPr>
        <w:t>prosseguimento da presente ação</w:t>
      </w:r>
      <w:r w:rsidRPr="00EA72B5">
        <w:rPr>
          <w:rFonts w:ascii="Times New Roman" w:hAnsi="Times New Roman" w:cs="Times New Roman"/>
        </w:rPr>
        <w:t>”, vez que se encontra hígida uma decisão homologatória de transação com resolução do mérito que extinguiu o feito transitada em julgado.</w:t>
      </w:r>
    </w:p>
    <w:p w14:paraId="6DB2060B" w14:textId="7B59F9EE"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Neste cenário, afigura-se patente a imutabilidade e </w:t>
      </w:r>
      <w:proofErr w:type="spellStart"/>
      <w:r w:rsidRPr="00EA72B5">
        <w:rPr>
          <w:rFonts w:ascii="Times New Roman" w:hAnsi="Times New Roman" w:cs="Times New Roman"/>
        </w:rPr>
        <w:t>indiscutibilidade</w:t>
      </w:r>
      <w:proofErr w:type="spellEnd"/>
      <w:r w:rsidRPr="00EA72B5">
        <w:rPr>
          <w:rFonts w:ascii="Times New Roman" w:hAnsi="Times New Roman" w:cs="Times New Roman"/>
        </w:rPr>
        <w:t xml:space="preserve"> da coisa julgada material [CPC, art. 502], vedado a este d. juízo da </w:t>
      </w:r>
      <w:r>
        <w:rPr>
          <w:rFonts w:ascii="Times New Roman" w:hAnsi="Times New Roman" w:cs="Times New Roman"/>
        </w:rPr>
        <w:t>...</w:t>
      </w:r>
      <w:r w:rsidRPr="00EA72B5">
        <w:rPr>
          <w:rFonts w:ascii="Times New Roman" w:hAnsi="Times New Roman" w:cs="Times New Roman"/>
        </w:rPr>
        <w:t xml:space="preserve">ª Vara Cível de </w:t>
      </w:r>
      <w:r>
        <w:rPr>
          <w:rFonts w:ascii="Times New Roman" w:hAnsi="Times New Roman" w:cs="Times New Roman"/>
        </w:rPr>
        <w:t>...</w:t>
      </w:r>
      <w:r w:rsidRPr="00EA72B5">
        <w:rPr>
          <w:rFonts w:ascii="Times New Roman" w:hAnsi="Times New Roman" w:cs="Times New Roman"/>
        </w:rPr>
        <w:t xml:space="preserve"> decidir novamente as questões já alcançadas pela autoridade do jugado [CPC, art. 505], </w:t>
      </w:r>
      <w:r w:rsidRPr="00EA72B5">
        <w:rPr>
          <w:rFonts w:ascii="Times New Roman" w:hAnsi="Times New Roman" w:cs="Times New Roman"/>
          <w:i/>
          <w:iCs/>
        </w:rPr>
        <w:t>in legis</w:t>
      </w:r>
      <w:r w:rsidRPr="00EA72B5">
        <w:rPr>
          <w:rFonts w:ascii="Times New Roman" w:hAnsi="Times New Roman" w:cs="Times New Roman"/>
        </w:rPr>
        <w:t>:</w:t>
      </w:r>
    </w:p>
    <w:p w14:paraId="596023C4" w14:textId="72E20309" w:rsidR="00EA72B5" w:rsidRPr="00EA72B5" w:rsidRDefault="00EA72B5" w:rsidP="00EA72B5">
      <w:pPr>
        <w:ind w:right="-568"/>
        <w:jc w:val="both"/>
        <w:rPr>
          <w:rFonts w:ascii="Times New Roman" w:hAnsi="Times New Roman" w:cs="Times New Roman"/>
          <w:i/>
          <w:iCs/>
        </w:rPr>
      </w:pPr>
      <w:r w:rsidRPr="00EA72B5">
        <w:rPr>
          <w:rFonts w:ascii="Times New Roman" w:hAnsi="Times New Roman" w:cs="Times New Roman"/>
          <w:i/>
          <w:iCs/>
        </w:rPr>
        <w:t>Art. 502.</w:t>
      </w:r>
      <w:r w:rsidRPr="00EA72B5">
        <w:rPr>
          <w:rFonts w:ascii="Times New Roman" w:hAnsi="Times New Roman" w:cs="Times New Roman"/>
          <w:i/>
          <w:iCs/>
        </w:rPr>
        <w:t xml:space="preserve"> </w:t>
      </w:r>
      <w:r w:rsidRPr="00EA72B5">
        <w:rPr>
          <w:rFonts w:ascii="Times New Roman" w:hAnsi="Times New Roman" w:cs="Times New Roman"/>
          <w:i/>
          <w:iCs/>
        </w:rPr>
        <w:t>Denomina-se coisa julgada material a autoridade que torna imutável e indiscutível a decisão de mérito não mais sujeita a recurso.</w:t>
      </w:r>
    </w:p>
    <w:p w14:paraId="58490D7D" w14:textId="5D6A6160"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i/>
          <w:iCs/>
        </w:rPr>
        <w:t>Art.505.</w:t>
      </w:r>
      <w:r w:rsidRPr="00EA72B5">
        <w:rPr>
          <w:rFonts w:ascii="Times New Roman" w:hAnsi="Times New Roman" w:cs="Times New Roman"/>
          <w:i/>
          <w:iCs/>
        </w:rPr>
        <w:t xml:space="preserve"> </w:t>
      </w:r>
      <w:r w:rsidRPr="00EA72B5">
        <w:rPr>
          <w:rFonts w:ascii="Times New Roman" w:hAnsi="Times New Roman" w:cs="Times New Roman"/>
          <w:i/>
          <w:iCs/>
        </w:rPr>
        <w:t>Nenhum juiz decidirá novamente as questões já decididas relativas à mesma lide.</w:t>
      </w:r>
      <w:r w:rsidRPr="00EA72B5">
        <w:rPr>
          <w:rFonts w:ascii="Times New Roman" w:hAnsi="Times New Roman" w:cs="Times New Roman"/>
        </w:rPr>
        <w:t>..</w:t>
      </w:r>
    </w:p>
    <w:p w14:paraId="785AA380" w14:textId="17F197D3"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A sentença mencionada oriunda da “</w:t>
      </w:r>
      <w:r w:rsidRPr="00EA72B5">
        <w:rPr>
          <w:rFonts w:ascii="Times New Roman" w:hAnsi="Times New Roman" w:cs="Times New Roman"/>
          <w:i/>
          <w:iCs/>
        </w:rPr>
        <w:t>Ação Anulatória de Negócio Jurídico</w:t>
      </w:r>
      <w:r w:rsidRPr="00EA72B5">
        <w:rPr>
          <w:rFonts w:ascii="Times New Roman" w:hAnsi="Times New Roman" w:cs="Times New Roman"/>
        </w:rPr>
        <w:t xml:space="preserve">” n. </w:t>
      </w:r>
      <w:r>
        <w:rPr>
          <w:rFonts w:ascii="Times New Roman" w:hAnsi="Times New Roman" w:cs="Times New Roman"/>
        </w:rPr>
        <w:t>...</w:t>
      </w:r>
      <w:r w:rsidRPr="00EA72B5">
        <w:rPr>
          <w:rFonts w:ascii="Times New Roman" w:hAnsi="Times New Roman" w:cs="Times New Roman"/>
        </w:rPr>
        <w:t xml:space="preserve"> proferida por outro d. juízo, da </w:t>
      </w:r>
      <w:r>
        <w:rPr>
          <w:rFonts w:ascii="Times New Roman" w:hAnsi="Times New Roman" w:cs="Times New Roman"/>
        </w:rPr>
        <w:t>...</w:t>
      </w:r>
      <w:r w:rsidRPr="00EA72B5">
        <w:rPr>
          <w:rFonts w:ascii="Times New Roman" w:hAnsi="Times New Roman" w:cs="Times New Roman"/>
        </w:rPr>
        <w:t xml:space="preserve">ª Vara Cível de </w:t>
      </w:r>
      <w:r>
        <w:rPr>
          <w:rFonts w:ascii="Times New Roman" w:hAnsi="Times New Roman" w:cs="Times New Roman"/>
        </w:rPr>
        <w:t>...</w:t>
      </w:r>
      <w:r w:rsidRPr="00EA72B5">
        <w:rPr>
          <w:rFonts w:ascii="Times New Roman" w:hAnsi="Times New Roman" w:cs="Times New Roman"/>
        </w:rPr>
        <w:t xml:space="preserve"> teve como objeto o instrumento de autocomposição que lhe foi posto naquela demanda para deliberar. Entretanto, na sua parte dispositiva, evidentemente, não há disposição no sentido de tirar a eficácia da decisão homologatória de V. Exa. [outro juízo do mesmo grau] aqui prolatada no evento </w:t>
      </w:r>
      <w:r>
        <w:rPr>
          <w:rFonts w:ascii="Times New Roman" w:hAnsi="Times New Roman" w:cs="Times New Roman"/>
        </w:rPr>
        <w:t>...</w:t>
      </w:r>
      <w:r w:rsidRPr="00EA72B5">
        <w:rPr>
          <w:rFonts w:ascii="Times New Roman" w:hAnsi="Times New Roman" w:cs="Times New Roman"/>
        </w:rPr>
        <w:t xml:space="preserve"> que extinguiu o processo com resolução do mérito, emergindo para o mundo jurídico a coisa julgada material.</w:t>
      </w:r>
    </w:p>
    <w:p w14:paraId="40A0F96B" w14:textId="5663847B"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Referida decisão da </w:t>
      </w:r>
      <w:r>
        <w:rPr>
          <w:rFonts w:ascii="Times New Roman" w:hAnsi="Times New Roman" w:cs="Times New Roman"/>
        </w:rPr>
        <w:t>...</w:t>
      </w:r>
      <w:r w:rsidRPr="00EA72B5">
        <w:rPr>
          <w:rFonts w:ascii="Times New Roman" w:hAnsi="Times New Roman" w:cs="Times New Roman"/>
        </w:rPr>
        <w:t xml:space="preserve">ª Vara Cível de </w:t>
      </w:r>
      <w:r>
        <w:rPr>
          <w:rFonts w:ascii="Times New Roman" w:hAnsi="Times New Roman" w:cs="Times New Roman"/>
        </w:rPr>
        <w:t>...</w:t>
      </w:r>
      <w:r w:rsidRPr="00EA72B5">
        <w:rPr>
          <w:rFonts w:ascii="Times New Roman" w:hAnsi="Times New Roman" w:cs="Times New Roman"/>
        </w:rPr>
        <w:t xml:space="preserve"> não restabeleceu ou ressuscitou o presente feito extinto com resolução de mérito, reabrindo-se um processo encerrado por outro juízo do mesmo grau de jurisdição.</w:t>
      </w:r>
    </w:p>
    <w:p w14:paraId="1D8FBA17" w14:textId="790CBEC2"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A tutela jurisdicional sentencial do evento </w:t>
      </w:r>
      <w:r>
        <w:rPr>
          <w:rFonts w:ascii="Times New Roman" w:hAnsi="Times New Roman" w:cs="Times New Roman"/>
        </w:rPr>
        <w:t>...</w:t>
      </w:r>
      <w:r w:rsidRPr="00EA72B5">
        <w:rPr>
          <w:rFonts w:ascii="Times New Roman" w:hAnsi="Times New Roman" w:cs="Times New Roman"/>
        </w:rPr>
        <w:t xml:space="preserve"> transitada em julgado não pode ser alterada por simples petição, afigurando-se na espécie flagrante inadequação da via eleita ---erro crasso---, pois como salientado alhures, preceitua o Código de Processo Civil que proferida sentença de mérito e transitada em julgado, extingue-se a função jurisdicional do magistrado na fase de conhecimento, operando-se a coisa julgada material.</w:t>
      </w:r>
    </w:p>
    <w:p w14:paraId="706AD8C0" w14:textId="78FF07D1"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lastRenderedPageBreak/>
        <w:t xml:space="preserve">A sentença que homologou o acordo judicial não possui natureza de simples ato ordinatório, despacho de expediente ou decisão precária sujeita a livre revisão pelo próprio Juízo. </w:t>
      </w:r>
    </w:p>
    <w:p w14:paraId="3DF83A98" w14:textId="6ADBDA21"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Ao contrário, trata-se de pronunciamento jurisdicional de mérito, expressamente previsto no art. 487, III, “b”, do Código de Processo Civil, por meio do qual o magistrado homologa a transação celebrada entre as partes e extingue o processo com resolução do mérito.</w:t>
      </w:r>
    </w:p>
    <w:p w14:paraId="73C5FF4A" w14:textId="618A29D6"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Proferida a sentença homologatória, opera-se o esgotamento da atividade jurisdicional do Juízo quanto ao mérito da causa, incidindo a regra do art. 494 do CPC</w:t>
      </w:r>
      <w:r w:rsidR="00A01061">
        <w:rPr>
          <w:rStyle w:val="Refdenotaderodap"/>
          <w:rFonts w:ascii="Times New Roman" w:hAnsi="Times New Roman" w:cs="Times New Roman"/>
        </w:rPr>
        <w:footnoteReference w:id="2"/>
      </w:r>
      <w:r w:rsidRPr="00EA72B5">
        <w:rPr>
          <w:rFonts w:ascii="Times New Roman" w:hAnsi="Times New Roman" w:cs="Times New Roman"/>
        </w:rPr>
        <w:t xml:space="preserve">, segundo a qual, publicada a sentença, o juiz somente poderá alterá-la para corrigir inexatidões materiais ou erros de cálculo, ou por meio de embargos de declaração. Fora dessas hipóteses estritas, não há autorização legal para que o próprio magistrado reveja, revogue, invalide ou torne sem efeito sentença de mérito anteriormente proferida. </w:t>
      </w:r>
    </w:p>
    <w:p w14:paraId="5D715858" w14:textId="77777777" w:rsid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A pretensão de desconstituir sentença homologatória de acordo, portanto, não pode ser acolhida por simples petição nos mesmos autos, sobretudo quando formulada unilateralmente por uma das partes envolvidas na transação. Admitir essa providência equivaleria a permitir verdadeira retratação judicial atípica, fora dos limites legais, com grave afronta à estabilidade das decisões judiciais, ao devido processo legal e à segurança jurídica, </w:t>
      </w:r>
      <w:r w:rsidRPr="00EA72B5">
        <w:rPr>
          <w:rFonts w:ascii="Times New Roman" w:hAnsi="Times New Roman" w:cs="Times New Roman"/>
          <w:i/>
          <w:iCs/>
        </w:rPr>
        <w:t xml:space="preserve">redobrada </w:t>
      </w:r>
      <w:proofErr w:type="spellStart"/>
      <w:r w:rsidRPr="00EA72B5">
        <w:rPr>
          <w:rFonts w:ascii="Times New Roman" w:hAnsi="Times New Roman" w:cs="Times New Roman"/>
          <w:i/>
          <w:iCs/>
        </w:rPr>
        <w:t>venia</w:t>
      </w:r>
      <w:proofErr w:type="spellEnd"/>
      <w:r w:rsidRPr="00EA72B5">
        <w:rPr>
          <w:rFonts w:ascii="Times New Roman" w:hAnsi="Times New Roman" w:cs="Times New Roman"/>
        </w:rPr>
        <w:t xml:space="preserve">.  </w:t>
      </w:r>
    </w:p>
    <w:p w14:paraId="7555D14E" w14:textId="60571EA7"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Com a autoridade que se lhe são reconhecidas, NELSON NERY e ROSA MARIA NERY alumiam a matéria:</w:t>
      </w:r>
    </w:p>
    <w:p w14:paraId="056F2556" w14:textId="093FE216" w:rsidR="00EA72B5" w:rsidRPr="00EA72B5" w:rsidRDefault="00EA72B5" w:rsidP="00EA72B5">
      <w:pPr>
        <w:ind w:right="-568"/>
        <w:jc w:val="both"/>
        <w:rPr>
          <w:rFonts w:ascii="Times New Roman" w:hAnsi="Times New Roman" w:cs="Times New Roman"/>
          <w:i/>
          <w:iCs/>
        </w:rPr>
      </w:pPr>
      <w:r w:rsidRPr="00EA72B5">
        <w:rPr>
          <w:rFonts w:ascii="Times New Roman" w:hAnsi="Times New Roman" w:cs="Times New Roman"/>
        </w:rPr>
        <w:t>“</w:t>
      </w:r>
      <w:r w:rsidRPr="00EA72B5">
        <w:rPr>
          <w:rFonts w:ascii="Times New Roman" w:hAnsi="Times New Roman" w:cs="Times New Roman"/>
          <w:i/>
          <w:iCs/>
        </w:rPr>
        <w:t xml:space="preserve">Transitada em julgado a decisão ou sentença de mérito, as partes ficam impossibilitadas de alegar qualquer outra questão relacionada com a lide, sobre a qual pesa a autoridade da coisa julgada. O texto normativo reputa repelidas todas as alegações que as partes poderiam ter feito na petição inicial e contestação a respeito da lide e não fizeram. </w:t>
      </w:r>
    </w:p>
    <w:p w14:paraId="13F8003A" w14:textId="37806708"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i/>
          <w:iCs/>
        </w:rPr>
        <w:t>Isto quer significar que não se admite a propositura de nova demanda para rediscutir a lide, com base em novas alegações. A este fenômeno dá-se o nome de eficácia preclusiva da coisa julgada. Há a eficácia preclusiva primária (interna), bem como a secundária (externa)</w:t>
      </w:r>
      <w:r w:rsidRPr="00EA72B5">
        <w:rPr>
          <w:rFonts w:ascii="Times New Roman" w:hAnsi="Times New Roman" w:cs="Times New Roman"/>
        </w:rPr>
        <w:t>.</w:t>
      </w:r>
      <w:r w:rsidR="00A01061">
        <w:rPr>
          <w:rStyle w:val="Refdenotaderodap"/>
          <w:rFonts w:ascii="Times New Roman" w:hAnsi="Times New Roman" w:cs="Times New Roman"/>
        </w:rPr>
        <w:footnoteReference w:id="3"/>
      </w:r>
      <w:r w:rsidRPr="00EA72B5">
        <w:rPr>
          <w:rFonts w:ascii="Times New Roman" w:hAnsi="Times New Roman" w:cs="Times New Roman"/>
        </w:rPr>
        <w:t xml:space="preserve">” </w:t>
      </w:r>
    </w:p>
    <w:p w14:paraId="35198305" w14:textId="58AB9AB5"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 xml:space="preserve">O colendo SUPERIOR TRIBUNAL DE JUSTIÇA em situação idêntica à ora </w:t>
      </w:r>
      <w:r w:rsidRPr="00EA72B5">
        <w:rPr>
          <w:rFonts w:ascii="Times New Roman" w:hAnsi="Times New Roman" w:cs="Times New Roman"/>
          <w:i/>
          <w:iCs/>
        </w:rPr>
        <w:t xml:space="preserve">in </w:t>
      </w:r>
      <w:proofErr w:type="spellStart"/>
      <w:r w:rsidRPr="00EA72B5">
        <w:rPr>
          <w:rFonts w:ascii="Times New Roman" w:hAnsi="Times New Roman" w:cs="Times New Roman"/>
          <w:i/>
          <w:iCs/>
        </w:rPr>
        <w:t>examen</w:t>
      </w:r>
      <w:proofErr w:type="spellEnd"/>
      <w:r w:rsidRPr="00EA72B5">
        <w:rPr>
          <w:rFonts w:ascii="Times New Roman" w:hAnsi="Times New Roman" w:cs="Times New Roman"/>
        </w:rPr>
        <w:t xml:space="preserve">, pontuou que se um juízo de primeiro grau sentenciou o feito com resolução de mérito transitada em julgado, ele próprio não pode anular ou descumprir o conteúdo do </w:t>
      </w:r>
      <w:r w:rsidRPr="00EA72B5">
        <w:rPr>
          <w:rFonts w:ascii="Times New Roman" w:hAnsi="Times New Roman" w:cs="Times New Roman"/>
          <w:i/>
          <w:iCs/>
        </w:rPr>
        <w:t>decisum</w:t>
      </w:r>
      <w:r w:rsidRPr="00EA72B5">
        <w:rPr>
          <w:rFonts w:ascii="Times New Roman" w:hAnsi="Times New Roman" w:cs="Times New Roman"/>
        </w:rPr>
        <w:t xml:space="preserve"> proferida:</w:t>
      </w:r>
    </w:p>
    <w:p w14:paraId="36391B5C" w14:textId="72402141" w:rsidR="00EA72B5" w:rsidRPr="00EA72B5" w:rsidRDefault="00EA72B5" w:rsidP="00EA72B5">
      <w:pPr>
        <w:ind w:right="-568"/>
        <w:jc w:val="both"/>
        <w:rPr>
          <w:rFonts w:ascii="Times New Roman" w:hAnsi="Times New Roman" w:cs="Times New Roman"/>
        </w:rPr>
      </w:pPr>
      <w:r>
        <w:rPr>
          <w:rFonts w:ascii="Times New Roman" w:hAnsi="Times New Roman" w:cs="Times New Roman"/>
        </w:rPr>
        <w:t>“</w:t>
      </w:r>
      <w:r w:rsidRPr="00EA72B5">
        <w:rPr>
          <w:rFonts w:ascii="Times New Roman" w:hAnsi="Times New Roman" w:cs="Times New Roman"/>
          <w:i/>
          <w:iCs/>
        </w:rPr>
        <w:t xml:space="preserve">É cediço que as matérias de ordem pública, como a questão envolvendo a competência do juízo, embora não estejam sujeitas, em princípio, à preclusão, se já decididas não podem ser reexaminadas pelo mesmo juiz, pois configurada a preclusão pro </w:t>
      </w:r>
      <w:proofErr w:type="spellStart"/>
      <w:r w:rsidRPr="00EA72B5">
        <w:rPr>
          <w:rFonts w:ascii="Times New Roman" w:hAnsi="Times New Roman" w:cs="Times New Roman"/>
          <w:i/>
          <w:iCs/>
        </w:rPr>
        <w:t>judicato</w:t>
      </w:r>
      <w:proofErr w:type="spellEnd"/>
      <w:r w:rsidRPr="00EA72B5">
        <w:rPr>
          <w:rFonts w:ascii="Times New Roman" w:hAnsi="Times New Roman" w:cs="Times New Roman"/>
          <w:i/>
          <w:iCs/>
        </w:rPr>
        <w:t xml:space="preserve">, segundo a qual nenhum juiz decidirá novamente as questões já decididas, relativas à mesma lide (art. 505 </w:t>
      </w:r>
      <w:proofErr w:type="gramStart"/>
      <w:r w:rsidRPr="00EA72B5">
        <w:rPr>
          <w:rFonts w:ascii="Times New Roman" w:hAnsi="Times New Roman" w:cs="Times New Roman"/>
          <w:i/>
          <w:iCs/>
        </w:rPr>
        <w:t>CPC)...</w:t>
      </w:r>
      <w:proofErr w:type="spellStart"/>
      <w:proofErr w:type="gramEnd"/>
      <w:r w:rsidRPr="00EA72B5">
        <w:rPr>
          <w:rFonts w:ascii="Times New Roman" w:hAnsi="Times New Roman" w:cs="Times New Roman"/>
          <w:i/>
          <w:iCs/>
        </w:rPr>
        <w:t>omissis</w:t>
      </w:r>
      <w:proofErr w:type="spellEnd"/>
      <w:r w:rsidRPr="00EA72B5">
        <w:rPr>
          <w:rFonts w:ascii="Times New Roman" w:hAnsi="Times New Roman" w:cs="Times New Roman"/>
        </w:rPr>
        <w:t>...</w:t>
      </w:r>
      <w:r>
        <w:rPr>
          <w:rFonts w:ascii="Times New Roman" w:hAnsi="Times New Roman" w:cs="Times New Roman"/>
        </w:rPr>
        <w:t>”</w:t>
      </w:r>
      <w:r w:rsidRPr="00EA72B5">
        <w:rPr>
          <w:rFonts w:ascii="Times New Roman" w:hAnsi="Times New Roman" w:cs="Times New Roman"/>
        </w:rPr>
        <w:t xml:space="preserve"> [STJ, </w:t>
      </w:r>
      <w:proofErr w:type="spellStart"/>
      <w:r w:rsidRPr="00EA72B5">
        <w:rPr>
          <w:rFonts w:ascii="Times New Roman" w:hAnsi="Times New Roman" w:cs="Times New Roman"/>
        </w:rPr>
        <w:t>AgInt</w:t>
      </w:r>
      <w:proofErr w:type="spellEnd"/>
      <w:r w:rsidRPr="00EA72B5">
        <w:rPr>
          <w:rFonts w:ascii="Times New Roman" w:hAnsi="Times New Roman" w:cs="Times New Roman"/>
        </w:rPr>
        <w:t xml:space="preserve"> no REsp n. 1.768.396/MG, Relator Ministro </w:t>
      </w:r>
      <w:proofErr w:type="spellStart"/>
      <w:r w:rsidRPr="00EA72B5">
        <w:rPr>
          <w:rFonts w:ascii="Times New Roman" w:hAnsi="Times New Roman" w:cs="Times New Roman"/>
        </w:rPr>
        <w:t>Luis</w:t>
      </w:r>
      <w:proofErr w:type="spellEnd"/>
      <w:r w:rsidRPr="00EA72B5">
        <w:rPr>
          <w:rFonts w:ascii="Times New Roman" w:hAnsi="Times New Roman" w:cs="Times New Roman"/>
        </w:rPr>
        <w:t xml:space="preserve"> Felipe Salomão, Quarta Turma, </w:t>
      </w:r>
      <w:proofErr w:type="spellStart"/>
      <w:r w:rsidRPr="00EA72B5">
        <w:rPr>
          <w:rFonts w:ascii="Times New Roman" w:hAnsi="Times New Roman" w:cs="Times New Roman"/>
        </w:rPr>
        <w:t>DJe</w:t>
      </w:r>
      <w:proofErr w:type="spellEnd"/>
      <w:r w:rsidRPr="00EA72B5">
        <w:rPr>
          <w:rFonts w:ascii="Times New Roman" w:hAnsi="Times New Roman" w:cs="Times New Roman"/>
        </w:rPr>
        <w:t xml:space="preserve"> 18.03.2022].</w:t>
      </w:r>
    </w:p>
    <w:p w14:paraId="47DB79FA" w14:textId="77777777"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Vogando na esteira o v. TRIBUNAL DE JUSTIÇA DE SANTA CATARINA:</w:t>
      </w:r>
    </w:p>
    <w:p w14:paraId="6C2E881B" w14:textId="5F9D778B" w:rsidR="00EA72B5" w:rsidRDefault="00EA72B5" w:rsidP="00EA72B5">
      <w:pPr>
        <w:ind w:right="-568"/>
        <w:jc w:val="both"/>
        <w:rPr>
          <w:rFonts w:ascii="Times New Roman" w:hAnsi="Times New Roman" w:cs="Times New Roman"/>
        </w:rPr>
      </w:pPr>
      <w:r>
        <w:rPr>
          <w:rFonts w:ascii="Times New Roman" w:hAnsi="Times New Roman" w:cs="Times New Roman"/>
        </w:rPr>
        <w:lastRenderedPageBreak/>
        <w:t>“</w:t>
      </w:r>
      <w:r w:rsidRPr="00EA72B5">
        <w:rPr>
          <w:rFonts w:ascii="Times New Roman" w:hAnsi="Times New Roman" w:cs="Times New Roman"/>
          <w:i/>
          <w:iCs/>
        </w:rPr>
        <w:t>Coisa julgada é qualidade que a sentença adquire de não poder mais ser alterada quando dela já não cabe nenhum tipo de recurso, sendo que nenhum juiz decidirá novamente as questões já decididas relativas à mesma lide...</w:t>
      </w:r>
      <w:proofErr w:type="spellStart"/>
      <w:r w:rsidRPr="00EA72B5">
        <w:rPr>
          <w:rFonts w:ascii="Times New Roman" w:hAnsi="Times New Roman" w:cs="Times New Roman"/>
          <w:i/>
          <w:iCs/>
        </w:rPr>
        <w:t>omissis</w:t>
      </w:r>
      <w:proofErr w:type="spellEnd"/>
      <w:r w:rsidRPr="00EA72B5">
        <w:rPr>
          <w:rFonts w:ascii="Times New Roman" w:hAnsi="Times New Roman" w:cs="Times New Roman"/>
        </w:rPr>
        <w:t>...</w:t>
      </w:r>
      <w:r>
        <w:rPr>
          <w:rFonts w:ascii="Times New Roman" w:hAnsi="Times New Roman" w:cs="Times New Roman"/>
        </w:rPr>
        <w:t>”</w:t>
      </w:r>
      <w:r w:rsidRPr="00EA72B5">
        <w:rPr>
          <w:rFonts w:ascii="Times New Roman" w:hAnsi="Times New Roman" w:cs="Times New Roman"/>
        </w:rPr>
        <w:t xml:space="preserve"> [TJSC, Agravo de Instrumento n. 5035896-05.2025.8.24.0000, 4ª Câmara de Direito Público, Relator para Acórdão DIOGO PÍTSICA, </w:t>
      </w:r>
      <w:proofErr w:type="spellStart"/>
      <w:r w:rsidRPr="00EA72B5">
        <w:rPr>
          <w:rFonts w:ascii="Times New Roman" w:hAnsi="Times New Roman" w:cs="Times New Roman"/>
        </w:rPr>
        <w:t>DJe</w:t>
      </w:r>
      <w:proofErr w:type="spellEnd"/>
      <w:r w:rsidRPr="00EA72B5">
        <w:rPr>
          <w:rFonts w:ascii="Times New Roman" w:hAnsi="Times New Roman" w:cs="Times New Roman"/>
        </w:rPr>
        <w:t xml:space="preserve"> 26.06.2025]</w:t>
      </w:r>
      <w:r w:rsidR="00A01061">
        <w:rPr>
          <w:rStyle w:val="Refdenotaderodap"/>
          <w:rFonts w:ascii="Times New Roman" w:hAnsi="Times New Roman" w:cs="Times New Roman"/>
        </w:rPr>
        <w:footnoteReference w:id="4"/>
      </w:r>
      <w:r w:rsidRPr="00EA72B5">
        <w:rPr>
          <w:rFonts w:ascii="Times New Roman" w:hAnsi="Times New Roman" w:cs="Times New Roman"/>
        </w:rPr>
        <w:t xml:space="preserve">. </w:t>
      </w:r>
    </w:p>
    <w:p w14:paraId="0704ACDB" w14:textId="50286F24" w:rsidR="00EA72B5" w:rsidRPr="00EA72B5" w:rsidRDefault="00EA72B5" w:rsidP="00EA72B5">
      <w:pPr>
        <w:ind w:right="-568"/>
        <w:jc w:val="both"/>
        <w:rPr>
          <w:rFonts w:ascii="Times New Roman" w:hAnsi="Times New Roman" w:cs="Times New Roman"/>
        </w:rPr>
      </w:pPr>
      <w:proofErr w:type="spellStart"/>
      <w:r w:rsidRPr="00EA72B5">
        <w:rPr>
          <w:rFonts w:ascii="Times New Roman" w:hAnsi="Times New Roman" w:cs="Times New Roman"/>
          <w:b/>
          <w:bCs/>
          <w:i/>
          <w:iCs/>
        </w:rPr>
        <w:t>Ex</w:t>
      </w:r>
      <w:proofErr w:type="spellEnd"/>
      <w:r w:rsidRPr="00EA72B5">
        <w:rPr>
          <w:rFonts w:ascii="Times New Roman" w:hAnsi="Times New Roman" w:cs="Times New Roman"/>
          <w:b/>
          <w:bCs/>
          <w:i/>
          <w:iCs/>
        </w:rPr>
        <w:t xml:space="preserve"> positis</w:t>
      </w:r>
      <w:r w:rsidRPr="00EA72B5">
        <w:rPr>
          <w:rFonts w:ascii="Times New Roman" w:hAnsi="Times New Roman" w:cs="Times New Roman"/>
        </w:rPr>
        <w:t xml:space="preserve">, o ora peticionário requer: </w:t>
      </w:r>
    </w:p>
    <w:p w14:paraId="06F97C91" w14:textId="24F1E117"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a)</w:t>
      </w:r>
      <w:r>
        <w:rPr>
          <w:rFonts w:ascii="Times New Roman" w:hAnsi="Times New Roman" w:cs="Times New Roman"/>
        </w:rPr>
        <w:t xml:space="preserve"> </w:t>
      </w:r>
      <w:r w:rsidRPr="00EA72B5">
        <w:rPr>
          <w:rFonts w:ascii="Times New Roman" w:hAnsi="Times New Roman" w:cs="Times New Roman"/>
        </w:rPr>
        <w:t xml:space="preserve">seja INDEFERIDO o pedido de reconhecimento deste juízo da perda da eficácia da sentença homologatória do evento </w:t>
      </w:r>
      <w:r>
        <w:rPr>
          <w:rFonts w:ascii="Times New Roman" w:hAnsi="Times New Roman" w:cs="Times New Roman"/>
        </w:rPr>
        <w:t>...</w:t>
      </w:r>
      <w:r w:rsidRPr="00EA72B5">
        <w:rPr>
          <w:rFonts w:ascii="Times New Roman" w:hAnsi="Times New Roman" w:cs="Times New Roman"/>
        </w:rPr>
        <w:t xml:space="preserve"> formulado na petição do evento </w:t>
      </w:r>
      <w:r>
        <w:rPr>
          <w:rFonts w:ascii="Times New Roman" w:hAnsi="Times New Roman" w:cs="Times New Roman"/>
        </w:rPr>
        <w:t>...</w:t>
      </w:r>
      <w:r w:rsidRPr="00EA72B5">
        <w:rPr>
          <w:rFonts w:ascii="Times New Roman" w:hAnsi="Times New Roman" w:cs="Times New Roman"/>
        </w:rPr>
        <w:t>;</w:t>
      </w:r>
    </w:p>
    <w:p w14:paraId="3EAADA9F" w14:textId="76F4FF9B" w:rsidR="00EA72B5" w:rsidRPr="00EA72B5" w:rsidRDefault="00EA72B5" w:rsidP="00EA72B5">
      <w:pPr>
        <w:ind w:right="-568"/>
        <w:jc w:val="both"/>
        <w:rPr>
          <w:rFonts w:ascii="Times New Roman" w:hAnsi="Times New Roman" w:cs="Times New Roman"/>
        </w:rPr>
      </w:pPr>
      <w:r w:rsidRPr="00EA72B5">
        <w:rPr>
          <w:rFonts w:ascii="Times New Roman" w:hAnsi="Times New Roman" w:cs="Times New Roman"/>
        </w:rPr>
        <w:t>b)</w:t>
      </w:r>
      <w:r>
        <w:rPr>
          <w:rFonts w:ascii="Times New Roman" w:hAnsi="Times New Roman" w:cs="Times New Roman"/>
        </w:rPr>
        <w:t xml:space="preserve"> </w:t>
      </w:r>
      <w:r w:rsidRPr="00EA72B5">
        <w:rPr>
          <w:rFonts w:ascii="Times New Roman" w:hAnsi="Times New Roman" w:cs="Times New Roman"/>
        </w:rPr>
        <w:t xml:space="preserve">seja determinada a exclusão do nome de </w:t>
      </w:r>
      <w:r>
        <w:rPr>
          <w:rFonts w:ascii="Times New Roman" w:hAnsi="Times New Roman" w:cs="Times New Roman"/>
        </w:rPr>
        <w:t>...</w:t>
      </w:r>
      <w:r w:rsidRPr="00EA72B5">
        <w:rPr>
          <w:rFonts w:ascii="Times New Roman" w:hAnsi="Times New Roman" w:cs="Times New Roman"/>
        </w:rPr>
        <w:t xml:space="preserve"> do polo passivo.</w:t>
      </w:r>
    </w:p>
    <w:p w14:paraId="3B91CE85" w14:textId="00A0AB8D" w:rsidR="00EA72B5" w:rsidRPr="00EA72B5" w:rsidRDefault="00EA72B5" w:rsidP="00A01061">
      <w:pPr>
        <w:spacing w:after="0" w:line="240" w:lineRule="auto"/>
        <w:ind w:right="-567"/>
        <w:jc w:val="center"/>
        <w:rPr>
          <w:rFonts w:ascii="Times New Roman" w:hAnsi="Times New Roman" w:cs="Times New Roman"/>
        </w:rPr>
      </w:pPr>
      <w:r w:rsidRPr="00EA72B5">
        <w:rPr>
          <w:rFonts w:ascii="Times New Roman" w:hAnsi="Times New Roman" w:cs="Times New Roman"/>
        </w:rPr>
        <w:t>P</w:t>
      </w:r>
      <w:r>
        <w:rPr>
          <w:rFonts w:ascii="Times New Roman" w:hAnsi="Times New Roman" w:cs="Times New Roman"/>
        </w:rPr>
        <w:t>ede</w:t>
      </w:r>
      <w:r w:rsidRPr="00EA72B5">
        <w:rPr>
          <w:rFonts w:ascii="Times New Roman" w:hAnsi="Times New Roman" w:cs="Times New Roman"/>
        </w:rPr>
        <w:t xml:space="preserve"> Deferimento.</w:t>
      </w:r>
    </w:p>
    <w:p w14:paraId="653EBB93" w14:textId="7EBA32D1" w:rsidR="00EA72B5" w:rsidRDefault="00EA72B5" w:rsidP="00A01061">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50DACD89" w14:textId="44A55BFF" w:rsidR="00EA72B5" w:rsidRPr="00EA72B5" w:rsidRDefault="00EA72B5" w:rsidP="00A01061">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EA72B5" w:rsidRPr="00EA72B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5CD60" w14:textId="77777777" w:rsidR="0048166C" w:rsidRDefault="0048166C" w:rsidP="00EA72B5">
      <w:pPr>
        <w:spacing w:after="0" w:line="240" w:lineRule="auto"/>
      </w:pPr>
      <w:r>
        <w:separator/>
      </w:r>
    </w:p>
  </w:endnote>
  <w:endnote w:type="continuationSeparator" w:id="0">
    <w:p w14:paraId="08F9E221" w14:textId="77777777" w:rsidR="0048166C" w:rsidRDefault="0048166C" w:rsidP="00EA7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326EF" w14:textId="77777777" w:rsidR="0048166C" w:rsidRDefault="0048166C" w:rsidP="00EA72B5">
      <w:pPr>
        <w:spacing w:after="0" w:line="240" w:lineRule="auto"/>
      </w:pPr>
      <w:r>
        <w:separator/>
      </w:r>
    </w:p>
  </w:footnote>
  <w:footnote w:type="continuationSeparator" w:id="0">
    <w:p w14:paraId="15726D78" w14:textId="77777777" w:rsidR="0048166C" w:rsidRDefault="0048166C" w:rsidP="00EA72B5">
      <w:pPr>
        <w:spacing w:after="0" w:line="240" w:lineRule="auto"/>
      </w:pPr>
      <w:r>
        <w:continuationSeparator/>
      </w:r>
    </w:p>
  </w:footnote>
  <w:footnote w:id="1">
    <w:p w14:paraId="33F6A968" w14:textId="584C82FB" w:rsidR="00A01061" w:rsidRPr="00A01061" w:rsidRDefault="00A01061" w:rsidP="00A01061">
      <w:pPr>
        <w:pStyle w:val="Textodenotaderodap"/>
        <w:ind w:right="-568"/>
        <w:jc w:val="both"/>
        <w:rPr>
          <w:rFonts w:ascii="Times New Roman" w:hAnsi="Times New Roman" w:cs="Times New Roman"/>
        </w:rPr>
      </w:pPr>
      <w:r w:rsidRPr="00A01061">
        <w:rPr>
          <w:rStyle w:val="Refdenotaderodap"/>
          <w:rFonts w:ascii="Times New Roman" w:hAnsi="Times New Roman" w:cs="Times New Roman"/>
        </w:rPr>
        <w:footnoteRef/>
      </w:r>
      <w:r w:rsidRPr="00A01061">
        <w:rPr>
          <w:rFonts w:ascii="Times New Roman" w:hAnsi="Times New Roman" w:cs="Times New Roman"/>
        </w:rPr>
        <w:t xml:space="preserve"> </w:t>
      </w:r>
      <w:r w:rsidRPr="00A01061">
        <w:rPr>
          <w:rFonts w:ascii="Times New Roman" w:hAnsi="Times New Roman" w:cs="Times New Roman"/>
        </w:rPr>
        <w:t xml:space="preserve">CPC, art. 487. Haverá resolução de mérito quando o </w:t>
      </w:r>
      <w:proofErr w:type="spellStart"/>
      <w:proofErr w:type="gramStart"/>
      <w:r w:rsidRPr="00A01061">
        <w:rPr>
          <w:rFonts w:ascii="Times New Roman" w:hAnsi="Times New Roman" w:cs="Times New Roman"/>
        </w:rPr>
        <w:t>juiz:..</w:t>
      </w:r>
      <w:proofErr w:type="gramEnd"/>
      <w:r w:rsidRPr="00A01061">
        <w:rPr>
          <w:rFonts w:ascii="Times New Roman" w:hAnsi="Times New Roman" w:cs="Times New Roman"/>
        </w:rPr>
        <w:t>III</w:t>
      </w:r>
      <w:proofErr w:type="spellEnd"/>
      <w:r w:rsidRPr="00A01061">
        <w:rPr>
          <w:rFonts w:ascii="Times New Roman" w:hAnsi="Times New Roman" w:cs="Times New Roman"/>
        </w:rPr>
        <w:t xml:space="preserve">. homologar: b) a </w:t>
      </w:r>
      <w:proofErr w:type="gramStart"/>
      <w:r w:rsidRPr="00A01061">
        <w:rPr>
          <w:rFonts w:ascii="Times New Roman" w:hAnsi="Times New Roman" w:cs="Times New Roman"/>
        </w:rPr>
        <w:t>transação;...</w:t>
      </w:r>
      <w:proofErr w:type="gramEnd"/>
    </w:p>
  </w:footnote>
  <w:footnote w:id="2">
    <w:p w14:paraId="0C73E0FE" w14:textId="67E07A0B" w:rsidR="00A01061" w:rsidRPr="00A01061" w:rsidRDefault="00A01061" w:rsidP="00A01061">
      <w:pPr>
        <w:pStyle w:val="Textodenotaderodap"/>
        <w:ind w:right="-568"/>
        <w:jc w:val="both"/>
        <w:rPr>
          <w:rFonts w:ascii="Times New Roman" w:hAnsi="Times New Roman" w:cs="Times New Roman"/>
        </w:rPr>
      </w:pPr>
      <w:r w:rsidRPr="00A01061">
        <w:rPr>
          <w:rStyle w:val="Refdenotaderodap"/>
          <w:rFonts w:ascii="Times New Roman" w:hAnsi="Times New Roman" w:cs="Times New Roman"/>
        </w:rPr>
        <w:footnoteRef/>
      </w:r>
      <w:r w:rsidRPr="00A01061">
        <w:rPr>
          <w:rFonts w:ascii="Times New Roman" w:hAnsi="Times New Roman" w:cs="Times New Roman"/>
        </w:rPr>
        <w:t xml:space="preserve"> </w:t>
      </w:r>
      <w:r w:rsidRPr="00A01061">
        <w:rPr>
          <w:rFonts w:ascii="Times New Roman" w:hAnsi="Times New Roman" w:cs="Times New Roman"/>
        </w:rPr>
        <w:t xml:space="preserve">CPC, art. 494. Publicada a sentença, o juiz só poderá alterá-la: I. para </w:t>
      </w:r>
      <w:proofErr w:type="spellStart"/>
      <w:r w:rsidRPr="00A01061">
        <w:rPr>
          <w:rFonts w:ascii="Times New Roman" w:hAnsi="Times New Roman" w:cs="Times New Roman"/>
        </w:rPr>
        <w:t>corrigir-lhe</w:t>
      </w:r>
      <w:proofErr w:type="spellEnd"/>
      <w:r w:rsidRPr="00A01061">
        <w:rPr>
          <w:rFonts w:ascii="Times New Roman" w:hAnsi="Times New Roman" w:cs="Times New Roman"/>
        </w:rPr>
        <w:t>, de ofício ou a requerimento da parte, inexatidões materiais ou erros de cálculo; II - por meio de embargos de declaração.</w:t>
      </w:r>
    </w:p>
  </w:footnote>
  <w:footnote w:id="3">
    <w:p w14:paraId="53FD6EE7" w14:textId="4049E6B6" w:rsidR="00A01061" w:rsidRPr="00A01061" w:rsidRDefault="00A01061" w:rsidP="00A01061">
      <w:pPr>
        <w:pStyle w:val="Textodenotaderodap"/>
        <w:ind w:right="-568"/>
        <w:jc w:val="both"/>
        <w:rPr>
          <w:rFonts w:ascii="Times New Roman" w:hAnsi="Times New Roman" w:cs="Times New Roman"/>
        </w:rPr>
      </w:pPr>
      <w:r w:rsidRPr="00A01061">
        <w:rPr>
          <w:rStyle w:val="Refdenotaderodap"/>
          <w:rFonts w:ascii="Times New Roman" w:hAnsi="Times New Roman" w:cs="Times New Roman"/>
        </w:rPr>
        <w:footnoteRef/>
      </w:r>
      <w:r w:rsidRPr="00A01061">
        <w:rPr>
          <w:rFonts w:ascii="Times New Roman" w:hAnsi="Times New Roman" w:cs="Times New Roman"/>
        </w:rPr>
        <w:t xml:space="preserve"> </w:t>
      </w:r>
      <w:r w:rsidRPr="00A01061">
        <w:rPr>
          <w:rFonts w:ascii="Times New Roman" w:hAnsi="Times New Roman" w:cs="Times New Roman"/>
        </w:rPr>
        <w:t xml:space="preserve">NERY JUNIOR, Nelson. Código de Processo Civil comentado [livro </w:t>
      </w:r>
      <w:proofErr w:type="gramStart"/>
      <w:r w:rsidRPr="00A01061">
        <w:rPr>
          <w:rFonts w:ascii="Times New Roman" w:hAnsi="Times New Roman" w:cs="Times New Roman"/>
        </w:rPr>
        <w:t>eletrônico]/</w:t>
      </w:r>
      <w:proofErr w:type="gramEnd"/>
      <w:r w:rsidRPr="00A01061">
        <w:rPr>
          <w:rFonts w:ascii="Times New Roman" w:hAnsi="Times New Roman" w:cs="Times New Roman"/>
        </w:rPr>
        <w:t>Nelson Nery Junior e Rosa Maria de Andrade Nery – 3. Ed. – São Paulo: Thomson Reuters Brasil, 2018, pág. 1254.</w:t>
      </w:r>
    </w:p>
  </w:footnote>
  <w:footnote w:id="4">
    <w:p w14:paraId="36FFEE35" w14:textId="221300D0" w:rsidR="00A01061" w:rsidRPr="00A01061" w:rsidRDefault="00A01061" w:rsidP="00A01061">
      <w:pPr>
        <w:pStyle w:val="Textodenotaderodap"/>
        <w:ind w:right="-568"/>
        <w:jc w:val="both"/>
        <w:rPr>
          <w:rFonts w:ascii="Times New Roman" w:hAnsi="Times New Roman" w:cs="Times New Roman"/>
        </w:rPr>
      </w:pPr>
      <w:r w:rsidRPr="00A01061">
        <w:rPr>
          <w:rStyle w:val="Refdenotaderodap"/>
          <w:rFonts w:ascii="Times New Roman" w:hAnsi="Times New Roman" w:cs="Times New Roman"/>
        </w:rPr>
        <w:footnoteRef/>
      </w:r>
      <w:r w:rsidRPr="00A01061">
        <w:rPr>
          <w:rFonts w:ascii="Times New Roman" w:hAnsi="Times New Roman" w:cs="Times New Roman"/>
        </w:rPr>
        <w:t xml:space="preserve"> </w:t>
      </w:r>
      <w:r w:rsidRPr="00A01061">
        <w:rPr>
          <w:rFonts w:ascii="Times New Roman" w:hAnsi="Times New Roman" w:cs="Times New Roman"/>
        </w:rPr>
        <w:t>No mesmo sentido: A sentença homologatória transitada em julgado é insuscetível de desconstituição por Agravo de Instrumento, diante da autoridade da coisa julgada...</w:t>
      </w:r>
      <w:proofErr w:type="spellStart"/>
      <w:r w:rsidRPr="00A01061">
        <w:rPr>
          <w:rFonts w:ascii="Times New Roman" w:hAnsi="Times New Roman" w:cs="Times New Roman"/>
        </w:rPr>
        <w:t>omissis</w:t>
      </w:r>
      <w:proofErr w:type="spellEnd"/>
      <w:r w:rsidRPr="00A01061">
        <w:rPr>
          <w:rFonts w:ascii="Times New Roman" w:hAnsi="Times New Roman" w:cs="Times New Roman"/>
        </w:rPr>
        <w:t xml:space="preserve">... [TJMG, Agravo de Instrumento n. 1.0000.25.352645-3/001, Relatora Desembargadora Ivone </w:t>
      </w:r>
      <w:proofErr w:type="spellStart"/>
      <w:r w:rsidRPr="00A01061">
        <w:rPr>
          <w:rFonts w:ascii="Times New Roman" w:hAnsi="Times New Roman" w:cs="Times New Roman"/>
        </w:rPr>
        <w:t>Guilarducci</w:t>
      </w:r>
      <w:proofErr w:type="spellEnd"/>
      <w:r w:rsidRPr="00A01061">
        <w:rPr>
          <w:rFonts w:ascii="Times New Roman" w:hAnsi="Times New Roman" w:cs="Times New Roman"/>
        </w:rPr>
        <w:t xml:space="preserve">, 15ª Câmara Cível, </w:t>
      </w:r>
      <w:proofErr w:type="spellStart"/>
      <w:r w:rsidRPr="00A01061">
        <w:rPr>
          <w:rFonts w:ascii="Times New Roman" w:hAnsi="Times New Roman" w:cs="Times New Roman"/>
        </w:rPr>
        <w:t>DJe</w:t>
      </w:r>
      <w:proofErr w:type="spellEnd"/>
      <w:r w:rsidRPr="00A01061">
        <w:rPr>
          <w:rFonts w:ascii="Times New Roman" w:hAnsi="Times New Roman" w:cs="Times New Roman"/>
        </w:rPr>
        <w:t xml:space="preserve"> 12.12.2025 da Fonseca Xavier, 18ª Câmara Cível, </w:t>
      </w:r>
      <w:proofErr w:type="spellStart"/>
      <w:r w:rsidRPr="00A01061">
        <w:rPr>
          <w:rFonts w:ascii="Times New Roman" w:hAnsi="Times New Roman" w:cs="Times New Roman"/>
        </w:rPr>
        <w:t>DJe</w:t>
      </w:r>
      <w:proofErr w:type="spellEnd"/>
      <w:r w:rsidRPr="00A01061">
        <w:rPr>
          <w:rFonts w:ascii="Times New Roman" w:hAnsi="Times New Roman" w:cs="Times New Roman"/>
        </w:rPr>
        <w:t xml:space="preserve"> 25.06.2025]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A91056"/>
    <w:multiLevelType w:val="hybridMultilevel"/>
    <w:tmpl w:val="08E0DA9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367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2B5"/>
    <w:rsid w:val="0048166C"/>
    <w:rsid w:val="00A01061"/>
    <w:rsid w:val="00E21C73"/>
    <w:rsid w:val="00EA72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9530E"/>
  <w15:chartTrackingRefBased/>
  <w15:docId w15:val="{9D4EF1A0-BEF1-4B24-9E04-01C17A58C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A72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A72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A72B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A72B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A72B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A72B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A72B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A72B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A72B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A72B5"/>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EA72B5"/>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EA72B5"/>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EA72B5"/>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EA72B5"/>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EA72B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A72B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A72B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A72B5"/>
    <w:rPr>
      <w:rFonts w:eastAsiaTheme="majorEastAsia" w:cstheme="majorBidi"/>
      <w:color w:val="272727" w:themeColor="text1" w:themeTint="D8"/>
    </w:rPr>
  </w:style>
  <w:style w:type="paragraph" w:styleId="Ttulo">
    <w:name w:val="Title"/>
    <w:basedOn w:val="Normal"/>
    <w:next w:val="Normal"/>
    <w:link w:val="TtuloChar"/>
    <w:uiPriority w:val="10"/>
    <w:qFormat/>
    <w:rsid w:val="00EA7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A72B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A72B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A72B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A72B5"/>
    <w:pPr>
      <w:spacing w:before="160"/>
      <w:jc w:val="center"/>
    </w:pPr>
    <w:rPr>
      <w:i/>
      <w:iCs/>
      <w:color w:val="404040" w:themeColor="text1" w:themeTint="BF"/>
    </w:rPr>
  </w:style>
  <w:style w:type="character" w:customStyle="1" w:styleId="CitaoChar">
    <w:name w:val="Citação Char"/>
    <w:basedOn w:val="Fontepargpadro"/>
    <w:link w:val="Citao"/>
    <w:uiPriority w:val="29"/>
    <w:rsid w:val="00EA72B5"/>
    <w:rPr>
      <w:i/>
      <w:iCs/>
      <w:color w:val="404040" w:themeColor="text1" w:themeTint="BF"/>
    </w:rPr>
  </w:style>
  <w:style w:type="paragraph" w:styleId="PargrafodaLista">
    <w:name w:val="List Paragraph"/>
    <w:basedOn w:val="Normal"/>
    <w:uiPriority w:val="34"/>
    <w:qFormat/>
    <w:rsid w:val="00EA72B5"/>
    <w:pPr>
      <w:ind w:left="720"/>
      <w:contextualSpacing/>
    </w:pPr>
  </w:style>
  <w:style w:type="character" w:styleId="nfaseIntensa">
    <w:name w:val="Intense Emphasis"/>
    <w:basedOn w:val="Fontepargpadro"/>
    <w:uiPriority w:val="21"/>
    <w:qFormat/>
    <w:rsid w:val="00EA72B5"/>
    <w:rPr>
      <w:i/>
      <w:iCs/>
      <w:color w:val="2F5496" w:themeColor="accent1" w:themeShade="BF"/>
    </w:rPr>
  </w:style>
  <w:style w:type="paragraph" w:styleId="CitaoIntensa">
    <w:name w:val="Intense Quote"/>
    <w:basedOn w:val="Normal"/>
    <w:next w:val="Normal"/>
    <w:link w:val="CitaoIntensaChar"/>
    <w:uiPriority w:val="30"/>
    <w:qFormat/>
    <w:rsid w:val="00EA72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A72B5"/>
    <w:rPr>
      <w:i/>
      <w:iCs/>
      <w:color w:val="2F5496" w:themeColor="accent1" w:themeShade="BF"/>
    </w:rPr>
  </w:style>
  <w:style w:type="character" w:styleId="RefernciaIntensa">
    <w:name w:val="Intense Reference"/>
    <w:basedOn w:val="Fontepargpadro"/>
    <w:uiPriority w:val="32"/>
    <w:qFormat/>
    <w:rsid w:val="00EA72B5"/>
    <w:rPr>
      <w:b/>
      <w:bCs/>
      <w:smallCaps/>
      <w:color w:val="2F5496" w:themeColor="accent1" w:themeShade="BF"/>
      <w:spacing w:val="5"/>
    </w:rPr>
  </w:style>
  <w:style w:type="paragraph" w:styleId="Textodenotaderodap">
    <w:name w:val="footnote text"/>
    <w:basedOn w:val="Normal"/>
    <w:link w:val="TextodenotaderodapChar"/>
    <w:uiPriority w:val="99"/>
    <w:semiHidden/>
    <w:unhideWhenUsed/>
    <w:rsid w:val="00A0106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01061"/>
    <w:rPr>
      <w:sz w:val="20"/>
      <w:szCs w:val="20"/>
    </w:rPr>
  </w:style>
  <w:style w:type="character" w:styleId="Refdenotaderodap">
    <w:name w:val="footnote reference"/>
    <w:basedOn w:val="Fontepargpadro"/>
    <w:uiPriority w:val="99"/>
    <w:semiHidden/>
    <w:unhideWhenUsed/>
    <w:rsid w:val="00A010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7E7D6-AFDD-49CE-BE42-963D687C0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1313</Words>
  <Characters>7091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2026-10-02T18:15:00Z</dcterms:created>
  <dcterms:modified xsi:type="dcterms:W3CDTF">2026-10-02T18:31:00Z</dcterms:modified>
</cp:coreProperties>
</file>