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0561" w14:textId="77777777" w:rsidR="00D83786" w:rsidRPr="00D83786" w:rsidRDefault="00D83786" w:rsidP="00D8378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D83786">
        <w:rPr>
          <w:rFonts w:ascii="Arial Black" w:hAnsi="Arial Black" w:cs="Times New Roman"/>
        </w:rPr>
        <w:t>MODELO DE PETIÇÃO</w:t>
      </w:r>
    </w:p>
    <w:p w14:paraId="0F0C1C67" w14:textId="77777777" w:rsidR="00D83786" w:rsidRPr="00D83786" w:rsidRDefault="00D83786" w:rsidP="00D8378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D83786">
        <w:rPr>
          <w:rFonts w:ascii="Arial Black" w:hAnsi="Arial Black" w:cs="Times New Roman"/>
        </w:rPr>
        <w:t>APELAÇÃO. TJSC. OPOSIÇÃO AO JULGAMENTO VIRTUAL. PETIÇÃO</w:t>
      </w:r>
    </w:p>
    <w:p w14:paraId="5EAA5DCE" w14:textId="77777777" w:rsidR="00D83786" w:rsidRPr="00D83786" w:rsidRDefault="00D83786" w:rsidP="00D83786">
      <w:pPr>
        <w:spacing w:after="0" w:line="240" w:lineRule="auto"/>
        <w:ind w:right="-567"/>
        <w:jc w:val="right"/>
        <w:rPr>
          <w:rFonts w:ascii="Times New Roman" w:hAnsi="Times New Roman" w:cs="Times New Roman"/>
        </w:rPr>
      </w:pPr>
      <w:proofErr w:type="spellStart"/>
      <w:r w:rsidRPr="00D83786">
        <w:rPr>
          <w:rFonts w:ascii="Arial Black" w:hAnsi="Arial Black" w:cs="Times New Roman"/>
        </w:rPr>
        <w:t>Rénan</w:t>
      </w:r>
      <w:proofErr w:type="spellEnd"/>
      <w:r w:rsidRPr="00D83786">
        <w:rPr>
          <w:rFonts w:ascii="Arial Black" w:hAnsi="Arial Black" w:cs="Times New Roman"/>
        </w:rPr>
        <w:t xml:space="preserve"> </w:t>
      </w:r>
      <w:proofErr w:type="spellStart"/>
      <w:r w:rsidRPr="00D83786">
        <w:rPr>
          <w:rFonts w:ascii="Arial Black" w:hAnsi="Arial Black" w:cs="Times New Roman"/>
        </w:rPr>
        <w:t>Kfuri</w:t>
      </w:r>
      <w:proofErr w:type="spellEnd"/>
      <w:r w:rsidRPr="00D83786">
        <w:rPr>
          <w:rFonts w:ascii="Arial Black" w:hAnsi="Arial Black" w:cs="Times New Roman"/>
        </w:rPr>
        <w:t xml:space="preserve"> Lopes</w:t>
      </w:r>
    </w:p>
    <w:p w14:paraId="48DD7F21" w14:textId="77777777" w:rsidR="00D83786" w:rsidRPr="00D83786" w:rsidRDefault="00D83786" w:rsidP="00D83786">
      <w:pPr>
        <w:ind w:right="-568"/>
        <w:jc w:val="both"/>
        <w:rPr>
          <w:rFonts w:ascii="Times New Roman" w:hAnsi="Times New Roman" w:cs="Times New Roman"/>
        </w:rPr>
      </w:pPr>
    </w:p>
    <w:p w14:paraId="71F32D75" w14:textId="791715BB" w:rsidR="00D83786" w:rsidRDefault="00D83786" w:rsidP="00D83786">
      <w:pPr>
        <w:ind w:right="-568"/>
        <w:jc w:val="both"/>
        <w:rPr>
          <w:rFonts w:ascii="Times New Roman" w:hAnsi="Times New Roman" w:cs="Times New Roman"/>
        </w:rPr>
      </w:pPr>
      <w:r w:rsidRPr="00D8378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Des. ..., DD Relator da Apelação Cível n. ...- ...ª Câmara de Direito Comercial do TJ...</w:t>
      </w:r>
    </w:p>
    <w:p w14:paraId="283D0D18" w14:textId="77777777" w:rsidR="00D83786" w:rsidRPr="00D83786" w:rsidRDefault="00D83786" w:rsidP="00D83786">
      <w:pPr>
        <w:ind w:right="-568"/>
        <w:jc w:val="both"/>
        <w:rPr>
          <w:rFonts w:ascii="Times New Roman" w:hAnsi="Times New Roman" w:cs="Times New Roman"/>
        </w:rPr>
      </w:pPr>
      <w:r w:rsidRPr="00D83786">
        <w:rPr>
          <w:rFonts w:ascii="Times New Roman" w:hAnsi="Times New Roman" w:cs="Times New Roman"/>
        </w:rPr>
        <w:t>- OPOSIÇÃO AO JULGAMENTO VIRTUAL –</w:t>
      </w:r>
    </w:p>
    <w:p w14:paraId="3AF80802" w14:textId="060CB8A0" w:rsidR="00D83786" w:rsidRPr="00D83786" w:rsidRDefault="00D83786" w:rsidP="00D8378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D83786">
        <w:rPr>
          <w:rFonts w:ascii="Times New Roman" w:hAnsi="Times New Roman" w:cs="Times New Roman"/>
        </w:rPr>
        <w:t xml:space="preserve">, apelante, por seu advogado </w:t>
      </w:r>
      <w:r w:rsidRPr="00D83786">
        <w:rPr>
          <w:rFonts w:ascii="Times New Roman" w:hAnsi="Times New Roman" w:cs="Times New Roman"/>
          <w:i/>
          <w:iCs/>
        </w:rPr>
        <w:t>in fine</w:t>
      </w:r>
      <w:r w:rsidRPr="00D83786">
        <w:rPr>
          <w:rFonts w:ascii="Times New Roman" w:hAnsi="Times New Roman" w:cs="Times New Roman"/>
        </w:rPr>
        <w:t xml:space="preserve"> assinado, nos autos da apelação epigrafada que contende contra </w:t>
      </w:r>
      <w:r>
        <w:rPr>
          <w:rFonts w:ascii="Times New Roman" w:hAnsi="Times New Roman" w:cs="Times New Roman"/>
        </w:rPr>
        <w:t>...</w:t>
      </w:r>
      <w:r w:rsidRPr="00D83786">
        <w:rPr>
          <w:rFonts w:ascii="Times New Roman" w:hAnsi="Times New Roman" w:cs="Times New Roman"/>
        </w:rPr>
        <w:t xml:space="preserve">, apelado, vem, respeitosamente, manifestar sua oposição ao julgamento virtual do presente recurso de apelação designado para a sessão virtual de </w:t>
      </w:r>
      <w:r>
        <w:rPr>
          <w:rFonts w:ascii="Times New Roman" w:hAnsi="Times New Roman" w:cs="Times New Roman"/>
        </w:rPr>
        <w:t>...</w:t>
      </w:r>
      <w:r w:rsidRPr="00D83786"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</w:rPr>
        <w:t>...</w:t>
      </w:r>
      <w:r w:rsidRPr="00D83786">
        <w:rPr>
          <w:rFonts w:ascii="Times New Roman" w:hAnsi="Times New Roman" w:cs="Times New Roman"/>
        </w:rPr>
        <w:t xml:space="preserve">, número da pauta </w:t>
      </w:r>
      <w:r>
        <w:rPr>
          <w:rFonts w:ascii="Times New Roman" w:hAnsi="Times New Roman" w:cs="Times New Roman"/>
        </w:rPr>
        <w:t>...</w:t>
      </w:r>
      <w:r w:rsidRPr="00D83786">
        <w:rPr>
          <w:rFonts w:ascii="Times New Roman" w:hAnsi="Times New Roman" w:cs="Times New Roman"/>
        </w:rPr>
        <w:t xml:space="preserve">, pelo que passa a aduzir: </w:t>
      </w:r>
    </w:p>
    <w:p w14:paraId="418A8C82" w14:textId="7B78329A" w:rsidR="00D83786" w:rsidRPr="00D83786" w:rsidRDefault="00D83786" w:rsidP="00D83786">
      <w:pPr>
        <w:ind w:right="-568"/>
        <w:jc w:val="both"/>
        <w:rPr>
          <w:rFonts w:ascii="Times New Roman" w:hAnsi="Times New Roman" w:cs="Times New Roman"/>
        </w:rPr>
      </w:pPr>
      <w:r w:rsidRPr="00D83786">
        <w:rPr>
          <w:rFonts w:ascii="Times New Roman" w:hAnsi="Times New Roman" w:cs="Times New Roman"/>
        </w:rPr>
        <w:t xml:space="preserve">A apelante manifesta expressamente sua oposição ao julgamento em sessão virtual, por entender que a natureza da controvérsia recomenda apreciação em sessão presencial, possibilitando o pleno exercício das prerrogativas processuais, especialmente a realização de sustentação </w:t>
      </w:r>
      <w:proofErr w:type="gramStart"/>
      <w:r w:rsidRPr="00D83786">
        <w:rPr>
          <w:rFonts w:ascii="Times New Roman" w:hAnsi="Times New Roman" w:cs="Times New Roman"/>
        </w:rPr>
        <w:t>oral[</w:t>
      </w:r>
      <w:proofErr w:type="gramEnd"/>
      <w:r w:rsidRPr="00D83786">
        <w:rPr>
          <w:rFonts w:ascii="Times New Roman" w:hAnsi="Times New Roman" w:cs="Times New Roman"/>
        </w:rPr>
        <w:t>RITJSC, art. 142-M, I]</w:t>
      </w:r>
      <w:r>
        <w:rPr>
          <w:rStyle w:val="Refdenotaderodap"/>
          <w:rFonts w:ascii="Times New Roman" w:hAnsi="Times New Roman" w:cs="Times New Roman"/>
        </w:rPr>
        <w:footnoteReference w:id="1"/>
      </w:r>
      <w:r w:rsidRPr="00D83786">
        <w:rPr>
          <w:rFonts w:ascii="Times New Roman" w:hAnsi="Times New Roman" w:cs="Times New Roman"/>
        </w:rPr>
        <w:t>.</w:t>
      </w:r>
    </w:p>
    <w:p w14:paraId="759BAA54" w14:textId="38387B65" w:rsidR="00D83786" w:rsidRPr="00D83786" w:rsidRDefault="00D83786" w:rsidP="00D8378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D83786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D83786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D83786">
        <w:rPr>
          <w:rFonts w:ascii="Times New Roman" w:hAnsi="Times New Roman" w:cs="Times New Roman"/>
        </w:rPr>
        <w:t>, requer seja incluído o processo em pauta para julgamento presencial, dispondo ao causídico signatário o prazo legal/regimental para proceder sua inscrição [RITSC, art. 176]</w:t>
      </w:r>
      <w:r>
        <w:rPr>
          <w:rStyle w:val="Refdenotaderodap"/>
          <w:rFonts w:ascii="Times New Roman" w:hAnsi="Times New Roman" w:cs="Times New Roman"/>
        </w:rPr>
        <w:footnoteReference w:id="2"/>
      </w:r>
      <w:r w:rsidRPr="00D83786">
        <w:rPr>
          <w:rFonts w:ascii="Times New Roman" w:hAnsi="Times New Roman" w:cs="Times New Roman"/>
        </w:rPr>
        <w:t>.</w:t>
      </w:r>
    </w:p>
    <w:p w14:paraId="56EE798F" w14:textId="7DEA6034" w:rsidR="00D83786" w:rsidRPr="00D83786" w:rsidRDefault="00D83786" w:rsidP="00D83786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D83786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D83786">
        <w:rPr>
          <w:rFonts w:ascii="Times New Roman" w:hAnsi="Times New Roman" w:cs="Times New Roman"/>
        </w:rPr>
        <w:t xml:space="preserve"> Deferimento.</w:t>
      </w:r>
    </w:p>
    <w:p w14:paraId="3DF928F1" w14:textId="1A4B9A4B" w:rsidR="00D83786" w:rsidRDefault="00D83786" w:rsidP="00D83786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608DB694" w14:textId="007AEF45" w:rsidR="00D83786" w:rsidRPr="00D83786" w:rsidRDefault="00D83786" w:rsidP="00D83786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D83786" w:rsidRPr="00D837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69F5F" w14:textId="77777777" w:rsidR="00C60324" w:rsidRDefault="00C60324" w:rsidP="00D83786">
      <w:pPr>
        <w:spacing w:after="0" w:line="240" w:lineRule="auto"/>
      </w:pPr>
      <w:r>
        <w:separator/>
      </w:r>
    </w:p>
  </w:endnote>
  <w:endnote w:type="continuationSeparator" w:id="0">
    <w:p w14:paraId="20EDA625" w14:textId="77777777" w:rsidR="00C60324" w:rsidRDefault="00C60324" w:rsidP="00D83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DB356" w14:textId="77777777" w:rsidR="00C60324" w:rsidRDefault="00C60324" w:rsidP="00D83786">
      <w:pPr>
        <w:spacing w:after="0" w:line="240" w:lineRule="auto"/>
      </w:pPr>
      <w:r>
        <w:separator/>
      </w:r>
    </w:p>
  </w:footnote>
  <w:footnote w:type="continuationSeparator" w:id="0">
    <w:p w14:paraId="3108658A" w14:textId="77777777" w:rsidR="00C60324" w:rsidRDefault="00C60324" w:rsidP="00D83786">
      <w:pPr>
        <w:spacing w:after="0" w:line="240" w:lineRule="auto"/>
      </w:pPr>
      <w:r>
        <w:continuationSeparator/>
      </w:r>
    </w:p>
  </w:footnote>
  <w:footnote w:id="1">
    <w:p w14:paraId="4D3A45F1" w14:textId="7D5FA1CD" w:rsidR="00D83786" w:rsidRPr="00D83786" w:rsidRDefault="00D83786" w:rsidP="00D83786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D83786">
        <w:rPr>
          <w:rStyle w:val="Refdenotaderodap"/>
          <w:rFonts w:ascii="Times New Roman" w:hAnsi="Times New Roman" w:cs="Times New Roman"/>
        </w:rPr>
        <w:footnoteRef/>
      </w:r>
      <w:r w:rsidRPr="00D83786">
        <w:rPr>
          <w:rFonts w:ascii="Times New Roman" w:hAnsi="Times New Roman" w:cs="Times New Roman"/>
        </w:rPr>
        <w:t xml:space="preserve"> </w:t>
      </w:r>
      <w:r w:rsidRPr="00D83786">
        <w:rPr>
          <w:rFonts w:ascii="Times New Roman" w:hAnsi="Times New Roman" w:cs="Times New Roman"/>
        </w:rPr>
        <w:t>RITJSC, art. 142-M. Não serão julgados na sessão totalmente virtual os processos em que houver: I – objeção a essa forma de julgamento, por qualquer das partes ou do Ministério Público, quando lhe couber intervir como fiscal da ordem jurídica;</w:t>
      </w:r>
    </w:p>
  </w:footnote>
  <w:footnote w:id="2">
    <w:p w14:paraId="69E2A1DD" w14:textId="4992CD6E" w:rsidR="00D83786" w:rsidRPr="00D83786" w:rsidRDefault="00D83786" w:rsidP="00D83786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D83786">
        <w:rPr>
          <w:rStyle w:val="Refdenotaderodap"/>
          <w:rFonts w:ascii="Times New Roman" w:hAnsi="Times New Roman" w:cs="Times New Roman"/>
        </w:rPr>
        <w:footnoteRef/>
      </w:r>
      <w:r w:rsidRPr="00D83786">
        <w:rPr>
          <w:rFonts w:ascii="Times New Roman" w:hAnsi="Times New Roman" w:cs="Times New Roman"/>
        </w:rPr>
        <w:t xml:space="preserve"> </w:t>
      </w:r>
      <w:r w:rsidRPr="00D83786">
        <w:rPr>
          <w:rFonts w:ascii="Times New Roman" w:hAnsi="Times New Roman" w:cs="Times New Roman"/>
        </w:rPr>
        <w:t>RITJSC, art. 176. O advogado, o defensor público ou o procurador poderá inscrever-se para proferir sustentação oral bem como requerer preferência na ordem de julgamento nas sessões presenciais físicas e nas sessões presenciais por videoconferência do Órgão Especial, dos grupos de câmaras, da Seção Criminal e das câmaras do Tribunal de Justiça, exclusivamente no sistema informatizado, impreterivelmente até 2 (dois) dias úteis antes da data e hora de início da sessão.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786"/>
    <w:rsid w:val="00C366BA"/>
    <w:rsid w:val="00C60324"/>
    <w:rsid w:val="00D8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D4EE"/>
  <w15:chartTrackingRefBased/>
  <w15:docId w15:val="{76BDCCA6-8783-45ED-B61C-0F8C6ADD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83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83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837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83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837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83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83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83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83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837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83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837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837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8378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837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8378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837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837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83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3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3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83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83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8378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8378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8378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837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8378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83786"/>
    <w:rPr>
      <w:b/>
      <w:bCs/>
      <w:smallCaps/>
      <w:color w:val="2F5496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8378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8378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837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18DE5-5B62-42CF-B399-03322A76A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926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2026-10-06T21:22:00Z</dcterms:created>
  <dcterms:modified xsi:type="dcterms:W3CDTF">2026-10-06T21:27:00Z</dcterms:modified>
</cp:coreProperties>
</file>