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A4B6A" w14:textId="77777777" w:rsidR="00A64CE9" w:rsidRPr="00A64CE9" w:rsidRDefault="00A64CE9" w:rsidP="00A64CE9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A64CE9">
        <w:rPr>
          <w:rFonts w:ascii="Arial Black" w:hAnsi="Arial Black" w:cs="Times New Roman"/>
        </w:rPr>
        <w:t>MODELO DE PETIÇÃO</w:t>
      </w:r>
    </w:p>
    <w:p w14:paraId="761C0FCD" w14:textId="77777777" w:rsidR="00A64CE9" w:rsidRPr="00A64CE9" w:rsidRDefault="00A64CE9" w:rsidP="00A64CE9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A64CE9">
        <w:rPr>
          <w:rFonts w:ascii="Arial Black" w:hAnsi="Arial Black" w:cs="Times New Roman"/>
        </w:rPr>
        <w:t>ALEGAÇÕES FINAIS POR ESCRITO. INDISPENSABILIDADE.</w:t>
      </w:r>
    </w:p>
    <w:p w14:paraId="2D9713B3" w14:textId="77777777" w:rsidR="00A64CE9" w:rsidRPr="00A64CE9" w:rsidRDefault="00A64CE9" w:rsidP="00A64CE9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A64CE9">
        <w:rPr>
          <w:rFonts w:ascii="Arial Black" w:hAnsi="Arial Black" w:cs="Times New Roman"/>
        </w:rPr>
        <w:t>OPORTUNIDADE DEPOIS DE ENCERRADA A INSTRUÇÃO.</w:t>
      </w:r>
    </w:p>
    <w:p w14:paraId="17DB86FB" w14:textId="77777777" w:rsidR="00A64CE9" w:rsidRPr="00A64CE9" w:rsidRDefault="00A64CE9" w:rsidP="00A64CE9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A64CE9">
        <w:rPr>
          <w:rFonts w:ascii="Arial Black" w:hAnsi="Arial Black" w:cs="Times New Roman"/>
        </w:rPr>
        <w:t>MINISTÉRIO PÚBLICO. PRAZO EM DOBRO. PETIÇÃO</w:t>
      </w:r>
    </w:p>
    <w:p w14:paraId="5BD61390" w14:textId="77777777" w:rsidR="00A64CE9" w:rsidRPr="00A64CE9" w:rsidRDefault="00A64CE9" w:rsidP="00A64CE9">
      <w:pPr>
        <w:spacing w:after="0" w:line="240" w:lineRule="auto"/>
        <w:ind w:right="-567"/>
        <w:jc w:val="right"/>
        <w:rPr>
          <w:rFonts w:ascii="Times New Roman" w:hAnsi="Times New Roman" w:cs="Times New Roman"/>
        </w:rPr>
      </w:pPr>
      <w:r w:rsidRPr="00A64CE9">
        <w:rPr>
          <w:rFonts w:ascii="Arial Black" w:hAnsi="Arial Black" w:cs="Times New Roman"/>
        </w:rPr>
        <w:t>Rénan Kfuri Lopes</w:t>
      </w:r>
    </w:p>
    <w:p w14:paraId="3EB966FC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</w:p>
    <w:p w14:paraId="69B0AC0F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</w:p>
    <w:p w14:paraId="36171963" w14:textId="77777777" w:rsid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da Fazenda Pública e Autarquias da Comarca de ...</w:t>
      </w:r>
    </w:p>
    <w:p w14:paraId="39C74011" w14:textId="53882191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A64CE9">
        <w:rPr>
          <w:rFonts w:ascii="Times New Roman" w:hAnsi="Times New Roman" w:cs="Times New Roman"/>
        </w:rPr>
        <w:t>PJe</w:t>
      </w:r>
      <w:proofErr w:type="spellEnd"/>
      <w:r w:rsidRPr="00A64CE9">
        <w:rPr>
          <w:rFonts w:ascii="Times New Roman" w:hAnsi="Times New Roman" w:cs="Times New Roman"/>
        </w:rPr>
        <w:t xml:space="preserve"> NU </w:t>
      </w:r>
      <w:r>
        <w:rPr>
          <w:rFonts w:ascii="Times New Roman" w:hAnsi="Times New Roman" w:cs="Times New Roman"/>
        </w:rPr>
        <w:t>...</w:t>
      </w:r>
    </w:p>
    <w:p w14:paraId="2BF197EE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Ação Civil de Improbidade Administrativa</w:t>
      </w:r>
    </w:p>
    <w:p w14:paraId="4F29A661" w14:textId="6DD550FE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A64CE9">
        <w:rPr>
          <w:rFonts w:ascii="Times New Roman" w:hAnsi="Times New Roman" w:cs="Times New Roman"/>
        </w:rPr>
        <w:t xml:space="preserve">, litisconsorte passivo, por seus advogados </w:t>
      </w:r>
      <w:r w:rsidRPr="00A64CE9">
        <w:rPr>
          <w:rFonts w:ascii="Times New Roman" w:hAnsi="Times New Roman" w:cs="Times New Roman"/>
          <w:i/>
          <w:iCs/>
        </w:rPr>
        <w:t>in fine</w:t>
      </w:r>
      <w:r w:rsidRPr="00A64CE9">
        <w:rPr>
          <w:rFonts w:ascii="Times New Roman" w:hAnsi="Times New Roman" w:cs="Times New Roman"/>
        </w:rPr>
        <w:t xml:space="preserve"> assinados, nos autos epigrafados da Ação Civil de Improbidade Administrativa promovida pelo MINISTÉRIO PÚBLICO DO ESTADO DE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>, vem, respeitosamente, aduzir o que se segue:</w:t>
      </w:r>
    </w:p>
    <w:p w14:paraId="282B8BF1" w14:textId="1BF14A3D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A64CE9">
        <w:rPr>
          <w:rFonts w:ascii="Times New Roman" w:hAnsi="Times New Roman" w:cs="Times New Roman"/>
          <w:i/>
          <w:iCs/>
        </w:rPr>
        <w:t>venia</w:t>
      </w:r>
      <w:proofErr w:type="spellEnd"/>
      <w:r w:rsidRPr="00A64CE9">
        <w:rPr>
          <w:rFonts w:ascii="Times New Roman" w:hAnsi="Times New Roman" w:cs="Times New Roman"/>
        </w:rPr>
        <w:t xml:space="preserve">, indubitavelmente haverão de ser CONHECIDOS e ACOLHIDOS os embargos de declaração aviados por </w:t>
      </w:r>
      <w:r>
        <w:rPr>
          <w:rFonts w:ascii="Times New Roman" w:hAnsi="Times New Roman" w:cs="Times New Roman"/>
        </w:rPr>
        <w:t>..</w:t>
      </w:r>
      <w:r w:rsidRPr="00A64CE9">
        <w:rPr>
          <w:rFonts w:ascii="Times New Roman" w:hAnsi="Times New Roman" w:cs="Times New Roman"/>
        </w:rPr>
        <w:t>.</w:t>
      </w:r>
    </w:p>
    <w:p w14:paraId="2433B974" w14:textId="126DAE90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 xml:space="preserve">De pronto há de ser realçado que o ora peticionário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 xml:space="preserve"> já houvera por ocasião da petição do Id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>, pleiteado que quando do encerramento da instrução as alegações finais fossem realizadas por escrito em virtude da complexidade da matéria e da vasta gama documental carreada ao feito.</w:t>
      </w:r>
    </w:p>
    <w:p w14:paraId="104D1678" w14:textId="1A2B5672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 xml:space="preserve">O dispositivo do Código de Processo Civil que trata das alegações finais é o art. 364, </w:t>
      </w:r>
      <w:r w:rsidRPr="00A64CE9">
        <w:rPr>
          <w:rFonts w:ascii="Times New Roman" w:hAnsi="Times New Roman" w:cs="Times New Roman"/>
          <w:i/>
          <w:iCs/>
        </w:rPr>
        <w:t xml:space="preserve">caput </w:t>
      </w:r>
      <w:r w:rsidRPr="00A64CE9">
        <w:rPr>
          <w:rFonts w:ascii="Times New Roman" w:hAnsi="Times New Roman" w:cs="Times New Roman"/>
        </w:rPr>
        <w:t>prescreve a norma cogente que após o encerramento da instrução probatória “</w:t>
      </w:r>
      <w:r w:rsidRPr="00A64CE9">
        <w:rPr>
          <w:rFonts w:ascii="Times New Roman" w:hAnsi="Times New Roman" w:cs="Times New Roman"/>
          <w:i/>
          <w:iCs/>
        </w:rPr>
        <w:t>o juiz DARÁ [</w:t>
      </w:r>
      <w:proofErr w:type="spellStart"/>
      <w:r w:rsidRPr="00A64CE9">
        <w:rPr>
          <w:rFonts w:ascii="Times New Roman" w:hAnsi="Times New Roman" w:cs="Times New Roman"/>
          <w:i/>
          <w:iCs/>
        </w:rPr>
        <w:t>ius</w:t>
      </w:r>
      <w:proofErr w:type="spellEnd"/>
      <w:r w:rsidRPr="00A64C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64CE9">
        <w:rPr>
          <w:rFonts w:ascii="Times New Roman" w:hAnsi="Times New Roman" w:cs="Times New Roman"/>
          <w:i/>
          <w:iCs/>
        </w:rPr>
        <w:t>cogens</w:t>
      </w:r>
      <w:proofErr w:type="spellEnd"/>
      <w:r w:rsidRPr="00A64CE9">
        <w:rPr>
          <w:rFonts w:ascii="Times New Roman" w:hAnsi="Times New Roman" w:cs="Times New Roman"/>
          <w:i/>
          <w:iCs/>
        </w:rPr>
        <w:t>] a palavra do autor e do réu, bem como ao membro do Ministério Público, se for o caso de sua intervenção, sucessivamente, pelo prazo legal de 10 (dez) minutos, a critério do juiz</w:t>
      </w:r>
      <w:r w:rsidRPr="00A64CE9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.</w:t>
      </w:r>
    </w:p>
    <w:p w14:paraId="0E99C81A" w14:textId="1956FAE9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 xml:space="preserve">E o § 2º do mesmo dispositivo, prevê que </w:t>
      </w:r>
      <w:r w:rsidRPr="00A64CE9">
        <w:rPr>
          <w:rFonts w:ascii="Times New Roman" w:hAnsi="Times New Roman" w:cs="Times New Roman"/>
          <w:i/>
          <w:iCs/>
        </w:rPr>
        <w:t>“quando a causa apresentar questões complexas de fato ou de direito, o debate oral poderá ser substituído por razões finais escritas</w:t>
      </w:r>
      <w:r w:rsidRPr="00A64CE9">
        <w:rPr>
          <w:rFonts w:ascii="Times New Roman" w:hAnsi="Times New Roman" w:cs="Times New Roman"/>
        </w:rPr>
        <w:t>”:</w:t>
      </w:r>
    </w:p>
    <w:p w14:paraId="3C9E3F59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64CE9">
        <w:rPr>
          <w:rFonts w:ascii="Times New Roman" w:hAnsi="Times New Roman" w:cs="Times New Roman"/>
          <w:i/>
          <w:iCs/>
        </w:rPr>
        <w:t>Art. 364. Finda a instrução, o juiz dará a palavra ao advogado do autor e do réu, bem como ao membro do Ministério Público, se for o caso de sua intervenção, sucessivamente, pelo prazo de 20 (vinte) minutos para cada um, prorrogável por 10 (dez) minutos, a critério do juiz.</w:t>
      </w:r>
    </w:p>
    <w:p w14:paraId="1DF11220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64CE9">
        <w:rPr>
          <w:rFonts w:ascii="Times New Roman" w:hAnsi="Times New Roman" w:cs="Times New Roman"/>
          <w:i/>
          <w:iCs/>
        </w:rPr>
        <w:t>§1º. Havendo litisconsorte ou terceiro interveniente, o prazo, que formará com o da prorrogação um só todo, dividir-se-á entre os do mesmo grupo, se não convencionarem de modo diverso.</w:t>
      </w:r>
    </w:p>
    <w:p w14:paraId="753E4BF3" w14:textId="38E481A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  <w:i/>
          <w:iCs/>
        </w:rPr>
      </w:pPr>
      <w:r w:rsidRPr="00A64CE9">
        <w:rPr>
          <w:rFonts w:ascii="Times New Roman" w:hAnsi="Times New Roman" w:cs="Times New Roman"/>
          <w:i/>
          <w:iCs/>
        </w:rPr>
        <w:t>§2º. Quando a causa apresentar questões complexas de fato ou de direito, o debate oral poderá ser substituído por razões finais escritas, que serão apresentadas pelo autor e pelo réu, bem como pelo Ministério Público, se for o caso de sua intervenção, em prazos sucessivos de 15 (quinze) dias, assegurada vista dos autos.</w:t>
      </w:r>
    </w:p>
    <w:p w14:paraId="71F4989E" w14:textId="77777777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</w:p>
    <w:p w14:paraId="2FA4E964" w14:textId="0CB9ADD0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lastRenderedPageBreak/>
        <w:t xml:space="preserve">Entretanto, </w:t>
      </w:r>
      <w:proofErr w:type="spellStart"/>
      <w:r w:rsidRPr="00A64CE9">
        <w:rPr>
          <w:rFonts w:ascii="Times New Roman" w:hAnsi="Times New Roman" w:cs="Times New Roman"/>
          <w:i/>
          <w:iCs/>
        </w:rPr>
        <w:t>rogata</w:t>
      </w:r>
      <w:proofErr w:type="spellEnd"/>
      <w:r w:rsidRPr="00A64C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A64CE9">
        <w:rPr>
          <w:rFonts w:ascii="Times New Roman" w:hAnsi="Times New Roman" w:cs="Times New Roman"/>
          <w:i/>
          <w:iCs/>
        </w:rPr>
        <w:t>venia</w:t>
      </w:r>
      <w:proofErr w:type="spellEnd"/>
      <w:r w:rsidRPr="00A64CE9">
        <w:rPr>
          <w:rFonts w:ascii="Times New Roman" w:hAnsi="Times New Roman" w:cs="Times New Roman"/>
        </w:rPr>
        <w:t xml:space="preserve">, depois de encerrada a instrução o d. Magistrado no derradeiro despacho do Id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 xml:space="preserve">, deu por encerrada a instrução, sem, contudo, oportunizar às partes apresentarem de forma sucessiva, suas alegações finais como dita o </w:t>
      </w:r>
      <w:r w:rsidRPr="00A64CE9">
        <w:rPr>
          <w:rFonts w:ascii="Times New Roman" w:hAnsi="Times New Roman" w:cs="Times New Roman"/>
          <w:i/>
          <w:iCs/>
        </w:rPr>
        <w:t>caput</w:t>
      </w:r>
      <w:r w:rsidRPr="00A64CE9">
        <w:rPr>
          <w:rFonts w:ascii="Times New Roman" w:hAnsi="Times New Roman" w:cs="Times New Roman"/>
        </w:rPr>
        <w:t xml:space="preserve"> do art. 364 do CPC.</w:t>
      </w:r>
    </w:p>
    <w:p w14:paraId="1182FFB1" w14:textId="4A4DCF6A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Noutra vértice, a matéria discutida, sobremaneira no enfoque fático trouxe consigo significativa complexidade neste volumoso caderno processual, com milhares de folhas, o que se faz pontual e indispensável que as alegações finais sejam produzidas de forma escrita, consoante dicção do § 2º do aludido art. 364 do Digesto Instrumental Civil, como forma de exercício magno do contraditório, nesse sentido, no ponto:</w:t>
      </w:r>
    </w:p>
    <w:p w14:paraId="5659DF49" w14:textId="4EB9BEDB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A64CE9">
        <w:rPr>
          <w:rFonts w:ascii="Times New Roman" w:hAnsi="Times New Roman" w:cs="Times New Roman"/>
          <w:i/>
          <w:iCs/>
        </w:rPr>
        <w:t>APELAÇÃO CÍVEL - AÇÃO COMINATÓRIA APENSADA A OPOSIÇÃO DE TERCEIROS - JULGAMENTO SIMULTÂNEO - PRELIMINARES RECURSAIS - DESERÇÃO - REJEIÇÃO - NULIDADE DA SENTENÇA - MEMORIAL DE RAZÕES FINAIS - OFERECIMENTO NÃO OPORTUNIZADO NA AÇÃO COMINATÓRIA - CERCEAMENTO DE DEFESA CONFIGURADO - FORMALIDADE NECESSÁRIA - ART. 364, § 2º DO CÓDIGO DE PROCESSO CIVIL. Não há falar-se em deserção recursal se o apelante cumpriu, a tempo e modo, a determinação judicial de regularização da interposição da apelação, comprovando nos autos o pagamento do preparo em dobro, na forma prevista no art. 1.007, §2º, do CPC/2015. O art. 364, § 2º do Código de Processo Civil é expresso ao estabelecer a possibilidade de substituição dos debates orais pela apresentação de memoriais, sendo que da leitura do dispositivo se extrai tratar-se de formalidade necessária inerente ao devido processo legal, cuja violação implica cerceamento de defesa e, consequentemente, nulidade da sentença. Não sendo oportunizado às partes, nesta sede de ação cominatória, o oferecimento de razões finais sob a forma de memorial, manifesto é o cerceamento ao direito de defesa, justificando-se o acolhimento da preliminar de nulidade da sentença</w:t>
      </w:r>
      <w:r w:rsidRPr="00A64CE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Pr="00A64CE9">
        <w:rPr>
          <w:rFonts w:ascii="Times New Roman" w:hAnsi="Times New Roman" w:cs="Times New Roman"/>
        </w:rPr>
        <w:t>[</w:t>
      </w:r>
      <w:proofErr w:type="gramEnd"/>
      <w:r w:rsidRPr="00A64CE9">
        <w:rPr>
          <w:rFonts w:ascii="Times New Roman" w:hAnsi="Times New Roman" w:cs="Times New Roman"/>
        </w:rPr>
        <w:t xml:space="preserve">TJMG, Apel. Cível 1.0024.08.264313-1/001, Relator Des. Luciano Pinto, 17ª CÂMARA CÍVEL, </w:t>
      </w:r>
      <w:proofErr w:type="spellStart"/>
      <w:r w:rsidRPr="00A64CE9">
        <w:rPr>
          <w:rFonts w:ascii="Times New Roman" w:hAnsi="Times New Roman" w:cs="Times New Roman"/>
        </w:rPr>
        <w:t>DJe</w:t>
      </w:r>
      <w:proofErr w:type="spellEnd"/>
      <w:r w:rsidRPr="00A64CE9">
        <w:rPr>
          <w:rFonts w:ascii="Times New Roman" w:hAnsi="Times New Roman" w:cs="Times New Roman"/>
        </w:rPr>
        <w:t xml:space="preserve"> 20/11/2019].</w:t>
      </w:r>
    </w:p>
    <w:p w14:paraId="567F0DAC" w14:textId="79F7BBF2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A64CE9">
        <w:rPr>
          <w:rFonts w:ascii="Times New Roman" w:hAnsi="Times New Roman" w:cs="Times New Roman"/>
          <w:i/>
          <w:iCs/>
        </w:rPr>
        <w:t>APELAÇÃO CÍVEL - AÇÃO CIVIL PÚBLICA - IMPROBIDADE ADMINISTRATIVA - ALEGAÇÕES FINAIS ESCRITAS - AUSÊNCIA DE VISTA DOS AUTOS - CPC, ART. 364, §2º - CERCEAMENTO DE DEFESA - RECONHECIMENTO.</w:t>
      </w:r>
      <w:r w:rsidRPr="00A64CE9">
        <w:rPr>
          <w:rFonts w:ascii="Times New Roman" w:hAnsi="Times New Roman" w:cs="Times New Roman"/>
          <w:i/>
          <w:iCs/>
        </w:rPr>
        <w:t xml:space="preserve"> </w:t>
      </w:r>
      <w:r w:rsidRPr="00A64CE9">
        <w:rPr>
          <w:rFonts w:ascii="Times New Roman" w:hAnsi="Times New Roman" w:cs="Times New Roman"/>
          <w:i/>
          <w:iCs/>
        </w:rPr>
        <w:t>- Na hipótese de substituição do debate oral em audiência por razões finais escritas, cada parte terá o prazo de 15 dias para a apresentação de suas alegações, de forma sucessiva, sendo assegurado pela lei processual o direito do autor e réu de ter vista dos autos.</w:t>
      </w:r>
      <w:r w:rsidRPr="00A64CE9">
        <w:rPr>
          <w:rFonts w:ascii="Times New Roman" w:hAnsi="Times New Roman" w:cs="Times New Roman"/>
          <w:i/>
          <w:iCs/>
        </w:rPr>
        <w:t xml:space="preserve"> </w:t>
      </w:r>
      <w:r w:rsidRPr="00A64CE9">
        <w:rPr>
          <w:rFonts w:ascii="Times New Roman" w:hAnsi="Times New Roman" w:cs="Times New Roman"/>
          <w:i/>
          <w:iCs/>
        </w:rPr>
        <w:t>- Não tendo sido regularmente oportunizada às partes a concessão de vista para a apresentação de alegações finais, a prolação de sentença desfavorável ao réu, sem a devida observância do devido processo legal, certamente cerceou seu direito à ampla defesa e ao contraditório.</w:t>
      </w:r>
      <w:r w:rsidRPr="00A64CE9">
        <w:rPr>
          <w:rFonts w:ascii="Times New Roman" w:hAnsi="Times New Roman" w:cs="Times New Roman"/>
          <w:i/>
          <w:iCs/>
        </w:rPr>
        <w:t xml:space="preserve"> </w:t>
      </w:r>
      <w:r w:rsidRPr="00A64CE9">
        <w:rPr>
          <w:rFonts w:ascii="Times New Roman" w:hAnsi="Times New Roman" w:cs="Times New Roman"/>
          <w:i/>
          <w:iCs/>
        </w:rPr>
        <w:t>- Evidenciado o cerceamento do direito de defesa da parte ré, a cassação da sentença é medida que se impõe</w:t>
      </w:r>
      <w:r w:rsidRPr="00A64CE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” </w:t>
      </w:r>
      <w:proofErr w:type="gramStart"/>
      <w:r w:rsidRPr="00A64CE9">
        <w:rPr>
          <w:rFonts w:ascii="Times New Roman" w:hAnsi="Times New Roman" w:cs="Times New Roman"/>
        </w:rPr>
        <w:t>[</w:t>
      </w:r>
      <w:proofErr w:type="gramEnd"/>
      <w:r w:rsidRPr="00A64CE9">
        <w:rPr>
          <w:rFonts w:ascii="Times New Roman" w:hAnsi="Times New Roman" w:cs="Times New Roman"/>
        </w:rPr>
        <w:t xml:space="preserve">TJMG, Apelação Cível 1.0000.17.073053-5/005, Relator Des. Maurício Soares, 3ª CÂMARA CÍVEL, </w:t>
      </w:r>
      <w:proofErr w:type="spellStart"/>
      <w:r w:rsidRPr="00A64CE9">
        <w:rPr>
          <w:rFonts w:ascii="Times New Roman" w:hAnsi="Times New Roman" w:cs="Times New Roman"/>
        </w:rPr>
        <w:t>DJe</w:t>
      </w:r>
      <w:proofErr w:type="spellEnd"/>
      <w:r w:rsidRPr="00A64CE9">
        <w:rPr>
          <w:rFonts w:ascii="Times New Roman" w:hAnsi="Times New Roman" w:cs="Times New Roman"/>
        </w:rPr>
        <w:t xml:space="preserve"> 22/09/2025].</w:t>
      </w:r>
    </w:p>
    <w:p w14:paraId="0B0E64E0" w14:textId="79D39550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A64CE9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A64CE9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A64CE9">
        <w:rPr>
          <w:rFonts w:ascii="Times New Roman" w:hAnsi="Times New Roman" w:cs="Times New Roman"/>
        </w:rPr>
        <w:t>, o ora peticionário requer:</w:t>
      </w:r>
    </w:p>
    <w:p w14:paraId="42408E5C" w14:textId="570FCEAA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a)</w:t>
      </w:r>
      <w:r>
        <w:rPr>
          <w:rFonts w:ascii="Times New Roman" w:hAnsi="Times New Roman" w:cs="Times New Roman"/>
        </w:rPr>
        <w:t xml:space="preserve"> </w:t>
      </w:r>
      <w:r w:rsidRPr="00A64CE9">
        <w:rPr>
          <w:rFonts w:ascii="Times New Roman" w:hAnsi="Times New Roman" w:cs="Times New Roman"/>
        </w:rPr>
        <w:t xml:space="preserve"> SEJAM CONHECIDOS E ACOLHIDOS os embargos aviados no Id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 xml:space="preserve">, superando a omissão apontada quanto à aplicação do art. 364 do CPC, </w:t>
      </w:r>
      <w:r w:rsidRPr="00A64CE9">
        <w:rPr>
          <w:rFonts w:ascii="Times New Roman" w:hAnsi="Times New Roman" w:cs="Times New Roman"/>
          <w:i/>
          <w:iCs/>
        </w:rPr>
        <w:t xml:space="preserve">et </w:t>
      </w:r>
      <w:proofErr w:type="spellStart"/>
      <w:r w:rsidRPr="00A64CE9">
        <w:rPr>
          <w:rFonts w:ascii="Times New Roman" w:hAnsi="Times New Roman" w:cs="Times New Roman"/>
          <w:i/>
          <w:iCs/>
        </w:rPr>
        <w:t>pour</w:t>
      </w:r>
      <w:proofErr w:type="spellEnd"/>
      <w:r w:rsidRPr="00A64CE9">
        <w:rPr>
          <w:rFonts w:ascii="Times New Roman" w:hAnsi="Times New Roman" w:cs="Times New Roman"/>
          <w:i/>
          <w:iCs/>
        </w:rPr>
        <w:t xml:space="preserve"> causae</w:t>
      </w:r>
      <w:r w:rsidRPr="00A64CE9">
        <w:rPr>
          <w:rFonts w:ascii="Times New Roman" w:hAnsi="Times New Roman" w:cs="Times New Roman"/>
        </w:rPr>
        <w:t>, SEJA deferida que as partes apresentem sucessivamente alegações finais por escrito;</w:t>
      </w:r>
    </w:p>
    <w:p w14:paraId="09899959" w14:textId="1634A483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b) </w:t>
      </w:r>
      <w:r w:rsidRPr="00A64CE9">
        <w:rPr>
          <w:rFonts w:ascii="Times New Roman" w:hAnsi="Times New Roman" w:cs="Times New Roman"/>
        </w:rPr>
        <w:t xml:space="preserve">SEJA estabelecido que o primeiro a apresentar suas alegações pelo prazo de 15 [quinze] dias sucessivos, contado em dobro [CPC, art. 180] será o autor/Ministério Público do Estado de </w:t>
      </w:r>
      <w:r>
        <w:rPr>
          <w:rFonts w:ascii="Times New Roman" w:hAnsi="Times New Roman" w:cs="Times New Roman"/>
        </w:rPr>
        <w:t>...</w:t>
      </w:r>
      <w:r w:rsidRPr="00A64CE9">
        <w:rPr>
          <w:rFonts w:ascii="Times New Roman" w:hAnsi="Times New Roman" w:cs="Times New Roman"/>
        </w:rPr>
        <w:t>;</w:t>
      </w:r>
    </w:p>
    <w:p w14:paraId="0CDB0705" w14:textId="13EB41F3" w:rsidR="00A64CE9" w:rsidRPr="00A64CE9" w:rsidRDefault="00A64CE9" w:rsidP="00A64CE9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c) </w:t>
      </w:r>
      <w:r w:rsidRPr="00A64CE9">
        <w:rPr>
          <w:rFonts w:ascii="Times New Roman" w:hAnsi="Times New Roman" w:cs="Times New Roman"/>
        </w:rPr>
        <w:t>SEJA estabelecido que após o autor apresentar suas derradeiras manifestações, em respeito ao princípio da isonomia, SEJA determinado que a ilustrada secretaria intime os corréus para no prazo comum de 15 [quinze] dias apresentem suas alegações finais [CPC, art. 180, § 1º]</w:t>
      </w:r>
      <w:r>
        <w:rPr>
          <w:rStyle w:val="Refdenotaderodap"/>
          <w:rFonts w:ascii="Times New Roman" w:hAnsi="Times New Roman" w:cs="Times New Roman"/>
        </w:rPr>
        <w:footnoteReference w:id="1"/>
      </w:r>
      <w:r w:rsidRPr="00A64CE9">
        <w:rPr>
          <w:rFonts w:ascii="Times New Roman" w:hAnsi="Times New Roman" w:cs="Times New Roman"/>
        </w:rPr>
        <w:t xml:space="preserve">. </w:t>
      </w:r>
    </w:p>
    <w:p w14:paraId="53EB7A1B" w14:textId="4F472D35" w:rsidR="00A64CE9" w:rsidRPr="00A64CE9" w:rsidRDefault="00A64CE9" w:rsidP="00A64CE9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A64CE9">
        <w:rPr>
          <w:rFonts w:ascii="Times New Roman" w:hAnsi="Times New Roman" w:cs="Times New Roman"/>
        </w:rPr>
        <w:t xml:space="preserve"> Deferimento.</w:t>
      </w:r>
    </w:p>
    <w:p w14:paraId="598D056B" w14:textId="5EB99D40" w:rsidR="00A64CE9" w:rsidRDefault="00A64CE9" w:rsidP="00A64CE9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53FB8682" w14:textId="7EA1334D" w:rsidR="00A64CE9" w:rsidRPr="00A64CE9" w:rsidRDefault="00A64CE9" w:rsidP="00A64CE9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dos Advogados)</w:t>
      </w:r>
    </w:p>
    <w:sectPr w:rsidR="00A64CE9" w:rsidRPr="00A64C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3BA7E" w14:textId="77777777" w:rsidR="00280A6D" w:rsidRDefault="00280A6D" w:rsidP="00A64CE9">
      <w:pPr>
        <w:spacing w:after="0" w:line="240" w:lineRule="auto"/>
      </w:pPr>
      <w:r>
        <w:separator/>
      </w:r>
    </w:p>
  </w:endnote>
  <w:endnote w:type="continuationSeparator" w:id="0">
    <w:p w14:paraId="335ABB8A" w14:textId="77777777" w:rsidR="00280A6D" w:rsidRDefault="00280A6D" w:rsidP="00A64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4ACF8" w14:textId="77777777" w:rsidR="00280A6D" w:rsidRDefault="00280A6D" w:rsidP="00A64CE9">
      <w:pPr>
        <w:spacing w:after="0" w:line="240" w:lineRule="auto"/>
      </w:pPr>
      <w:r>
        <w:separator/>
      </w:r>
    </w:p>
  </w:footnote>
  <w:footnote w:type="continuationSeparator" w:id="0">
    <w:p w14:paraId="2A4FE9B5" w14:textId="77777777" w:rsidR="00280A6D" w:rsidRDefault="00280A6D" w:rsidP="00A64CE9">
      <w:pPr>
        <w:spacing w:after="0" w:line="240" w:lineRule="auto"/>
      </w:pPr>
      <w:r>
        <w:continuationSeparator/>
      </w:r>
    </w:p>
  </w:footnote>
  <w:footnote w:id="1">
    <w:p w14:paraId="1B953532" w14:textId="77777777" w:rsidR="00A64CE9" w:rsidRPr="00A64CE9" w:rsidRDefault="00A64CE9" w:rsidP="00A64CE9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A64CE9">
        <w:rPr>
          <w:rStyle w:val="Refdenotaderodap"/>
          <w:rFonts w:ascii="Times New Roman" w:hAnsi="Times New Roman" w:cs="Times New Roman"/>
        </w:rPr>
        <w:footnoteRef/>
      </w:r>
      <w:r w:rsidRPr="00A64CE9">
        <w:rPr>
          <w:rFonts w:ascii="Times New Roman" w:hAnsi="Times New Roman" w:cs="Times New Roman"/>
        </w:rPr>
        <w:t xml:space="preserve"> </w:t>
      </w:r>
      <w:r w:rsidRPr="00A64CE9">
        <w:rPr>
          <w:rFonts w:ascii="Times New Roman" w:hAnsi="Times New Roman" w:cs="Times New Roman"/>
        </w:rPr>
        <w:t>CPC, art. 180. O Ministério Público gozará de prazo em dobro para manifestar-se nos autos, que terá início a partir de sua intimação pessoal, nos termos do art. 183, § 1º.</w:t>
      </w:r>
    </w:p>
    <w:p w14:paraId="46266D19" w14:textId="77777777" w:rsidR="00A64CE9" w:rsidRPr="00A64CE9" w:rsidRDefault="00A64CE9" w:rsidP="00A64CE9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§1º. Findo o prazo para manifestação do Ministério Público sem o oferecimento de parecer, o juiz requisitará os autos e dará andamento ao processo.</w:t>
      </w:r>
    </w:p>
    <w:p w14:paraId="434DC804" w14:textId="4B342735" w:rsidR="00A64CE9" w:rsidRPr="00A64CE9" w:rsidRDefault="00A64CE9" w:rsidP="00A64CE9">
      <w:pPr>
        <w:pStyle w:val="Textodenotaderodap"/>
        <w:ind w:right="-568"/>
        <w:jc w:val="both"/>
        <w:rPr>
          <w:rFonts w:ascii="Times New Roman" w:hAnsi="Times New Roman" w:cs="Times New Roman"/>
        </w:rPr>
      </w:pPr>
      <w:r w:rsidRPr="00A64CE9">
        <w:rPr>
          <w:rFonts w:ascii="Times New Roman" w:hAnsi="Times New Roman" w:cs="Times New Roman"/>
        </w:rPr>
        <w:t>§ 2º Não se aplica o benefício da contagem em dobro quando a lei estabelecer, de forma expressa, prazo próprio para o Ministério Público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647C9"/>
    <w:multiLevelType w:val="hybridMultilevel"/>
    <w:tmpl w:val="159E9F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5069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CE9"/>
    <w:rsid w:val="00280A6D"/>
    <w:rsid w:val="006D3F54"/>
    <w:rsid w:val="00A6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B8F76"/>
  <w15:chartTrackingRefBased/>
  <w15:docId w15:val="{01A1EE53-9435-4351-B15F-02FA26C40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64C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64C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64C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64C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64C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64C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64C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64C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64C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64C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64C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64C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64C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64C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64C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64C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64C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64C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64C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64C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64C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64C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64C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64C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64CE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64C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4C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4C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64CE9"/>
    <w:rPr>
      <w:b/>
      <w:bCs/>
      <w:smallCaps/>
      <w:color w:val="2F5496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64CE9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64CE9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64C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E3D55C-8312-45A4-A5A0-5B8C7DD88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940</Words>
  <Characters>5077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2025-10-14T16:56:00Z</dcterms:created>
  <dcterms:modified xsi:type="dcterms:W3CDTF">2025-10-14T17:04:00Z</dcterms:modified>
</cp:coreProperties>
</file>