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E486C" w14:textId="77777777" w:rsidR="00555BC6" w:rsidRPr="00555BC6" w:rsidRDefault="00555BC6" w:rsidP="00555BC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555BC6">
        <w:rPr>
          <w:rFonts w:ascii="Arial Black" w:hAnsi="Arial Black" w:cs="Times New Roman"/>
        </w:rPr>
        <w:t>MODELO DE PETIÇÃO</w:t>
      </w:r>
    </w:p>
    <w:p w14:paraId="5E1D4D3F" w14:textId="76FABC92" w:rsidR="00555BC6" w:rsidRPr="00555BC6" w:rsidRDefault="00555BC6" w:rsidP="00555BC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555BC6">
        <w:rPr>
          <w:rFonts w:ascii="Arial Black" w:hAnsi="Arial Black" w:cs="Times New Roman"/>
        </w:rPr>
        <w:t>AGRAVO EM RECURSO ESPECIAL. NÃO CONHECIMENTO.</w:t>
      </w:r>
    </w:p>
    <w:p w14:paraId="252946F3" w14:textId="77777777" w:rsidR="00555BC6" w:rsidRPr="00555BC6" w:rsidRDefault="00555BC6" w:rsidP="00555BC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555BC6">
        <w:rPr>
          <w:rFonts w:ascii="Arial Black" w:hAnsi="Arial Black" w:cs="Times New Roman"/>
        </w:rPr>
        <w:t>INOBSERVÂNCIA ART. 343-A DO STJ. MATÉRIA DE FATO. CONTRARRAZÕES</w:t>
      </w:r>
    </w:p>
    <w:p w14:paraId="3B93A2AF" w14:textId="77777777" w:rsidR="00555BC6" w:rsidRPr="00555BC6" w:rsidRDefault="00555BC6" w:rsidP="00555BC6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555BC6">
        <w:rPr>
          <w:rFonts w:ascii="Arial Black" w:hAnsi="Arial Black" w:cs="Times New Roman"/>
        </w:rPr>
        <w:t>Rénan</w:t>
      </w:r>
      <w:proofErr w:type="spellEnd"/>
      <w:r w:rsidRPr="00555BC6">
        <w:rPr>
          <w:rFonts w:ascii="Arial Black" w:hAnsi="Arial Black" w:cs="Times New Roman"/>
        </w:rPr>
        <w:t xml:space="preserve"> </w:t>
      </w:r>
      <w:proofErr w:type="spellStart"/>
      <w:r w:rsidRPr="00555BC6">
        <w:rPr>
          <w:rFonts w:ascii="Arial Black" w:hAnsi="Arial Black" w:cs="Times New Roman"/>
        </w:rPr>
        <w:t>Kfuri</w:t>
      </w:r>
      <w:proofErr w:type="spellEnd"/>
      <w:r w:rsidRPr="00555BC6">
        <w:rPr>
          <w:rFonts w:ascii="Arial Black" w:hAnsi="Arial Black" w:cs="Times New Roman"/>
        </w:rPr>
        <w:t xml:space="preserve"> Lopes</w:t>
      </w:r>
    </w:p>
    <w:p w14:paraId="29D4D537" w14:textId="77777777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</w:p>
    <w:p w14:paraId="162D14AF" w14:textId="77777777" w:rsid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Des. ... – DD Terceiro Vice-Presidente do Egrégio Tribunal de Justiça do Estado de ...</w:t>
      </w:r>
    </w:p>
    <w:p w14:paraId="2CF5FF64" w14:textId="5C880C95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555BC6">
        <w:rPr>
          <w:rFonts w:ascii="Times New Roman" w:hAnsi="Times New Roman" w:cs="Times New Roman"/>
        </w:rPr>
        <w:t>JPe</w:t>
      </w:r>
      <w:proofErr w:type="spellEnd"/>
      <w:r w:rsidRPr="00555B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</w:p>
    <w:p w14:paraId="74537545" w14:textId="6D78593D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TJMG n. </w:t>
      </w:r>
      <w:r>
        <w:rPr>
          <w:rFonts w:ascii="Times New Roman" w:hAnsi="Times New Roman" w:cs="Times New Roman"/>
        </w:rPr>
        <w:t>...</w:t>
      </w:r>
    </w:p>
    <w:p w14:paraId="08FE59F0" w14:textId="529B0119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555BC6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(nome)</w:t>
      </w:r>
      <w:r w:rsidRPr="00555BC6">
        <w:rPr>
          <w:rFonts w:ascii="Times New Roman" w:hAnsi="Times New Roman" w:cs="Times New Roman"/>
        </w:rPr>
        <w:t>, recorridos, pelo comum advogado in fine assinado, nos autos da “</w:t>
      </w:r>
      <w:r w:rsidRPr="00555BC6">
        <w:rPr>
          <w:rFonts w:ascii="Times New Roman" w:hAnsi="Times New Roman" w:cs="Times New Roman"/>
          <w:i/>
          <w:iCs/>
        </w:rPr>
        <w:t>ação reivindicatória</w:t>
      </w:r>
      <w:r w:rsidRPr="00555BC6">
        <w:rPr>
          <w:rFonts w:ascii="Times New Roman" w:hAnsi="Times New Roman" w:cs="Times New Roman"/>
        </w:rPr>
        <w:t>” epigrafada, vêm, respeitosamente, apresentar suas CONTRARRAZÕES AO AGRAVO EM RECURSO ESPECIAL [CPC, art. 1.042, §3º]</w:t>
      </w:r>
      <w:r w:rsidR="003B572E">
        <w:rPr>
          <w:rStyle w:val="Refdenotaderodap"/>
          <w:rFonts w:ascii="Times New Roman" w:hAnsi="Times New Roman" w:cs="Times New Roman"/>
        </w:rPr>
        <w:footnoteReference w:id="1"/>
      </w:r>
      <w:r w:rsidRPr="00555BC6">
        <w:rPr>
          <w:rFonts w:ascii="Times New Roman" w:hAnsi="Times New Roman" w:cs="Times New Roman"/>
        </w:rPr>
        <w:t xml:space="preserve"> interposto por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>, recorrente, pelos fatos e fundamentos jurídicos aduzidos a seguir:</w:t>
      </w:r>
    </w:p>
    <w:p w14:paraId="60AF4A20" w14:textId="35DA5AC3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 xml:space="preserve">SUMÁRIO </w:t>
      </w:r>
    </w:p>
    <w:p w14:paraId="3FBB90AE" w14:textId="77777777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>I– BREVE ESCORÇO</w:t>
      </w:r>
      <w:r w:rsidRPr="00555BC6">
        <w:rPr>
          <w:rFonts w:ascii="Times New Roman" w:hAnsi="Times New Roman" w:cs="Times New Roman"/>
          <w:b/>
          <w:bCs/>
        </w:rPr>
        <w:tab/>
      </w:r>
    </w:p>
    <w:p w14:paraId="19AA41FF" w14:textId="77777777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>II – PRELIMINARES DE NÃO CONHECIMENTO DO AGRAVO</w:t>
      </w:r>
      <w:r w:rsidRPr="00555BC6">
        <w:rPr>
          <w:rFonts w:ascii="Times New Roman" w:hAnsi="Times New Roman" w:cs="Times New Roman"/>
          <w:b/>
          <w:bCs/>
        </w:rPr>
        <w:tab/>
      </w:r>
    </w:p>
    <w:p w14:paraId="33B2A4DC" w14:textId="2C573849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>II –Da inobservância material ao artigo 343-A do RISTJ</w:t>
      </w:r>
    </w:p>
    <w:p w14:paraId="4A387E0F" w14:textId="77777777" w:rsid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>II.1 – Do óbice da Súmula 7/STJ quanto à individualização do imóvel (art. 1.228, CC)</w:t>
      </w:r>
    </w:p>
    <w:p w14:paraId="1D96423D" w14:textId="3F055271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 xml:space="preserve">II.2 – Do óbice da Súmula 7/STJ quanto à posse e à ausência de </w:t>
      </w:r>
      <w:r w:rsidRPr="00555BC6">
        <w:rPr>
          <w:rFonts w:ascii="Times New Roman" w:hAnsi="Times New Roman" w:cs="Times New Roman"/>
          <w:b/>
          <w:bCs/>
          <w:i/>
          <w:iCs/>
        </w:rPr>
        <w:t xml:space="preserve">animus </w:t>
      </w:r>
      <w:proofErr w:type="spellStart"/>
      <w:r w:rsidRPr="00555BC6">
        <w:rPr>
          <w:rFonts w:ascii="Times New Roman" w:hAnsi="Times New Roman" w:cs="Times New Roman"/>
          <w:b/>
          <w:bCs/>
          <w:i/>
          <w:iCs/>
        </w:rPr>
        <w:t>domini</w:t>
      </w:r>
      <w:proofErr w:type="spellEnd"/>
      <w:r w:rsidRPr="00555BC6">
        <w:rPr>
          <w:rFonts w:ascii="Times New Roman" w:hAnsi="Times New Roman" w:cs="Times New Roman"/>
          <w:b/>
          <w:bCs/>
        </w:rPr>
        <w:t>/produtividade [</w:t>
      </w:r>
      <w:proofErr w:type="spellStart"/>
      <w:r w:rsidRPr="00555BC6">
        <w:rPr>
          <w:rFonts w:ascii="Times New Roman" w:hAnsi="Times New Roman" w:cs="Times New Roman"/>
          <w:b/>
          <w:bCs/>
        </w:rPr>
        <w:t>arts</w:t>
      </w:r>
      <w:proofErr w:type="spellEnd"/>
      <w:r w:rsidRPr="00555BC6">
        <w:rPr>
          <w:rFonts w:ascii="Times New Roman" w:hAnsi="Times New Roman" w:cs="Times New Roman"/>
          <w:b/>
          <w:bCs/>
        </w:rPr>
        <w:t>. 1.208 e 1.239, CC]</w:t>
      </w:r>
      <w:r w:rsidRPr="00555BC6">
        <w:rPr>
          <w:rFonts w:ascii="Times New Roman" w:hAnsi="Times New Roman" w:cs="Times New Roman"/>
          <w:b/>
          <w:bCs/>
        </w:rPr>
        <w:tab/>
      </w:r>
    </w:p>
    <w:p w14:paraId="652A874C" w14:textId="77777777" w:rsid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>II.3 – Da impossibilidade de reclassificar reexame de provas como "</w:t>
      </w:r>
      <w:proofErr w:type="spellStart"/>
      <w:r w:rsidRPr="00555BC6">
        <w:rPr>
          <w:rFonts w:ascii="Times New Roman" w:hAnsi="Times New Roman" w:cs="Times New Roman"/>
          <w:b/>
          <w:bCs/>
          <w:i/>
          <w:iCs/>
        </w:rPr>
        <w:t>revaloração</w:t>
      </w:r>
      <w:proofErr w:type="spellEnd"/>
      <w:r w:rsidRPr="00555BC6">
        <w:rPr>
          <w:rFonts w:ascii="Times New Roman" w:hAnsi="Times New Roman" w:cs="Times New Roman"/>
          <w:b/>
          <w:bCs/>
          <w:i/>
          <w:iCs/>
        </w:rPr>
        <w:t xml:space="preserve"> jurídica</w:t>
      </w:r>
      <w:r w:rsidRPr="00555BC6">
        <w:rPr>
          <w:rFonts w:ascii="Times New Roman" w:hAnsi="Times New Roman" w:cs="Times New Roman"/>
          <w:b/>
          <w:bCs/>
        </w:rPr>
        <w:t>"</w:t>
      </w:r>
    </w:p>
    <w:p w14:paraId="1AFF45DE" w14:textId="3762D24C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>III – A CORREÇÃO INTEGRAL DA DECISÃO AGRAVADA</w:t>
      </w:r>
      <w:r w:rsidRPr="00555BC6">
        <w:rPr>
          <w:rFonts w:ascii="Times New Roman" w:hAnsi="Times New Roman" w:cs="Times New Roman"/>
          <w:b/>
          <w:bCs/>
        </w:rPr>
        <w:tab/>
      </w:r>
    </w:p>
    <w:p w14:paraId="4E2818B5" w14:textId="77777777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>III – Da correta aplicação da Súmula 7/STJ pela decisão agravada</w:t>
      </w:r>
      <w:r w:rsidRPr="00555BC6">
        <w:rPr>
          <w:rFonts w:ascii="Times New Roman" w:hAnsi="Times New Roman" w:cs="Times New Roman"/>
          <w:b/>
          <w:bCs/>
        </w:rPr>
        <w:tab/>
      </w:r>
    </w:p>
    <w:p w14:paraId="7348C765" w14:textId="77777777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>IV – DOS PEDIDOS</w:t>
      </w:r>
      <w:r w:rsidRPr="00555BC6">
        <w:rPr>
          <w:rFonts w:ascii="Times New Roman" w:hAnsi="Times New Roman" w:cs="Times New Roman"/>
          <w:b/>
          <w:bCs/>
        </w:rPr>
        <w:tab/>
      </w:r>
    </w:p>
    <w:p w14:paraId="0CDD180A" w14:textId="77777777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 xml:space="preserve">I- BREVE ESCORÇO </w:t>
      </w:r>
    </w:p>
    <w:p w14:paraId="485A747D" w14:textId="291721C3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555BC6">
        <w:rPr>
          <w:rFonts w:ascii="Times New Roman" w:hAnsi="Times New Roman" w:cs="Times New Roman"/>
          <w:b/>
          <w:bCs/>
          <w:i/>
          <w:iCs/>
        </w:rPr>
        <w:t>Ab</w:t>
      </w:r>
      <w:proofErr w:type="spellEnd"/>
      <w:r w:rsidRPr="00555BC6">
        <w:rPr>
          <w:rFonts w:ascii="Times New Roman" w:hAnsi="Times New Roman" w:cs="Times New Roman"/>
          <w:b/>
          <w:bCs/>
          <w:i/>
          <w:iCs/>
        </w:rPr>
        <w:t xml:space="preserve"> initio</w:t>
      </w:r>
      <w:r w:rsidRPr="00555BC6">
        <w:rPr>
          <w:rFonts w:ascii="Times New Roman" w:hAnsi="Times New Roman" w:cs="Times New Roman"/>
        </w:rPr>
        <w:t>, necessária uma breve digressão acerca do percurso deste processado para melhor esclarecimento da verdade real que circunda a controvérsia jurídica artificialmente submetida ao colendo Superior Tribunal de Justiça.</w:t>
      </w:r>
    </w:p>
    <w:p w14:paraId="7508E683" w14:textId="022C1A01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lastRenderedPageBreak/>
        <w:t>Trata-se originalmente de “</w:t>
      </w:r>
      <w:r w:rsidRPr="00555BC6">
        <w:rPr>
          <w:rFonts w:ascii="Times New Roman" w:hAnsi="Times New Roman" w:cs="Times New Roman"/>
          <w:i/>
          <w:iCs/>
        </w:rPr>
        <w:t xml:space="preserve">Ação </w:t>
      </w:r>
      <w:proofErr w:type="spellStart"/>
      <w:r w:rsidRPr="00555BC6">
        <w:rPr>
          <w:rFonts w:ascii="Times New Roman" w:hAnsi="Times New Roman" w:cs="Times New Roman"/>
          <w:i/>
          <w:iCs/>
        </w:rPr>
        <w:t>Reinvindicatória</w:t>
      </w:r>
      <w:proofErr w:type="spellEnd"/>
      <w:r w:rsidRPr="00555BC6">
        <w:rPr>
          <w:rFonts w:ascii="Times New Roman" w:hAnsi="Times New Roman" w:cs="Times New Roman"/>
        </w:rPr>
        <w:t xml:space="preserve">” ajuizada pelos ora agravados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 em face de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, na qual se buscou a imissão dos autores na posse de área de aproximadamente 1.000 m² situada dentro do imóvel de matrícula nº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 do Cartório de Registro de Imóveis de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, </w:t>
      </w:r>
    </w:p>
    <w:p w14:paraId="7180308A" w14:textId="551E8AD7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A </w:t>
      </w:r>
      <w:r w:rsidRPr="00555BC6">
        <w:rPr>
          <w:rFonts w:ascii="Times New Roman" w:hAnsi="Times New Roman" w:cs="Times New Roman"/>
          <w:i/>
          <w:iCs/>
        </w:rPr>
        <w:t>quaestio juris</w:t>
      </w:r>
      <w:r w:rsidRPr="00555BC6">
        <w:rPr>
          <w:rFonts w:ascii="Times New Roman" w:hAnsi="Times New Roman" w:cs="Times New Roman"/>
        </w:rPr>
        <w:t xml:space="preserve"> debatida na fase de conhecimento foi decidida através da v. sentença de procedência, que reconheceu a propriedade dos autores/agravados mediante a matrícula juntada aos autos e afastou a tese de usucapião, por concluir, com base nos depoimentos colhidos, que a posse exercida pela ré/ora agravante tinha origem precária, decorrente de mera permissão do </w:t>
      </w:r>
      <w:proofErr w:type="spellStart"/>
      <w:r w:rsidRPr="00555BC6">
        <w:rPr>
          <w:rFonts w:ascii="Times New Roman" w:hAnsi="Times New Roman" w:cs="Times New Roman"/>
        </w:rPr>
        <w:t>ex-arrendatário</w:t>
      </w:r>
      <w:proofErr w:type="spellEnd"/>
      <w:r w:rsidRPr="00555BC6">
        <w:rPr>
          <w:rFonts w:ascii="Times New Roman" w:hAnsi="Times New Roman" w:cs="Times New Roman"/>
        </w:rPr>
        <w:t>. Além disso, não restou comprovada a exploração produtiva apta a preencher o requisito do art. 1.239 do Código Civil.</w:t>
      </w:r>
    </w:p>
    <w:p w14:paraId="04FAF51E" w14:textId="619C4FCD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Irresignada,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, interpôs apelação, distribuída perante à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ª Câmara Cível do Tribunal de Justiça de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 que negou provimento, rejeitando a preliminar de inépcia/ausência de individualização do imóvel e mantendo, por seus próprios fundamentos fático-probatórios, a conclusão de que a posse era precária e destituída de </w:t>
      </w:r>
      <w:r w:rsidRPr="00555BC6">
        <w:rPr>
          <w:rFonts w:ascii="Times New Roman" w:hAnsi="Times New Roman" w:cs="Times New Roman"/>
          <w:i/>
          <w:iCs/>
        </w:rPr>
        <w:t xml:space="preserve">animus </w:t>
      </w:r>
      <w:proofErr w:type="spellStart"/>
      <w:r w:rsidRPr="00555BC6">
        <w:rPr>
          <w:rFonts w:ascii="Times New Roman" w:hAnsi="Times New Roman" w:cs="Times New Roman"/>
          <w:i/>
          <w:iCs/>
        </w:rPr>
        <w:t>domini</w:t>
      </w:r>
      <w:proofErr w:type="spellEnd"/>
      <w:r w:rsidRPr="00555BC6">
        <w:rPr>
          <w:rFonts w:ascii="Times New Roman" w:hAnsi="Times New Roman" w:cs="Times New Roman"/>
        </w:rPr>
        <w:t xml:space="preserve"> e de caráter produtivo relevante.</w:t>
      </w:r>
    </w:p>
    <w:p w14:paraId="77F12435" w14:textId="44AE5C9E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Embora aviados, foram integralmente rejeitados os embargos declaratórios manejados pelos ora agravantes.</w:t>
      </w:r>
    </w:p>
    <w:p w14:paraId="52D1422A" w14:textId="7023E5E6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Na sequência, a ora agravante interpôs recurso especial, com fundamento no artigo 105, inciso III, alínea "a", da Constituição Federal, alegando violação aos artigos 1.228 e 1.239 do Código Civil</w:t>
      </w:r>
    </w:p>
    <w:p w14:paraId="0DF0CC92" w14:textId="0EA62AE0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O recurso especial foi corretamente inadmitido pela d. Terceira Vice-Presidência do Tribunal de Justiça de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>, que reconheceu inexistir negativa de prestação jurisdicional e, sobretudo, assentou a incidência do óbice da Súmula 7 do Superior Tribunal de Justiça, diante da necessidade de reexame das particularidades do caso concreto, do título judicial, da liquidação e do conjunto fático-probatório.</w:t>
      </w:r>
    </w:p>
    <w:p w14:paraId="07DB4C88" w14:textId="17C7917E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Daí a interposição do presente agravo em recurso especial, por meio do qual a agravante pretende, forçadamente, submeter a controvérsia ao colendo Superior Tribunal de Justiça, muito embora a pretensão recursal esteja aprisionada a matéria eminentemente fático-processual, já soberanamente decidida pela instância ordinária.</w:t>
      </w:r>
    </w:p>
    <w:p w14:paraId="1CEAD07E" w14:textId="59C11C83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Esse o breve escorço necessário.</w:t>
      </w:r>
    </w:p>
    <w:p w14:paraId="67D6E02F" w14:textId="36F29313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>II- PRELIMINARES DE NÃO CONHECIMENTO DO AGRAVO</w:t>
      </w:r>
    </w:p>
    <w:p w14:paraId="33DE2E13" w14:textId="1301018B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 xml:space="preserve">INOBSERVÂNCIA MATERIAL AO ART. 343-A DO RISTJ [EMENDA REGIMENTAL Nº 53/2016] </w:t>
      </w:r>
    </w:p>
    <w:p w14:paraId="6D9A4C44" w14:textId="77777777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>CÂMARA JULGADORA QUE APRECIOU AS QUESTÕES NECESSÁRIAS AO DESLINDE DA CONTROVÉRSIA JURÍDICA SUBMETIDA A JULGAMENTO –</w:t>
      </w:r>
    </w:p>
    <w:p w14:paraId="0EA1E1C1" w14:textId="28A4E978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Conforme se verá exaustivamente a seguir, o agravo em recurso especial interposto é completamente dissociado da realidade do caderno processual. </w:t>
      </w:r>
    </w:p>
    <w:p w14:paraId="307E6C56" w14:textId="77777777" w:rsid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Em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, o Superior Tribunal de Justiça editou a Emenda Regimental nº 53/2026, que inseriu o artigo 343-A no Regimento Interno, com vigência a partir de 1º de julho de 2026, segundo o </w:t>
      </w:r>
      <w:r w:rsidRPr="00555BC6">
        <w:rPr>
          <w:rFonts w:ascii="Times New Roman" w:hAnsi="Times New Roman" w:cs="Times New Roman"/>
        </w:rPr>
        <w:lastRenderedPageBreak/>
        <w:t>qual "</w:t>
      </w:r>
      <w:r w:rsidRPr="00555BC6">
        <w:rPr>
          <w:rFonts w:ascii="Times New Roman" w:hAnsi="Times New Roman" w:cs="Times New Roman"/>
          <w:i/>
          <w:iCs/>
        </w:rPr>
        <w:t>as petições iniciais das ações originárias e os recursos dirigidos ao Superior Tribunal de Justiça deverão conter resumo dos fundamentos de fato e de direito, dos pedidos formulados, do teor das eventuais decisões impugnadas e dos dispositivos legais invocados pelo autor ou pelo recorrente, conforme o caso</w:t>
      </w:r>
      <w:r w:rsidRPr="00555BC6">
        <w:rPr>
          <w:rFonts w:ascii="Times New Roman" w:hAnsi="Times New Roman" w:cs="Times New Roman"/>
        </w:rPr>
        <w:t>".</w:t>
      </w:r>
    </w:p>
    <w:p w14:paraId="6025A941" w14:textId="5EFBFB8D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O Agravo em Recurso Especial foi protocolado em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>, portanto, já sob a integral vigência da nova exigência regimental de modo que a ele se aplica, sem qualquer dúvida, o disposto no artigo 343-A do RISTJ.</w:t>
      </w:r>
    </w:p>
    <w:p w14:paraId="318F033C" w14:textId="4DD3B342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A peça agravante efetivamente contém um tópico nominado "</w:t>
      </w:r>
      <w:r w:rsidRPr="00555BC6">
        <w:rPr>
          <w:rFonts w:ascii="Times New Roman" w:hAnsi="Times New Roman" w:cs="Times New Roman"/>
          <w:i/>
          <w:iCs/>
        </w:rPr>
        <w:t>RESUMO DO RECURSO</w:t>
      </w:r>
      <w:r>
        <w:rPr>
          <w:rFonts w:ascii="Times New Roman" w:hAnsi="Times New Roman" w:cs="Times New Roman"/>
        </w:rPr>
        <w:t>”</w:t>
      </w:r>
      <w:r w:rsidRPr="00555BC6">
        <w:rPr>
          <w:rFonts w:ascii="Times New Roman" w:hAnsi="Times New Roman" w:cs="Times New Roman"/>
        </w:rPr>
        <w:t>, subdividido em:</w:t>
      </w:r>
    </w:p>
    <w:p w14:paraId="567BD1CA" w14:textId="4D90CDF5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a) Identificação da Controvérsia;</w:t>
      </w:r>
    </w:p>
    <w:p w14:paraId="672C06AD" w14:textId="473A07D2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b) Questões Federais Submetidas ao Superior Tribunal de Justiça;</w:t>
      </w:r>
    </w:p>
    <w:p w14:paraId="1F0901F4" w14:textId="184AD8A3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c) Fundamento da Decisão Agravada;</w:t>
      </w:r>
    </w:p>
    <w:p w14:paraId="379C9EB8" w14:textId="0A65946C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d) Razões pelas quais a Decisão deve </w:t>
      </w:r>
      <w:proofErr w:type="gramStart"/>
      <w:r w:rsidRPr="00555BC6">
        <w:rPr>
          <w:rFonts w:ascii="Times New Roman" w:hAnsi="Times New Roman" w:cs="Times New Roman"/>
        </w:rPr>
        <w:t>ser Reformada</w:t>
      </w:r>
      <w:proofErr w:type="gramEnd"/>
    </w:p>
    <w:p w14:paraId="734AC8C5" w14:textId="34156734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Em princípio, portanto, há aparente observância formal à norma regimental.</w:t>
      </w:r>
      <w:r>
        <w:rPr>
          <w:rFonts w:ascii="Times New Roman" w:hAnsi="Times New Roman" w:cs="Times New Roman"/>
        </w:rPr>
        <w:t xml:space="preserve"> </w:t>
      </w:r>
      <w:r w:rsidRPr="00555BC6">
        <w:rPr>
          <w:rFonts w:ascii="Times New Roman" w:hAnsi="Times New Roman" w:cs="Times New Roman"/>
        </w:rPr>
        <w:t>Ocorre que o conteúdo desse resumo não corresponde ao objeto do Agravo, mas sim ao objeto do próprio Recurso Especial inadmitido, incongruência que a própria Agravante reconhece expressamente algumas linhas adiante, no item II de suas razões, intitulado "</w:t>
      </w:r>
      <w:r w:rsidRPr="00555BC6">
        <w:rPr>
          <w:rFonts w:ascii="Times New Roman" w:hAnsi="Times New Roman" w:cs="Times New Roman"/>
          <w:i/>
          <w:iCs/>
        </w:rPr>
        <w:t>Delimitação do Objeto do Agravo</w:t>
      </w:r>
      <w:r w:rsidRPr="00555BC6">
        <w:rPr>
          <w:rFonts w:ascii="Times New Roman" w:hAnsi="Times New Roman" w:cs="Times New Roman"/>
        </w:rPr>
        <w:t>":</w:t>
      </w:r>
    </w:p>
    <w:p w14:paraId="29518EA2" w14:textId="3424F8BA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555BC6">
        <w:rPr>
          <w:rFonts w:ascii="Times New Roman" w:hAnsi="Times New Roman" w:cs="Times New Roman"/>
        </w:rPr>
        <w:t>"</w:t>
      </w:r>
      <w:r w:rsidRPr="00555BC6">
        <w:rPr>
          <w:rFonts w:ascii="Times New Roman" w:hAnsi="Times New Roman" w:cs="Times New Roman"/>
          <w:i/>
          <w:iCs/>
        </w:rPr>
        <w:t xml:space="preserve">O presente Agravo não pretende demonstrar, neste momento, que a recorrente adquiriu a propriedade do imóvel por usucapião ou que a ação reivindicatória deva ser julgada improcedente. Essas matérias constituem objeto do próprio Recurso Especial. (...) </w:t>
      </w:r>
    </w:p>
    <w:p w14:paraId="38D9AB01" w14:textId="77777777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  <w:i/>
          <w:iCs/>
        </w:rPr>
        <w:t>A controvérsia submetida neste Agravo é anterior e mais restrita. Discute-se exclusivamente se a decisão da Terceira Vice-Presidência (...) aplicou corretamente o óbice previsto na Súmula 7 do Superior Tribunal de Justiça (...)</w:t>
      </w:r>
      <w:r w:rsidRPr="00555BC6">
        <w:rPr>
          <w:rFonts w:ascii="Times New Roman" w:hAnsi="Times New Roman" w:cs="Times New Roman"/>
        </w:rPr>
        <w:t>"</w:t>
      </w:r>
    </w:p>
    <w:p w14:paraId="5F306EA3" w14:textId="15CD7402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Se assim for, no resumo apresentado no preâmbulo da peça deveria sintetizar precisamente essa controvérsia processual restrita: a correção, ou não, da aplicação da Súmula 7/STJ pela decisão agravada. Não é isso, contudo, o que se observa.</w:t>
      </w:r>
    </w:p>
    <w:p w14:paraId="12D59770" w14:textId="05E81D17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No tópico "</w:t>
      </w:r>
      <w:r w:rsidRPr="00555BC6">
        <w:rPr>
          <w:rFonts w:ascii="Times New Roman" w:hAnsi="Times New Roman" w:cs="Times New Roman"/>
          <w:i/>
          <w:iCs/>
        </w:rPr>
        <w:t>Questões Federais Submetidas ao Superior Tribunal de Justiça</w:t>
      </w:r>
      <w:r w:rsidRPr="00555BC6">
        <w:rPr>
          <w:rFonts w:ascii="Times New Roman" w:hAnsi="Times New Roman" w:cs="Times New Roman"/>
        </w:rPr>
        <w:t>", a agravante relaciona três perguntas que reproduzem, ipsis litteris, o mérito do próprio Recurso Especial (i) a suficiência da individualização do imóvel [CC, art. 1.228]; (</w:t>
      </w:r>
      <w:proofErr w:type="spellStart"/>
      <w:r w:rsidRPr="00555BC6">
        <w:rPr>
          <w:rFonts w:ascii="Times New Roman" w:hAnsi="Times New Roman" w:cs="Times New Roman"/>
        </w:rPr>
        <w:t>ii</w:t>
      </w:r>
      <w:proofErr w:type="spellEnd"/>
      <w:r w:rsidRPr="00555BC6">
        <w:rPr>
          <w:rFonts w:ascii="Times New Roman" w:hAnsi="Times New Roman" w:cs="Times New Roman"/>
        </w:rPr>
        <w:t>) a possível transmutação da posse [CC, arts.1.208 e 1.239]; (</w:t>
      </w:r>
      <w:proofErr w:type="spellStart"/>
      <w:r w:rsidRPr="00555BC6">
        <w:rPr>
          <w:rFonts w:ascii="Times New Roman" w:hAnsi="Times New Roman" w:cs="Times New Roman"/>
        </w:rPr>
        <w:t>iii</w:t>
      </w:r>
      <w:proofErr w:type="spellEnd"/>
      <w:r w:rsidRPr="00555BC6">
        <w:rPr>
          <w:rFonts w:ascii="Times New Roman" w:hAnsi="Times New Roman" w:cs="Times New Roman"/>
        </w:rPr>
        <w:t>) e o alcance do conceito de produtividade rural, como se essas fossem as questões federais objeto do Agravo, quando, na verdade, constituem o objeto do recurso obstado, cujo conhecimento ainda está em discussão.</w:t>
      </w:r>
    </w:p>
    <w:p w14:paraId="7B08F947" w14:textId="4143B4E8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Essa incongruência entre o resumo apresentado e o objeto efetivamente delimitado por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 frustra a finalidade declarada da norma regimental, que é exatamente permitir a correta e imediata individualização, para fins de triagem e gestão do acervo processual, do que se pretende da Corte em cada petição. </w:t>
      </w:r>
    </w:p>
    <w:p w14:paraId="034BEA25" w14:textId="61D0F9B3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lastRenderedPageBreak/>
        <w:t xml:space="preserve">A agravante trata como matéria própria deste recurso [a admissibilidade] aquilo que, na realidade, pertence ao mérito do Recurso Especial ainda não admitido, </w:t>
      </w:r>
      <w:r>
        <w:rPr>
          <w:rFonts w:ascii="Times New Roman" w:hAnsi="Times New Roman" w:cs="Times New Roman"/>
        </w:rPr>
        <w:t>c</w:t>
      </w:r>
      <w:r w:rsidRPr="00555BC6">
        <w:rPr>
          <w:rFonts w:ascii="Times New Roman" w:hAnsi="Times New Roman" w:cs="Times New Roman"/>
        </w:rPr>
        <w:t>onfusão que, como se demonstrará nos itens seguintes, é o vício de fundo que compromete a integralidade da insurgência.</w:t>
      </w:r>
    </w:p>
    <w:p w14:paraId="7C3ED585" w14:textId="290843D0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>II.1- ÓBICE DA SÚMULA 7/STJ QUANTO À INDIVIDUALIZAÇÃO DO IMÓVEL</w:t>
      </w:r>
    </w:p>
    <w:p w14:paraId="1192390B" w14:textId="77777777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55BC6">
        <w:rPr>
          <w:rFonts w:ascii="Times New Roman" w:hAnsi="Times New Roman" w:cs="Times New Roman"/>
          <w:b/>
          <w:bCs/>
        </w:rPr>
        <w:t>A TESE RECURSAL DEPENDE DO REEXAME FÁTICO-PROBATÓRIO DO PROCESSO DE ORIGEM- IMPOSSIBILIDADE DE RECONSTRUÇÃO DA MOLDURA FÁTICA NESTA QUADRA RECURSAL -</w:t>
      </w:r>
    </w:p>
    <w:p w14:paraId="53A01E42" w14:textId="4B736AA6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Adentrando ao mérito da insurgência recursal, apenas por cautela e superada a premissa anterior de não conhecimento do recurso, a intenção dos agravantes encontra obstáculo absoluto também na Súmula 7 do STJ, </w:t>
      </w:r>
      <w:r w:rsidRPr="00555BC6">
        <w:rPr>
          <w:rFonts w:ascii="Times New Roman" w:hAnsi="Times New Roman" w:cs="Times New Roman"/>
          <w:i/>
          <w:iCs/>
        </w:rPr>
        <w:t xml:space="preserve">in </w:t>
      </w:r>
      <w:proofErr w:type="spellStart"/>
      <w:r w:rsidRPr="00555BC6">
        <w:rPr>
          <w:rFonts w:ascii="Times New Roman" w:hAnsi="Times New Roman" w:cs="Times New Roman"/>
          <w:i/>
          <w:iCs/>
        </w:rPr>
        <w:t>verbis</w:t>
      </w:r>
      <w:proofErr w:type="spellEnd"/>
      <w:r w:rsidRPr="00555BC6">
        <w:rPr>
          <w:rFonts w:ascii="Times New Roman" w:hAnsi="Times New Roman" w:cs="Times New Roman"/>
        </w:rPr>
        <w:t>:</w:t>
      </w:r>
    </w:p>
    <w:p w14:paraId="40B5AAC9" w14:textId="77777777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STJ, Súmula 7. A pretensão de simples reexame de prova não enseja recurso especial.</w:t>
      </w:r>
    </w:p>
    <w:p w14:paraId="1BE6F0CE" w14:textId="25CF40CB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Isso porque, a decisão agravada inadmitiu o Recurso Especial por entender que a tese de violação ao art. 1.228 do Código Civil, ausência de individualização do bem reivindicado, dependeria do reexame do conjunto fático-probatório dos autos, notadamente da suficiência dos registros públicos e da correspondência entre a área registrada e a área ocupada.</w:t>
      </w:r>
    </w:p>
    <w:p w14:paraId="600667CA" w14:textId="529ABC25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A conclusão está correta e deve ser mantida. O acórdão recorrido não decidiu a questão da individualização in abstrato, a partir da simples leitura da petição inicial; decidiu-a a partir do exame do conjunto probatório dos autos, constatando que:</w:t>
      </w:r>
    </w:p>
    <w:p w14:paraId="70C8A618" w14:textId="4FD226CE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"</w:t>
      </w:r>
      <w:r w:rsidRPr="00555BC6">
        <w:rPr>
          <w:rFonts w:ascii="Times New Roman" w:hAnsi="Times New Roman" w:cs="Times New Roman"/>
          <w:i/>
          <w:iCs/>
        </w:rPr>
        <w:t xml:space="preserve">No presente caso, a petição inicial descreve o imóvel de forma detalhada, conforme matrícula nº </w:t>
      </w:r>
      <w:r w:rsidRPr="00555BC6">
        <w:rPr>
          <w:rFonts w:ascii="Times New Roman" w:hAnsi="Times New Roman" w:cs="Times New Roman"/>
          <w:i/>
          <w:iCs/>
        </w:rPr>
        <w:t>...</w:t>
      </w:r>
      <w:r w:rsidRPr="00555BC6">
        <w:rPr>
          <w:rFonts w:ascii="Times New Roman" w:hAnsi="Times New Roman" w:cs="Times New Roman"/>
          <w:i/>
          <w:iCs/>
        </w:rPr>
        <w:t xml:space="preserve"> do CRI de </w:t>
      </w:r>
      <w:r w:rsidRPr="00555BC6">
        <w:rPr>
          <w:rFonts w:ascii="Times New Roman" w:hAnsi="Times New Roman" w:cs="Times New Roman"/>
          <w:i/>
          <w:iCs/>
        </w:rPr>
        <w:t>...</w:t>
      </w:r>
      <w:r w:rsidRPr="00555BC6">
        <w:rPr>
          <w:rFonts w:ascii="Times New Roman" w:hAnsi="Times New Roman" w:cs="Times New Roman"/>
          <w:i/>
          <w:iCs/>
        </w:rPr>
        <w:t>, e delimita o objeto da lide como sendo parte deste imóvel, ocupado indevidamente pela ré. Com efeito, a controvérsia quanto à exata metragem ocupada não compromete a compreensão do objeto da lide, tampouco impede a defesa da ré</w:t>
      </w:r>
      <w:r w:rsidRPr="00555BC6">
        <w:rPr>
          <w:rFonts w:ascii="Times New Roman" w:hAnsi="Times New Roman" w:cs="Times New Roman"/>
        </w:rPr>
        <w:t xml:space="preserve">." [Acórdão da Apelação Cível nº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>]</w:t>
      </w:r>
    </w:p>
    <w:p w14:paraId="337B611E" w14:textId="6FB30551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A conclusão decorreu diretamente da constatação fática, também exposta nas contrarrazões de apelação e nunca infirmada pela agravante, de que ambas as partes descreveram, ao longo de toda a instrução, a mesma área de aproximadamente 1.000 m², situada dentro do imóvel maior de matrícula nº </w:t>
      </w:r>
      <w:r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, sem qualquer divergência que tivesse comprometido o exercício do contraditório. </w:t>
      </w:r>
    </w:p>
    <w:p w14:paraId="64B788B1" w14:textId="41DFF53A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Rever essa conclusão exigiria, necessariamente, reexaminar a própria descrição do imóvel constante da matrícula, cotejá-la com as fotografias, vídeos e depoimentos que instruíram o feito, e reavaliar se a área ocupada pela ré foi, ou não, suficientemente delimitada nos autos.</w:t>
      </w:r>
    </w:p>
    <w:p w14:paraId="609FAB05" w14:textId="47CF9533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É exatamente esse o entendimento consolidado desta Corte Superior, inclusive em precedentes recentíssimos, corretamente invocados na própria decisão agravada, no sentido de que “</w:t>
      </w:r>
      <w:r w:rsidRPr="00555BC6">
        <w:rPr>
          <w:rFonts w:ascii="Times New Roman" w:hAnsi="Times New Roman" w:cs="Times New Roman"/>
          <w:i/>
          <w:iCs/>
        </w:rPr>
        <w:t>a alegação de inépcia da inicial por ausência de individualização do bem implica reexame do conjunto probatório, notadamente quanto à suficiência dos registros públicos e à correspondência entre a área registrada e a ocupada, providência vedada em recurso especial</w:t>
      </w:r>
      <w:r w:rsidRPr="00555BC6">
        <w:rPr>
          <w:rFonts w:ascii="Times New Roman" w:hAnsi="Times New Roman" w:cs="Times New Roman"/>
        </w:rPr>
        <w:t xml:space="preserve">” </w:t>
      </w:r>
      <w:r w:rsidRPr="00555BC6">
        <w:rPr>
          <w:rFonts w:ascii="Times New Roman" w:hAnsi="Times New Roman" w:cs="Times New Roman"/>
        </w:rPr>
        <w:lastRenderedPageBreak/>
        <w:t xml:space="preserve">[STJ, </w:t>
      </w:r>
      <w:proofErr w:type="spellStart"/>
      <w:r w:rsidRPr="00555BC6">
        <w:rPr>
          <w:rFonts w:ascii="Times New Roman" w:hAnsi="Times New Roman" w:cs="Times New Roman"/>
        </w:rPr>
        <w:t>AREsp</w:t>
      </w:r>
      <w:proofErr w:type="spellEnd"/>
      <w:r w:rsidRPr="00555BC6">
        <w:rPr>
          <w:rFonts w:ascii="Times New Roman" w:hAnsi="Times New Roman" w:cs="Times New Roman"/>
        </w:rPr>
        <w:t xml:space="preserve"> n. 2.970.435/MG, </w:t>
      </w:r>
      <w:proofErr w:type="spellStart"/>
      <w:r w:rsidRPr="00555BC6">
        <w:rPr>
          <w:rFonts w:ascii="Times New Roman" w:hAnsi="Times New Roman" w:cs="Times New Roman"/>
        </w:rPr>
        <w:t>Rel</w:t>
      </w:r>
      <w:proofErr w:type="spellEnd"/>
      <w:r w:rsidRPr="00555BC6">
        <w:rPr>
          <w:rFonts w:ascii="Times New Roman" w:hAnsi="Times New Roman" w:cs="Times New Roman"/>
        </w:rPr>
        <w:t xml:space="preserve"> Min. Moura Ribeiro, Terceira Turma, julgado em 17/11/2025].</w:t>
      </w:r>
    </w:p>
    <w:p w14:paraId="478B5527" w14:textId="36D64F33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Não há, portanto, questão federal autônoma a ser dirimida nesse ponto: há, isto sim, discordância da Agravante quanto à valoração das provas realizada pelas instâncias ordinárias, o que não comporta reexame nesta via excepcional.</w:t>
      </w:r>
    </w:p>
    <w:p w14:paraId="091E9282" w14:textId="77777777" w:rsidR="00555BC6" w:rsidRPr="003B572E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B572E">
        <w:rPr>
          <w:rFonts w:ascii="Times New Roman" w:hAnsi="Times New Roman" w:cs="Times New Roman"/>
          <w:b/>
          <w:bCs/>
        </w:rPr>
        <w:t>II.2- A NATUREZA DA POSSE E A AUSÊNCIA DE ANIMUS DOMINI E DE EXPLORAÇÃO PRODUTIVA – MATÉRIA FÁTICA DECIDA COM BASE NA PROVA ORAL</w:t>
      </w:r>
    </w:p>
    <w:p w14:paraId="44518BB0" w14:textId="56A939C2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Da mesma forma, a decisão agravada corretamente inadmitiu o Recurso Especial quanto à alegada transmutação da posse e ao suposto preenchimento dos requisitos da usucapião especial rural, por entender que a revisão dessas conclusões demandaria o reexame do conjunto fático-probatório dos autos.</w:t>
      </w:r>
    </w:p>
    <w:p w14:paraId="664A8526" w14:textId="340F096F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Com efeito, a conclusão de que a posse exercida pela agravante era precária, não decorreu de mera subsunção abstrata dos fatos incontroversos à norma do art. 1.208 do Código Civil. Decorreu, isto sim, da valoração de prova oral especificamente produzida em audiência de instrução, como bem registrou a sentença e reproduziu o acórdão recorrido:</w:t>
      </w:r>
    </w:p>
    <w:p w14:paraId="53E2E629" w14:textId="7120CA7E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"</w:t>
      </w:r>
      <w:r w:rsidRPr="003B572E">
        <w:rPr>
          <w:rFonts w:ascii="Times New Roman" w:hAnsi="Times New Roman" w:cs="Times New Roman"/>
          <w:i/>
          <w:iCs/>
        </w:rPr>
        <w:t xml:space="preserve">Os depoimentos de </w:t>
      </w:r>
      <w:r w:rsidR="003B572E">
        <w:rPr>
          <w:rFonts w:ascii="Times New Roman" w:hAnsi="Times New Roman" w:cs="Times New Roman"/>
          <w:i/>
          <w:iCs/>
        </w:rPr>
        <w:t>...</w:t>
      </w:r>
      <w:r w:rsidRPr="003B572E">
        <w:rPr>
          <w:rFonts w:ascii="Times New Roman" w:hAnsi="Times New Roman" w:cs="Times New Roman"/>
          <w:i/>
          <w:iCs/>
        </w:rPr>
        <w:t xml:space="preserve"> e </w:t>
      </w:r>
      <w:r w:rsidR="003B572E">
        <w:rPr>
          <w:rFonts w:ascii="Times New Roman" w:hAnsi="Times New Roman" w:cs="Times New Roman"/>
          <w:i/>
          <w:iCs/>
        </w:rPr>
        <w:t>...</w:t>
      </w:r>
      <w:r w:rsidRPr="003B572E">
        <w:rPr>
          <w:rFonts w:ascii="Times New Roman" w:hAnsi="Times New Roman" w:cs="Times New Roman"/>
          <w:i/>
          <w:iCs/>
        </w:rPr>
        <w:t xml:space="preserve"> confirmam que a ré ingressou no imóvel por intermédio do Sr. </w:t>
      </w:r>
      <w:r w:rsidR="003B572E">
        <w:rPr>
          <w:rFonts w:ascii="Times New Roman" w:hAnsi="Times New Roman" w:cs="Times New Roman"/>
          <w:i/>
          <w:iCs/>
        </w:rPr>
        <w:t>...</w:t>
      </w:r>
      <w:r w:rsidRPr="003B572E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B572E">
        <w:rPr>
          <w:rFonts w:ascii="Times New Roman" w:hAnsi="Times New Roman" w:cs="Times New Roman"/>
          <w:i/>
          <w:iCs/>
        </w:rPr>
        <w:t>ex-arrendatário</w:t>
      </w:r>
      <w:proofErr w:type="spellEnd"/>
      <w:r w:rsidRPr="003B572E">
        <w:rPr>
          <w:rFonts w:ascii="Times New Roman" w:hAnsi="Times New Roman" w:cs="Times New Roman"/>
          <w:i/>
          <w:iCs/>
        </w:rPr>
        <w:t xml:space="preserve"> da propriedade, sem qualquer autorização direta dos proprietários. João Batista Lima Souza afirmou que, quando o imóvel foi arrendado ao Sr. </w:t>
      </w:r>
      <w:r w:rsidR="003B572E">
        <w:rPr>
          <w:rFonts w:ascii="Times New Roman" w:hAnsi="Times New Roman" w:cs="Times New Roman"/>
          <w:i/>
          <w:iCs/>
        </w:rPr>
        <w:t>...</w:t>
      </w:r>
      <w:r w:rsidRPr="003B572E">
        <w:rPr>
          <w:rFonts w:ascii="Times New Roman" w:hAnsi="Times New Roman" w:cs="Times New Roman"/>
          <w:i/>
          <w:iCs/>
        </w:rPr>
        <w:t xml:space="preserve">, a ré ainda não morava lá e foi levada para o local pelo arrendatário, que era seu empregador (...). Outra comprovação disso é a alegação da ré </w:t>
      </w:r>
      <w:r w:rsidR="003B572E">
        <w:rPr>
          <w:rFonts w:ascii="Times New Roman" w:hAnsi="Times New Roman" w:cs="Times New Roman"/>
          <w:i/>
          <w:iCs/>
        </w:rPr>
        <w:t>...</w:t>
      </w:r>
      <w:r w:rsidRPr="003B572E">
        <w:rPr>
          <w:rFonts w:ascii="Times New Roman" w:hAnsi="Times New Roman" w:cs="Times New Roman"/>
          <w:i/>
          <w:iCs/>
        </w:rPr>
        <w:t xml:space="preserve"> em seu depoimento pessoal, quando disse que foi o Sr. </w:t>
      </w:r>
      <w:r w:rsidR="003B572E">
        <w:rPr>
          <w:rFonts w:ascii="Times New Roman" w:hAnsi="Times New Roman" w:cs="Times New Roman"/>
          <w:i/>
          <w:iCs/>
        </w:rPr>
        <w:t>...</w:t>
      </w:r>
      <w:r w:rsidRPr="003B572E">
        <w:rPr>
          <w:rFonts w:ascii="Times New Roman" w:hAnsi="Times New Roman" w:cs="Times New Roman"/>
          <w:i/>
          <w:iCs/>
        </w:rPr>
        <w:t xml:space="preserve"> quem paga sua conta de energia elétrica</w:t>
      </w:r>
      <w:r w:rsidRPr="00555BC6">
        <w:rPr>
          <w:rFonts w:ascii="Times New Roman" w:hAnsi="Times New Roman" w:cs="Times New Roman"/>
        </w:rPr>
        <w:t>."</w:t>
      </w:r>
    </w:p>
    <w:p w14:paraId="70D73C92" w14:textId="1B7F3DAB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Também a conclusão de ausência de exploração produtiva apta a preencher o requisito do art. 1.239 do Código Civil resultou da apreciação do depoimento pessoal da própria </w:t>
      </w:r>
      <w:r w:rsidR="003B572E"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>/agravante, que admitiu manter apenas pequena criação de galinhas, porcos e horta de subsistência, trabalhando como faxineira fora do imóvel e dos depoimentos testemunhais que confirmaram a ausência de produção significativa no local.</w:t>
      </w:r>
    </w:p>
    <w:p w14:paraId="6209285B" w14:textId="2564A527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Rever essas conclusões demandaria reapreciar o valor probatório dos depoimentos de </w:t>
      </w:r>
      <w:r w:rsidR="003B572E"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, </w:t>
      </w:r>
      <w:r w:rsidR="003B572E"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, </w:t>
      </w:r>
      <w:r w:rsidR="003B572E"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 xml:space="preserve"> e </w:t>
      </w:r>
      <w:r w:rsidR="003B572E"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>, tudo para alcançar conclusão fática diversa daquela a que chegaram as instâncias ordinárias, providência manifestamente incompatível com a via do recurso especial.</w:t>
      </w:r>
      <w:r w:rsidRPr="00555BC6">
        <w:rPr>
          <w:rFonts w:ascii="Times New Roman" w:hAnsi="Times New Roman" w:cs="Times New Roman"/>
        </w:rPr>
        <w:tab/>
      </w:r>
    </w:p>
    <w:p w14:paraId="145E171C" w14:textId="77777777" w:rsidR="00555BC6" w:rsidRPr="003B572E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B572E">
        <w:rPr>
          <w:rFonts w:ascii="Times New Roman" w:hAnsi="Times New Roman" w:cs="Times New Roman"/>
          <w:b/>
          <w:bCs/>
        </w:rPr>
        <w:t>II.3- IMPOSSIBILIDADE DE RECLASSIFICAR O REEXAME DE PROVAS COMO “</w:t>
      </w:r>
      <w:r w:rsidRPr="003B572E">
        <w:rPr>
          <w:rFonts w:ascii="Times New Roman" w:hAnsi="Times New Roman" w:cs="Times New Roman"/>
          <w:b/>
          <w:bCs/>
          <w:i/>
          <w:iCs/>
        </w:rPr>
        <w:t>REVALORAÇÃO JURÍDICA DE FATOS INCONTROVERSOS</w:t>
      </w:r>
      <w:r w:rsidRPr="003B572E">
        <w:rPr>
          <w:rFonts w:ascii="Times New Roman" w:hAnsi="Times New Roman" w:cs="Times New Roman"/>
          <w:b/>
          <w:bCs/>
        </w:rPr>
        <w:t xml:space="preserve">” </w:t>
      </w:r>
    </w:p>
    <w:p w14:paraId="0FB4B6E5" w14:textId="212086E9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Busca a agravante contornar o óbice da Súmula 7/STJ sustentando que aceitaria integralmente as premissas fáticas fixadas pelas instâncias ordinárias, limitando-se a discutir a "</w:t>
      </w:r>
      <w:r w:rsidRPr="003B572E">
        <w:rPr>
          <w:rFonts w:ascii="Times New Roman" w:hAnsi="Times New Roman" w:cs="Times New Roman"/>
          <w:i/>
          <w:iCs/>
        </w:rPr>
        <w:t>consequência jurídica</w:t>
      </w:r>
      <w:r w:rsidRPr="00555BC6">
        <w:rPr>
          <w:rFonts w:ascii="Times New Roman" w:hAnsi="Times New Roman" w:cs="Times New Roman"/>
        </w:rPr>
        <w:t>" que delas se extrai, argumento que, embora tecnicamente sedutor, não resiste ao exame do caso concreto.</w:t>
      </w:r>
    </w:p>
    <w:p w14:paraId="22D9255E" w14:textId="77E465E4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lastRenderedPageBreak/>
        <w:t xml:space="preserve">A distinção entre reexame de provas e </w:t>
      </w:r>
      <w:proofErr w:type="spellStart"/>
      <w:r w:rsidRPr="00555BC6">
        <w:rPr>
          <w:rFonts w:ascii="Times New Roman" w:hAnsi="Times New Roman" w:cs="Times New Roman"/>
        </w:rPr>
        <w:t>revaloração</w:t>
      </w:r>
      <w:proofErr w:type="spellEnd"/>
      <w:r w:rsidRPr="00555BC6">
        <w:rPr>
          <w:rFonts w:ascii="Times New Roman" w:hAnsi="Times New Roman" w:cs="Times New Roman"/>
        </w:rPr>
        <w:t xml:space="preserve"> jurídica de fatos pressupõe que os fatos relevantes estejam efetivamente incontroversos e estabilizados, restando à Corte Superior apenas extrair-lhes a qualificação jurídica correta. Não é essa, contudo, a hipótese dos autos.</w:t>
      </w:r>
    </w:p>
    <w:p w14:paraId="7F7B4722" w14:textId="1025E673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A distinção entre reexame de prova e </w:t>
      </w:r>
      <w:proofErr w:type="spellStart"/>
      <w:r w:rsidRPr="00555BC6">
        <w:rPr>
          <w:rFonts w:ascii="Times New Roman" w:hAnsi="Times New Roman" w:cs="Times New Roman"/>
        </w:rPr>
        <w:t>revaloração</w:t>
      </w:r>
      <w:proofErr w:type="spellEnd"/>
      <w:r w:rsidRPr="00555BC6">
        <w:rPr>
          <w:rFonts w:ascii="Times New Roman" w:hAnsi="Times New Roman" w:cs="Times New Roman"/>
        </w:rPr>
        <w:t xml:space="preserve"> jurídica não pode ser invocada como fórmula destinada a abrir as portas da instância especial sempre que a parte recorrente, insatisfeita com a conclusão adotada pelo Tribunal de origem, atribui ao seu inconformismo a roupagem de questão exclusivamente normativa, </w:t>
      </w:r>
      <w:r w:rsidRPr="003B572E">
        <w:rPr>
          <w:rFonts w:ascii="Times New Roman" w:hAnsi="Times New Roman" w:cs="Times New Roman"/>
          <w:i/>
          <w:iCs/>
        </w:rPr>
        <w:t xml:space="preserve">ad </w:t>
      </w:r>
      <w:proofErr w:type="spellStart"/>
      <w:r w:rsidRPr="003B572E">
        <w:rPr>
          <w:rFonts w:ascii="Times New Roman" w:hAnsi="Times New Roman" w:cs="Times New Roman"/>
          <w:i/>
          <w:iCs/>
        </w:rPr>
        <w:t>illustrandum</w:t>
      </w:r>
      <w:proofErr w:type="spellEnd"/>
      <w:r w:rsidRPr="00555BC6">
        <w:rPr>
          <w:rFonts w:ascii="Times New Roman" w:hAnsi="Times New Roman" w:cs="Times New Roman"/>
        </w:rPr>
        <w:t>:</w:t>
      </w:r>
    </w:p>
    <w:p w14:paraId="352CC851" w14:textId="1C6527BA" w:rsidR="00555BC6" w:rsidRPr="00555BC6" w:rsidRDefault="003B572E" w:rsidP="00555BC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 w:rsidR="00555BC6" w:rsidRPr="00555BC6">
        <w:rPr>
          <w:rFonts w:ascii="Times New Roman" w:hAnsi="Times New Roman" w:cs="Times New Roman"/>
        </w:rPr>
        <w:t>a</w:t>
      </w:r>
      <w:proofErr w:type="gramEnd"/>
      <w:r w:rsidR="00555BC6" w:rsidRPr="00555BC6">
        <w:rPr>
          <w:rFonts w:ascii="Times New Roman" w:hAnsi="Times New Roman" w:cs="Times New Roman"/>
        </w:rPr>
        <w:t xml:space="preserve"> </w:t>
      </w:r>
      <w:proofErr w:type="spellStart"/>
      <w:r w:rsidR="00555BC6" w:rsidRPr="00555BC6">
        <w:rPr>
          <w:rFonts w:ascii="Times New Roman" w:hAnsi="Times New Roman" w:cs="Times New Roman"/>
        </w:rPr>
        <w:t>revaloração</w:t>
      </w:r>
      <w:proofErr w:type="spellEnd"/>
      <w:r w:rsidR="00555BC6" w:rsidRPr="00555BC6">
        <w:rPr>
          <w:rFonts w:ascii="Times New Roman" w:hAnsi="Times New Roman" w:cs="Times New Roman"/>
        </w:rPr>
        <w:t xml:space="preserve"> jurídica pressupõe moldura fática íntegra, estável, completa e incontroversa, isto é, um quadro probatório já definitivamente fixado pela instância ordinária, a partir do qual se possa, sem qualquer retorno ao acervo dos autos, extrair consequência jurídica diversa;</w:t>
      </w:r>
    </w:p>
    <w:p w14:paraId="2DB873D6" w14:textId="1784E063" w:rsidR="00555BC6" w:rsidRPr="00555BC6" w:rsidRDefault="003B572E" w:rsidP="00555BC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 w:rsidR="00555BC6" w:rsidRPr="00555BC6">
        <w:rPr>
          <w:rFonts w:ascii="Times New Roman" w:hAnsi="Times New Roman" w:cs="Times New Roman"/>
        </w:rPr>
        <w:t>não</w:t>
      </w:r>
      <w:proofErr w:type="gramEnd"/>
      <w:r w:rsidR="00555BC6" w:rsidRPr="00555BC6">
        <w:rPr>
          <w:rFonts w:ascii="Times New Roman" w:hAnsi="Times New Roman" w:cs="Times New Roman"/>
        </w:rPr>
        <w:t xml:space="preserve"> se confunde, portanto, com a pretensão de rearranjar os elementos do processo, selecionar trechos isolados da petição inicial, reinterpretar o dispositivo sentencial, confrontá-lo com a fundamentação do julgado, examinar a liquidação, aferir o alcance da perícia e, ao fim, concluir que o Tribunal local teria compreendido equivocadamente a extensão do título judicial.</w:t>
      </w:r>
    </w:p>
    <w:p w14:paraId="35504B71" w14:textId="79F5A676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Ao contrário do que sustenta a agravante, a conclusão de que a posse era precária não resulta de um fato isolado e incontroverso, mas de um juízo de convicção formado a partir da ponderação conjunta de múltiplos elementos</w:t>
      </w:r>
      <w:r w:rsidR="003B572E">
        <w:rPr>
          <w:rFonts w:ascii="Times New Roman" w:hAnsi="Times New Roman" w:cs="Times New Roman"/>
        </w:rPr>
        <w:t xml:space="preserve"> </w:t>
      </w:r>
      <w:r w:rsidRPr="00555BC6">
        <w:rPr>
          <w:rFonts w:ascii="Times New Roman" w:hAnsi="Times New Roman" w:cs="Times New Roman"/>
        </w:rPr>
        <w:t>de prova oral, depoimentos por vezes contraditórios entre si, a credibilidade das testemunhas, a interpretação de trechos do boletim de ocorrência e do depoimento pessoal da própria ré. Esse juízo de convicção é, por definição, obra da valoração da prova, e não simples enquadramento jurídico de fato pacífico.</w:t>
      </w:r>
    </w:p>
    <w:p w14:paraId="78B02C48" w14:textId="7EB67829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 xml:space="preserve">Em suas razões de Recurso Especial, </w:t>
      </w:r>
      <w:r w:rsidR="003B572E">
        <w:rPr>
          <w:rFonts w:ascii="Times New Roman" w:hAnsi="Times New Roman" w:cs="Times New Roman"/>
        </w:rPr>
        <w:t>...</w:t>
      </w:r>
      <w:r w:rsidRPr="00555BC6">
        <w:rPr>
          <w:rFonts w:ascii="Times New Roman" w:hAnsi="Times New Roman" w:cs="Times New Roman"/>
        </w:rPr>
        <w:t>/agravante buscou reinterpretar o valor dos depoimentos, sustentando que "</w:t>
      </w:r>
      <w:r w:rsidRPr="003B572E">
        <w:rPr>
          <w:rFonts w:ascii="Times New Roman" w:hAnsi="Times New Roman" w:cs="Times New Roman"/>
          <w:i/>
          <w:iCs/>
        </w:rPr>
        <w:t>a posse não se dá por mera permissão, como acentuado na sentença e no v. acórdão recorrido</w:t>
      </w:r>
      <w:r w:rsidRPr="00555BC6">
        <w:rPr>
          <w:rFonts w:ascii="Times New Roman" w:hAnsi="Times New Roman" w:cs="Times New Roman"/>
        </w:rPr>
        <w:t>", o que evidencia, à saciedade, que o inconformismo recai exatamente sobre a valoração da prova oral realizada nas instâncias ordinárias, e não sobre a subsunção de fato incontroverso à norma federal.</w:t>
      </w:r>
    </w:p>
    <w:p w14:paraId="3AE330F4" w14:textId="02261370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Nesse contexto, rotular de "</w:t>
      </w:r>
      <w:r w:rsidRPr="003B572E">
        <w:rPr>
          <w:rFonts w:ascii="Times New Roman" w:hAnsi="Times New Roman" w:cs="Times New Roman"/>
          <w:i/>
          <w:iCs/>
        </w:rPr>
        <w:t>questão jurídica</w:t>
      </w:r>
      <w:r w:rsidRPr="00555BC6">
        <w:rPr>
          <w:rFonts w:ascii="Times New Roman" w:hAnsi="Times New Roman" w:cs="Times New Roman"/>
        </w:rPr>
        <w:t>" o que efetivamente constitui discordância quanto à prova produzida não afasta a incidência da Súmula 7/STJ, pelo contrário, apenas confirma.</w:t>
      </w:r>
    </w:p>
    <w:p w14:paraId="38D9E45F" w14:textId="77777777" w:rsidR="00555BC6" w:rsidRPr="003B572E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B572E">
        <w:rPr>
          <w:rFonts w:ascii="Times New Roman" w:hAnsi="Times New Roman" w:cs="Times New Roman"/>
          <w:b/>
          <w:bCs/>
        </w:rPr>
        <w:t xml:space="preserve">III- A CORREÇÃO INTEGRAL DA DECISÃO AGRAVADA - CORRETA APLICAÇÃO DA SÚMULA 7/STJ </w:t>
      </w:r>
    </w:p>
    <w:p w14:paraId="14418005" w14:textId="09C47407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A decisão agravada não se limitou a invocar genericamente a Súmula 7/STJ: identificou, com precisão, que tanto a tese de ausência de individualização do imóvel quanto a tese de transmutação da posse foram decididas pelo Tribunal de origem com apoio direto no conjunto probatório produzido, a matrícula do imóvel, os depoimentos colhidos em audiência de instrução e as declarações prestadas perante a autoridade policial, do que resulta a inviabilidade de sua reapreciação nesta via excepcional.</w:t>
      </w:r>
    </w:p>
    <w:p w14:paraId="62D03858" w14:textId="50A3D6D5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Não há, portanto, qualquer contrariedade a lei federal a ser sanada pelo Superior Tribunal de Justiça: há, isto sim, pretensão de novo julgamento da causa com base em reapreciação de prova, o que é estranho à função constitucional do recurso especial, prevista no artigo 105, inciso III, da Constituição Federal.</w:t>
      </w:r>
    </w:p>
    <w:p w14:paraId="54E28D18" w14:textId="119E9555" w:rsidR="00555BC6" w:rsidRPr="003B572E" w:rsidRDefault="00555BC6" w:rsidP="00555B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B572E">
        <w:rPr>
          <w:rFonts w:ascii="Times New Roman" w:hAnsi="Times New Roman" w:cs="Times New Roman"/>
          <w:b/>
          <w:bCs/>
        </w:rPr>
        <w:lastRenderedPageBreak/>
        <w:t>IV-</w:t>
      </w:r>
      <w:r w:rsidR="003B572E" w:rsidRPr="003B572E">
        <w:rPr>
          <w:rFonts w:ascii="Times New Roman" w:hAnsi="Times New Roman" w:cs="Times New Roman"/>
          <w:b/>
          <w:bCs/>
        </w:rPr>
        <w:t xml:space="preserve"> </w:t>
      </w:r>
      <w:r w:rsidRPr="003B572E">
        <w:rPr>
          <w:rFonts w:ascii="Times New Roman" w:hAnsi="Times New Roman" w:cs="Times New Roman"/>
          <w:b/>
          <w:bCs/>
        </w:rPr>
        <w:t xml:space="preserve">PEDIDOS </w:t>
      </w:r>
    </w:p>
    <w:p w14:paraId="7FF810F7" w14:textId="0BD38F43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3B572E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3B572E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555BC6">
        <w:rPr>
          <w:rFonts w:ascii="Times New Roman" w:hAnsi="Times New Roman" w:cs="Times New Roman"/>
        </w:rPr>
        <w:t>, os agravados requerem:</w:t>
      </w:r>
    </w:p>
    <w:p w14:paraId="76C6E51E" w14:textId="14533609" w:rsidR="00555BC6" w:rsidRPr="00555BC6" w:rsidRDefault="003B572E" w:rsidP="00555BC6">
      <w:pPr>
        <w:ind w:right="-568"/>
        <w:jc w:val="both"/>
        <w:rPr>
          <w:rFonts w:ascii="Times New Roman" w:hAnsi="Times New Roman" w:cs="Times New Roman"/>
        </w:rPr>
      </w:pPr>
      <w:r w:rsidRPr="003B572E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="00555BC6" w:rsidRPr="003B572E">
        <w:rPr>
          <w:rFonts w:ascii="Times New Roman" w:hAnsi="Times New Roman" w:cs="Times New Roman"/>
        </w:rPr>
        <w:t xml:space="preserve">preliminarmente, o NÃO CONHECIMENTO DO AGRAVO EM RECURSO ESPECIAL, mantendo-se, em consequência, a decisão que inadmitiu o processamento do Recurso Especial nº </w:t>
      </w:r>
      <w:r>
        <w:rPr>
          <w:rFonts w:ascii="Times New Roman" w:hAnsi="Times New Roman" w:cs="Times New Roman"/>
        </w:rPr>
        <w:t>...</w:t>
      </w:r>
      <w:r w:rsidR="00555BC6" w:rsidRPr="003B572E">
        <w:rPr>
          <w:rFonts w:ascii="Times New Roman" w:hAnsi="Times New Roman" w:cs="Times New Roman"/>
        </w:rPr>
        <w:t>, seja em razão da incongruência do resumo apresentado à luz do artigo 343-A do RISTJ quanto ao objeto da presente insurgência, seja, principalmente, por incidir, na integralidade das teses veiculadas, o óbice da Súmula 7 do Superior Tribunal de Justiça;</w:t>
      </w:r>
    </w:p>
    <w:p w14:paraId="7B27E24B" w14:textId="51E88072" w:rsidR="00555BC6" w:rsidRPr="00555BC6" w:rsidRDefault="00555BC6" w:rsidP="00555BC6">
      <w:pPr>
        <w:ind w:right="-568"/>
        <w:jc w:val="both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b)</w:t>
      </w:r>
      <w:r w:rsidR="003B572E">
        <w:rPr>
          <w:rFonts w:ascii="Times New Roman" w:hAnsi="Times New Roman" w:cs="Times New Roman"/>
        </w:rPr>
        <w:t xml:space="preserve"> </w:t>
      </w:r>
      <w:r w:rsidRPr="00555BC6">
        <w:rPr>
          <w:rFonts w:ascii="Times New Roman" w:hAnsi="Times New Roman" w:cs="Times New Roman"/>
        </w:rPr>
        <w:t>adentrando ao mérito, seja NEGADO PROVIMENTO AO AGRAVO EM RECURSO ESPECIAL, tendo em vista óbices sumulares intransponíveis que impedem a análise do recurso especial [STJ, Súmulas 7, 83 e 211 c/c STF, Súmula 284].</w:t>
      </w:r>
    </w:p>
    <w:p w14:paraId="44214FE1" w14:textId="436915EA" w:rsidR="00555BC6" w:rsidRPr="00555BC6" w:rsidRDefault="00555BC6" w:rsidP="003B572E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555BC6">
        <w:rPr>
          <w:rFonts w:ascii="Times New Roman" w:hAnsi="Times New Roman" w:cs="Times New Roman"/>
        </w:rPr>
        <w:t>P</w:t>
      </w:r>
      <w:r w:rsidR="003B572E">
        <w:rPr>
          <w:rFonts w:ascii="Times New Roman" w:hAnsi="Times New Roman" w:cs="Times New Roman"/>
        </w:rPr>
        <w:t>ede</w:t>
      </w:r>
      <w:r w:rsidRPr="00555BC6">
        <w:rPr>
          <w:rFonts w:ascii="Times New Roman" w:hAnsi="Times New Roman" w:cs="Times New Roman"/>
        </w:rPr>
        <w:t xml:space="preserve"> Deferimento.</w:t>
      </w:r>
    </w:p>
    <w:p w14:paraId="164B07D7" w14:textId="330172DB" w:rsidR="00555BC6" w:rsidRDefault="003B572E" w:rsidP="003B572E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6A6DBDBD" w14:textId="1E8B126B" w:rsidR="003B572E" w:rsidRPr="00555BC6" w:rsidRDefault="003B572E" w:rsidP="003B572E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3B572E" w:rsidRPr="00555B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2DF33" w14:textId="77777777" w:rsidR="00CE5AB1" w:rsidRDefault="00CE5AB1" w:rsidP="00555BC6">
      <w:pPr>
        <w:spacing w:after="0" w:line="240" w:lineRule="auto"/>
      </w:pPr>
      <w:r>
        <w:separator/>
      </w:r>
    </w:p>
  </w:endnote>
  <w:endnote w:type="continuationSeparator" w:id="0">
    <w:p w14:paraId="3F50148B" w14:textId="77777777" w:rsidR="00CE5AB1" w:rsidRDefault="00CE5AB1" w:rsidP="0055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EC49E" w14:textId="77777777" w:rsidR="00CE5AB1" w:rsidRDefault="00CE5AB1" w:rsidP="00555BC6">
      <w:pPr>
        <w:spacing w:after="0" w:line="240" w:lineRule="auto"/>
      </w:pPr>
      <w:r>
        <w:separator/>
      </w:r>
    </w:p>
  </w:footnote>
  <w:footnote w:type="continuationSeparator" w:id="0">
    <w:p w14:paraId="6FFB4A86" w14:textId="77777777" w:rsidR="00CE5AB1" w:rsidRDefault="00CE5AB1" w:rsidP="00555BC6">
      <w:pPr>
        <w:spacing w:after="0" w:line="240" w:lineRule="auto"/>
      </w:pPr>
      <w:r>
        <w:continuationSeparator/>
      </w:r>
    </w:p>
  </w:footnote>
  <w:footnote w:id="1">
    <w:p w14:paraId="1F86074F" w14:textId="29B163CA" w:rsidR="003B572E" w:rsidRPr="003B572E" w:rsidRDefault="003B572E" w:rsidP="003B572E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3B572E">
        <w:rPr>
          <w:rStyle w:val="Refdenotaderodap"/>
          <w:rFonts w:ascii="Times New Roman" w:hAnsi="Times New Roman" w:cs="Times New Roman"/>
        </w:rPr>
        <w:footnoteRef/>
      </w:r>
      <w:r w:rsidRPr="003B572E">
        <w:rPr>
          <w:rFonts w:ascii="Times New Roman" w:hAnsi="Times New Roman" w:cs="Times New Roman"/>
        </w:rPr>
        <w:t xml:space="preserve"> </w:t>
      </w:r>
      <w:r w:rsidRPr="003B572E">
        <w:rPr>
          <w:rFonts w:ascii="Times New Roman" w:hAnsi="Times New Roman" w:cs="Times New Roman"/>
        </w:rPr>
        <w:t>CPC, art. 1.042. Cabe agravo contra decisão do presidente ou do vice-presidente do tribunal recorrido que inadmitir recurso extraordinário ou recurso especial, salvo quando fundada na aplicação de entendimento firmado em regime de repercussão geral ou em julgamento de recursos repetitivos...§3º O agravado será intimado, de imediato, para oferecer resposta no prazo de 15 (quinze) dias.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E4437"/>
    <w:multiLevelType w:val="hybridMultilevel"/>
    <w:tmpl w:val="9502D4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320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BC6"/>
    <w:rsid w:val="003B572E"/>
    <w:rsid w:val="00555BC6"/>
    <w:rsid w:val="00CE33CB"/>
    <w:rsid w:val="00CE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0BCC4"/>
  <w15:chartTrackingRefBased/>
  <w15:docId w15:val="{E42C0772-3E7F-4DC8-B532-95D3B1C7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55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55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55B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55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55B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55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55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55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55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55B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55B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55B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55BC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55BC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55B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55B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55B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55B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55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55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55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55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55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55B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55BC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55BC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55B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55BC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55BC6"/>
    <w:rPr>
      <w:b/>
      <w:bCs/>
      <w:smallCaps/>
      <w:color w:val="2F5496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3B572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3B572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B57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BAF83-A631-4123-8FF3-8A3397596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2573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2026-10-02T19:38:00Z</dcterms:created>
  <dcterms:modified xsi:type="dcterms:W3CDTF">2026-10-02T19:57:00Z</dcterms:modified>
</cp:coreProperties>
</file>