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48F12" w14:textId="77777777" w:rsidR="00485471" w:rsidRPr="00485471" w:rsidRDefault="00485471" w:rsidP="00485471">
      <w:pPr>
        <w:spacing w:after="0" w:line="240" w:lineRule="auto"/>
        <w:ind w:right="-567"/>
        <w:jc w:val="center"/>
        <w:rPr>
          <w:rFonts w:ascii="Arial Black" w:hAnsi="Arial Black" w:cs="Times New Roman"/>
        </w:rPr>
      </w:pPr>
      <w:r w:rsidRPr="00485471">
        <w:rPr>
          <w:rFonts w:ascii="Arial Black" w:hAnsi="Arial Black" w:cs="Times New Roman"/>
        </w:rPr>
        <w:t>MODELO DE PETIÇÃO</w:t>
      </w:r>
    </w:p>
    <w:p w14:paraId="55118047" w14:textId="77777777" w:rsidR="00485471" w:rsidRPr="00485471" w:rsidRDefault="00485471" w:rsidP="00485471">
      <w:pPr>
        <w:spacing w:after="0" w:line="240" w:lineRule="auto"/>
        <w:ind w:right="-567"/>
        <w:jc w:val="center"/>
        <w:rPr>
          <w:rFonts w:ascii="Arial Black" w:hAnsi="Arial Black" w:cs="Times New Roman"/>
        </w:rPr>
      </w:pPr>
      <w:r w:rsidRPr="00485471">
        <w:rPr>
          <w:rFonts w:ascii="Arial Black" w:hAnsi="Arial Black" w:cs="Times New Roman"/>
        </w:rPr>
        <w:t>AÇÃO DE RESCISÃO DE CONTRATO. DEVOLUÇÃO IMOBILIÁRIO.</w:t>
      </w:r>
    </w:p>
    <w:p w14:paraId="1B72FC5C" w14:textId="0C5A8440" w:rsidR="00485471" w:rsidRPr="00485471" w:rsidRDefault="00485471" w:rsidP="00485471">
      <w:pPr>
        <w:spacing w:after="0" w:line="240" w:lineRule="auto"/>
        <w:ind w:right="-567"/>
        <w:jc w:val="center"/>
        <w:rPr>
          <w:rFonts w:ascii="Arial Black" w:hAnsi="Arial Black" w:cs="Times New Roman"/>
        </w:rPr>
      </w:pPr>
      <w:r w:rsidRPr="00485471">
        <w:rPr>
          <w:rFonts w:ascii="Arial Black" w:hAnsi="Arial Black" w:cs="Times New Roman"/>
        </w:rPr>
        <w:t>PRECLUSÃO. COISA JULGADA. LIMITES.</w:t>
      </w:r>
    </w:p>
    <w:p w14:paraId="254823B9" w14:textId="07903BBB" w:rsidR="00485471" w:rsidRPr="00485471" w:rsidRDefault="00485471" w:rsidP="00485471">
      <w:pPr>
        <w:spacing w:after="0" w:line="240" w:lineRule="auto"/>
        <w:ind w:right="-567"/>
        <w:jc w:val="center"/>
        <w:rPr>
          <w:rFonts w:ascii="Arial Black" w:hAnsi="Arial Black" w:cs="Times New Roman"/>
        </w:rPr>
      </w:pPr>
      <w:r w:rsidRPr="00485471">
        <w:rPr>
          <w:rFonts w:ascii="Arial Black" w:hAnsi="Arial Black" w:cs="Times New Roman"/>
        </w:rPr>
        <w:t>OBRIGAÇÃO DE DAR COISA CERTA. ENTREGAR BEM MÓVEL.</w:t>
      </w:r>
    </w:p>
    <w:p w14:paraId="5B8F42ED" w14:textId="77777777" w:rsidR="00485471" w:rsidRPr="00485471" w:rsidRDefault="00485471" w:rsidP="00485471">
      <w:pPr>
        <w:spacing w:after="0" w:line="240" w:lineRule="auto"/>
        <w:ind w:right="-567"/>
        <w:jc w:val="center"/>
        <w:rPr>
          <w:rFonts w:ascii="Arial Black" w:hAnsi="Arial Black" w:cs="Times New Roman"/>
        </w:rPr>
      </w:pPr>
      <w:r w:rsidRPr="00485471">
        <w:rPr>
          <w:rFonts w:ascii="Arial Black" w:hAnsi="Arial Black" w:cs="Times New Roman"/>
        </w:rPr>
        <w:t>MULTA DIÁRIA. PETIÇÃO</w:t>
      </w:r>
    </w:p>
    <w:p w14:paraId="22076C52" w14:textId="77777777" w:rsidR="00485471" w:rsidRPr="00485471" w:rsidRDefault="00485471" w:rsidP="00485471">
      <w:pPr>
        <w:spacing w:after="0" w:line="240" w:lineRule="auto"/>
        <w:ind w:right="-567"/>
        <w:jc w:val="right"/>
        <w:rPr>
          <w:rFonts w:ascii="Arial Black" w:hAnsi="Arial Black" w:cs="Times New Roman"/>
        </w:rPr>
      </w:pPr>
      <w:proofErr w:type="spellStart"/>
      <w:r w:rsidRPr="00485471">
        <w:rPr>
          <w:rFonts w:ascii="Arial Black" w:hAnsi="Arial Black" w:cs="Times New Roman"/>
        </w:rPr>
        <w:t>Rénan</w:t>
      </w:r>
      <w:proofErr w:type="spellEnd"/>
      <w:r w:rsidRPr="00485471">
        <w:rPr>
          <w:rFonts w:ascii="Arial Black" w:hAnsi="Arial Black" w:cs="Times New Roman"/>
        </w:rPr>
        <w:t xml:space="preserve"> </w:t>
      </w:r>
      <w:proofErr w:type="spellStart"/>
      <w:r w:rsidRPr="00485471">
        <w:rPr>
          <w:rFonts w:ascii="Arial Black" w:hAnsi="Arial Black" w:cs="Times New Roman"/>
        </w:rPr>
        <w:t>Kfuri</w:t>
      </w:r>
      <w:proofErr w:type="spellEnd"/>
      <w:r w:rsidRPr="00485471">
        <w:rPr>
          <w:rFonts w:ascii="Arial Black" w:hAnsi="Arial Black" w:cs="Times New Roman"/>
        </w:rPr>
        <w:t xml:space="preserve"> Lopes</w:t>
      </w:r>
    </w:p>
    <w:p w14:paraId="11D340B0" w14:textId="77777777" w:rsidR="00485471" w:rsidRPr="00485471" w:rsidRDefault="00485471" w:rsidP="00485471">
      <w:pPr>
        <w:ind w:right="-568"/>
        <w:jc w:val="both"/>
        <w:rPr>
          <w:rFonts w:ascii="Times New Roman" w:hAnsi="Times New Roman" w:cs="Times New Roman"/>
        </w:rPr>
      </w:pPr>
    </w:p>
    <w:p w14:paraId="24D7D26B" w14:textId="77777777" w:rsidR="00485471" w:rsidRDefault="00485471" w:rsidP="00485471">
      <w:pPr>
        <w:ind w:right="-568"/>
        <w:jc w:val="both"/>
        <w:rPr>
          <w:rFonts w:ascii="Times New Roman" w:hAnsi="Times New Roman" w:cs="Times New Roman"/>
        </w:rPr>
      </w:pPr>
      <w:r w:rsidRPr="00485471">
        <w:rPr>
          <w:rFonts w:ascii="Times New Roman" w:hAnsi="Times New Roman" w:cs="Times New Roman"/>
        </w:rPr>
        <w:t>E</w:t>
      </w:r>
      <w:r>
        <w:rPr>
          <w:rFonts w:ascii="Times New Roman" w:hAnsi="Times New Roman" w:cs="Times New Roman"/>
        </w:rPr>
        <w:t>xmo. Sr. Juiz de Direito da ... Vara Cível da Comarca de ...</w:t>
      </w:r>
    </w:p>
    <w:p w14:paraId="251AA35F" w14:textId="5152D925"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Processo n. </w:t>
      </w:r>
      <w:r>
        <w:rPr>
          <w:rFonts w:ascii="Times New Roman" w:hAnsi="Times New Roman" w:cs="Times New Roman"/>
        </w:rPr>
        <w:t>...</w:t>
      </w:r>
      <w:r w:rsidRPr="00485471">
        <w:rPr>
          <w:rFonts w:ascii="Times New Roman" w:hAnsi="Times New Roman" w:cs="Times New Roman"/>
        </w:rPr>
        <w:t xml:space="preserve"> </w:t>
      </w:r>
    </w:p>
    <w:p w14:paraId="09FA2AF6" w14:textId="132A05AC" w:rsidR="00485471" w:rsidRPr="00485471" w:rsidRDefault="00485471" w:rsidP="00485471">
      <w:pPr>
        <w:ind w:right="-568"/>
        <w:jc w:val="both"/>
        <w:rPr>
          <w:rFonts w:ascii="Times New Roman" w:hAnsi="Times New Roman" w:cs="Times New Roman"/>
        </w:rPr>
      </w:pPr>
      <w:r>
        <w:rPr>
          <w:rFonts w:ascii="Times New Roman" w:hAnsi="Times New Roman" w:cs="Times New Roman"/>
        </w:rPr>
        <w:t>(nome)</w:t>
      </w:r>
      <w:r w:rsidRPr="00485471">
        <w:rPr>
          <w:rFonts w:ascii="Times New Roman" w:hAnsi="Times New Roman" w:cs="Times New Roman"/>
        </w:rPr>
        <w:t xml:space="preserve"> e </w:t>
      </w:r>
      <w:r>
        <w:rPr>
          <w:rFonts w:ascii="Times New Roman" w:hAnsi="Times New Roman" w:cs="Times New Roman"/>
        </w:rPr>
        <w:t>(nome)</w:t>
      </w:r>
      <w:r w:rsidRPr="00485471">
        <w:rPr>
          <w:rFonts w:ascii="Times New Roman" w:hAnsi="Times New Roman" w:cs="Times New Roman"/>
        </w:rPr>
        <w:t xml:space="preserve">, autores, pelos comuns advogados </w:t>
      </w:r>
      <w:r w:rsidRPr="00485471">
        <w:rPr>
          <w:rFonts w:ascii="Times New Roman" w:hAnsi="Times New Roman" w:cs="Times New Roman"/>
          <w:i/>
          <w:iCs/>
        </w:rPr>
        <w:t>in fine</w:t>
      </w:r>
      <w:r w:rsidRPr="00485471">
        <w:rPr>
          <w:rFonts w:ascii="Times New Roman" w:hAnsi="Times New Roman" w:cs="Times New Roman"/>
        </w:rPr>
        <w:t xml:space="preserve"> assinados, nos autos da epigrafada “</w:t>
      </w:r>
      <w:r w:rsidRPr="00485471">
        <w:rPr>
          <w:rFonts w:ascii="Times New Roman" w:hAnsi="Times New Roman" w:cs="Times New Roman"/>
          <w:i/>
          <w:iCs/>
        </w:rPr>
        <w:t>Ação de Rescisão de Contrato de Locação c/c Indenização por Danos Materiais e Morais</w:t>
      </w:r>
      <w:r w:rsidRPr="00485471">
        <w:rPr>
          <w:rFonts w:ascii="Times New Roman" w:hAnsi="Times New Roman" w:cs="Times New Roman"/>
        </w:rPr>
        <w:t xml:space="preserve">” promovida contra </w:t>
      </w:r>
      <w:r>
        <w:rPr>
          <w:rFonts w:ascii="Times New Roman" w:hAnsi="Times New Roman" w:cs="Times New Roman"/>
        </w:rPr>
        <w:t>...</w:t>
      </w:r>
      <w:r w:rsidRPr="00485471">
        <w:rPr>
          <w:rFonts w:ascii="Times New Roman" w:hAnsi="Times New Roman" w:cs="Times New Roman"/>
        </w:rPr>
        <w:t xml:space="preserve">, réu, vêm, respeitosamente, em atenção ao despacho do Evento </w:t>
      </w:r>
      <w:r>
        <w:rPr>
          <w:rFonts w:ascii="Times New Roman" w:hAnsi="Times New Roman" w:cs="Times New Roman"/>
        </w:rPr>
        <w:t>...</w:t>
      </w:r>
      <w:r w:rsidRPr="00485471">
        <w:rPr>
          <w:rFonts w:ascii="Times New Roman" w:hAnsi="Times New Roman" w:cs="Times New Roman"/>
        </w:rPr>
        <w:t xml:space="preserve">, aduzir e requerer o que se segue: </w:t>
      </w:r>
    </w:p>
    <w:p w14:paraId="23D9414A" w14:textId="29D08F41" w:rsidR="00485471" w:rsidRPr="00485471" w:rsidRDefault="00485471" w:rsidP="00485471">
      <w:pPr>
        <w:ind w:right="-568"/>
        <w:jc w:val="both"/>
        <w:rPr>
          <w:rFonts w:ascii="Times New Roman" w:hAnsi="Times New Roman" w:cs="Times New Roman"/>
          <w:b/>
          <w:bCs/>
        </w:rPr>
      </w:pPr>
      <w:r w:rsidRPr="00485471">
        <w:rPr>
          <w:rFonts w:ascii="Times New Roman" w:hAnsi="Times New Roman" w:cs="Times New Roman"/>
          <w:b/>
          <w:bCs/>
        </w:rPr>
        <w:t xml:space="preserve">I– BREVE SÍNTESE DO PEDIDO </w:t>
      </w:r>
    </w:p>
    <w:p w14:paraId="08B5B346" w14:textId="3E739B24"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Os Autores ajuizaram a presente demanda em razão da relação locatícia havida com o Réu, envolvendo o imóvel situado na Rua </w:t>
      </w:r>
      <w:r>
        <w:rPr>
          <w:rFonts w:ascii="Times New Roman" w:hAnsi="Times New Roman" w:cs="Times New Roman"/>
        </w:rPr>
        <w:t>...</w:t>
      </w:r>
      <w:r w:rsidRPr="00485471">
        <w:rPr>
          <w:rFonts w:ascii="Times New Roman" w:hAnsi="Times New Roman" w:cs="Times New Roman"/>
        </w:rPr>
        <w:t xml:space="preserve">, n. </w:t>
      </w:r>
      <w:r>
        <w:rPr>
          <w:rFonts w:ascii="Times New Roman" w:hAnsi="Times New Roman" w:cs="Times New Roman"/>
        </w:rPr>
        <w:t>...</w:t>
      </w:r>
      <w:r w:rsidRPr="00485471">
        <w:rPr>
          <w:rFonts w:ascii="Times New Roman" w:hAnsi="Times New Roman" w:cs="Times New Roman"/>
        </w:rPr>
        <w:t xml:space="preserve">, centro, </w:t>
      </w:r>
      <w:r>
        <w:rPr>
          <w:rFonts w:ascii="Times New Roman" w:hAnsi="Times New Roman" w:cs="Times New Roman"/>
        </w:rPr>
        <w:t>...</w:t>
      </w:r>
      <w:r w:rsidRPr="00485471">
        <w:rPr>
          <w:rFonts w:ascii="Times New Roman" w:hAnsi="Times New Roman" w:cs="Times New Roman"/>
        </w:rPr>
        <w:t>/</w:t>
      </w:r>
      <w:r>
        <w:rPr>
          <w:rFonts w:ascii="Times New Roman" w:hAnsi="Times New Roman" w:cs="Times New Roman"/>
        </w:rPr>
        <w:t>...</w:t>
      </w:r>
      <w:r w:rsidRPr="00485471">
        <w:rPr>
          <w:rFonts w:ascii="Times New Roman" w:hAnsi="Times New Roman" w:cs="Times New Roman"/>
        </w:rPr>
        <w:t>, locado para instalação e funcionamento de clínica odontológica.</w:t>
      </w:r>
    </w:p>
    <w:p w14:paraId="6B3C4015" w14:textId="74139ACD"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Atualmente, o processo está em fase de pós-julgamento, tendo retornado das instâncias superiores com decisão de mérito transitada em julgado, a qual reformou a sentença de primeiro grau para julgar improcedentes os pedidos iniciais formulados pelos autores, decisão esta que se tornou definitiva, conforme certificado no Agravo em Recurso Especial.</w:t>
      </w:r>
    </w:p>
    <w:p w14:paraId="4089EB68" w14:textId="7EFD2421"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Na fase de Cumprimento de Sentença, </w:t>
      </w:r>
      <w:r>
        <w:rPr>
          <w:rFonts w:ascii="Times New Roman" w:hAnsi="Times New Roman" w:cs="Times New Roman"/>
        </w:rPr>
        <w:t>...</w:t>
      </w:r>
      <w:r w:rsidRPr="00485471">
        <w:rPr>
          <w:rFonts w:ascii="Times New Roman" w:hAnsi="Times New Roman" w:cs="Times New Roman"/>
        </w:rPr>
        <w:t xml:space="preserve"> e </w:t>
      </w:r>
      <w:r>
        <w:rPr>
          <w:rFonts w:ascii="Times New Roman" w:hAnsi="Times New Roman" w:cs="Times New Roman"/>
        </w:rPr>
        <w:t>...</w:t>
      </w:r>
      <w:r w:rsidRPr="00485471">
        <w:rPr>
          <w:rFonts w:ascii="Times New Roman" w:hAnsi="Times New Roman" w:cs="Times New Roman"/>
        </w:rPr>
        <w:t xml:space="preserve"> peticionaram no Evento </w:t>
      </w:r>
      <w:r>
        <w:rPr>
          <w:rFonts w:ascii="Times New Roman" w:hAnsi="Times New Roman" w:cs="Times New Roman"/>
        </w:rPr>
        <w:t>...</w:t>
      </w:r>
      <w:r w:rsidRPr="00485471">
        <w:rPr>
          <w:rFonts w:ascii="Times New Roman" w:hAnsi="Times New Roman" w:cs="Times New Roman"/>
        </w:rPr>
        <w:t>, em providência de natureza diversa da indenizatória, a intimação do réu para restituir ou permitir a retirada dos móveis planejados que permaneceram no imóvel após a rescisão do contrato, cuja propriedade nunca deixou de lhes pertencer.</w:t>
      </w:r>
    </w:p>
    <w:p w14:paraId="7BBBF80A" w14:textId="062BE3BA"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Este d. juízo, no Evento </w:t>
      </w:r>
      <w:r>
        <w:rPr>
          <w:rFonts w:ascii="Times New Roman" w:hAnsi="Times New Roman" w:cs="Times New Roman"/>
        </w:rPr>
        <w:t>...</w:t>
      </w:r>
      <w:r w:rsidRPr="00485471">
        <w:rPr>
          <w:rFonts w:ascii="Times New Roman" w:hAnsi="Times New Roman" w:cs="Times New Roman"/>
        </w:rPr>
        <w:t xml:space="preserve">, reconheceu </w:t>
      </w:r>
      <w:r w:rsidRPr="00485471">
        <w:rPr>
          <w:rFonts w:ascii="Times New Roman" w:hAnsi="Times New Roman" w:cs="Times New Roman"/>
          <w:i/>
          <w:iCs/>
        </w:rPr>
        <w:t>ipsis litteris</w:t>
      </w:r>
      <w:r w:rsidRPr="00485471">
        <w:rPr>
          <w:rFonts w:ascii="Times New Roman" w:hAnsi="Times New Roman" w:cs="Times New Roman"/>
        </w:rPr>
        <w:t xml:space="preserve"> que:</w:t>
      </w:r>
    </w:p>
    <w:p w14:paraId="0703FD09" w14:textId="376A066E"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w:t>
      </w:r>
      <w:r w:rsidRPr="00485471">
        <w:rPr>
          <w:rFonts w:ascii="Times New Roman" w:hAnsi="Times New Roman" w:cs="Times New Roman"/>
          <w:i/>
          <w:iCs/>
        </w:rPr>
        <w:t>Os autores não buscam a revisão do julgado, mas sim a resolução de uma consequência fática do desfazimento do negócio jurídico: a destinação dos bens móveis de sua propriedade que se encontram no imóvel do réu. A improcedência do pedido de reparação pecuniária não confere ao réu o direito de se apropriar dos bens pertencentes aos autores. Entendimento contrário configuraria evidente enriquecimento sem causa, vedado pelo ordenamento jurídico (art. 884 do Código Civil). O direito de propriedade dos autores sobre os móveis que adquiriram permanece hígido, conforme o art. 1.228 do mesmo diploma</w:t>
      </w:r>
      <w:r w:rsidRPr="00485471">
        <w:rPr>
          <w:rFonts w:ascii="Times New Roman" w:hAnsi="Times New Roman" w:cs="Times New Roman"/>
        </w:rPr>
        <w:t>.” [sic].</w:t>
      </w:r>
    </w:p>
    <w:p w14:paraId="4B630671" w14:textId="0B324CA9"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O réu/</w:t>
      </w:r>
      <w:r>
        <w:rPr>
          <w:rFonts w:ascii="Times New Roman" w:hAnsi="Times New Roman" w:cs="Times New Roman"/>
        </w:rPr>
        <w:t>...</w:t>
      </w:r>
      <w:r w:rsidRPr="00485471">
        <w:rPr>
          <w:rFonts w:ascii="Times New Roman" w:hAnsi="Times New Roman" w:cs="Times New Roman"/>
        </w:rPr>
        <w:t xml:space="preserve">, impugnou o pedido de devolução ou retirada dos móveis de marcenaria, sustentando a inadequação da via eleita e de preclusão e, no mérito, alegou ofensa à coisa julgada, renúncia contratual fundada na cláusula </w:t>
      </w:r>
      <w:r>
        <w:rPr>
          <w:rFonts w:ascii="Times New Roman" w:hAnsi="Times New Roman" w:cs="Times New Roman"/>
        </w:rPr>
        <w:t>...</w:t>
      </w:r>
      <w:r w:rsidRPr="00485471">
        <w:rPr>
          <w:rFonts w:ascii="Times New Roman" w:hAnsi="Times New Roman" w:cs="Times New Roman"/>
        </w:rPr>
        <w:t>ª do contrato e inaplicabilidade dos artigos 1.228 e 884 do Código Civil, pedindo ainda a condenação dos autores por litigância de má-fé.</w:t>
      </w:r>
    </w:p>
    <w:p w14:paraId="30FAF757" w14:textId="77777777" w:rsidR="00485471" w:rsidRPr="00485471" w:rsidRDefault="00485471" w:rsidP="00485471">
      <w:pPr>
        <w:ind w:right="-568"/>
        <w:jc w:val="both"/>
        <w:rPr>
          <w:rFonts w:ascii="Times New Roman" w:hAnsi="Times New Roman" w:cs="Times New Roman"/>
        </w:rPr>
      </w:pPr>
    </w:p>
    <w:p w14:paraId="759A0E22" w14:textId="77777777" w:rsidR="00485471" w:rsidRPr="00485471" w:rsidRDefault="00485471" w:rsidP="00485471">
      <w:pPr>
        <w:ind w:right="-568"/>
        <w:jc w:val="both"/>
        <w:rPr>
          <w:rFonts w:ascii="Times New Roman" w:hAnsi="Times New Roman" w:cs="Times New Roman"/>
          <w:b/>
          <w:bCs/>
        </w:rPr>
      </w:pPr>
      <w:r w:rsidRPr="00485471">
        <w:rPr>
          <w:rFonts w:ascii="Times New Roman" w:hAnsi="Times New Roman" w:cs="Times New Roman"/>
          <w:b/>
          <w:bCs/>
        </w:rPr>
        <w:lastRenderedPageBreak/>
        <w:t xml:space="preserve"> II– INEXISTÊNCIA DE INADEQUAÇÃO DA VIA ELEITA </w:t>
      </w:r>
    </w:p>
    <w:p w14:paraId="1DAC0F46" w14:textId="7FE0A224" w:rsidR="00485471" w:rsidRPr="00485471" w:rsidRDefault="00485471" w:rsidP="00485471">
      <w:pPr>
        <w:ind w:right="-568"/>
        <w:jc w:val="both"/>
        <w:rPr>
          <w:rFonts w:ascii="Times New Roman" w:hAnsi="Times New Roman" w:cs="Times New Roman"/>
          <w:b/>
          <w:bCs/>
        </w:rPr>
      </w:pPr>
      <w:r w:rsidRPr="00485471">
        <w:rPr>
          <w:rFonts w:ascii="Times New Roman" w:hAnsi="Times New Roman" w:cs="Times New Roman"/>
          <w:b/>
          <w:bCs/>
        </w:rPr>
        <w:t xml:space="preserve">QUESTÃO ENFRENTADA POR ESTE D. JUÍZO NO EVENTO </w:t>
      </w:r>
      <w:r w:rsidRPr="00485471">
        <w:rPr>
          <w:rFonts w:ascii="Times New Roman" w:hAnsi="Times New Roman" w:cs="Times New Roman"/>
          <w:b/>
          <w:bCs/>
        </w:rPr>
        <w:t>...</w:t>
      </w:r>
    </w:p>
    <w:p w14:paraId="685F8785" w14:textId="70FA2386"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O réu/</w:t>
      </w:r>
      <w:r>
        <w:rPr>
          <w:rFonts w:ascii="Times New Roman" w:hAnsi="Times New Roman" w:cs="Times New Roman"/>
        </w:rPr>
        <w:t>...</w:t>
      </w:r>
      <w:r w:rsidRPr="00485471">
        <w:rPr>
          <w:rFonts w:ascii="Times New Roman" w:hAnsi="Times New Roman" w:cs="Times New Roman"/>
        </w:rPr>
        <w:t xml:space="preserve"> inaugura sua impugnação sustentando que a pretensão restitutória configuraria nova demanda, a exigir ação autônoma, distribuição, custas e contraditório próprio</w:t>
      </w:r>
    </w:p>
    <w:p w14:paraId="0914D7A7" w14:textId="4731B10F"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Entretanto, a questão da via já foi enfrentada e resolvida por este juízo. </w:t>
      </w:r>
    </w:p>
    <w:p w14:paraId="7D330CDA" w14:textId="156AF419"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O despacho do Evento </w:t>
      </w:r>
      <w:r>
        <w:rPr>
          <w:rFonts w:ascii="Times New Roman" w:hAnsi="Times New Roman" w:cs="Times New Roman"/>
        </w:rPr>
        <w:t>...</w:t>
      </w:r>
      <w:r w:rsidRPr="00485471">
        <w:rPr>
          <w:rFonts w:ascii="Times New Roman" w:hAnsi="Times New Roman" w:cs="Times New Roman"/>
        </w:rPr>
        <w:t xml:space="preserve"> não se limitou a determinar a intimação do réu. Ele examinou a natureza do pedido, distinguiu a pretensão restitutória da pretensão indenizatória já julgada e concluiu, de maneira expressa e fundamentada, que a matéria comporta solução nestes autos.</w:t>
      </w:r>
    </w:p>
    <w:p w14:paraId="345E9649" w14:textId="43231CED"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A intimação do réu, não foi destinada para que ele opinasse sobre a possibilidade de apreciação do pedido. Foi expedida para que informasse se concordava com a devolução ou retirada dos bens e, em caso negativo, para que especificasse, com justificativa técnica, quais itens não poderiam ser removidos, além de informar a localização e o estado de conservação do mobiliário.</w:t>
      </w:r>
    </w:p>
    <w:p w14:paraId="539812D0" w14:textId="351992A1"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O réu não cumpriu nenhuma dessas determinações e, em lugar delas, pretende a reabertura de questão já decidida, sem apontar fato novo ou fundamento que o despacho não tenha considerado. </w:t>
      </w:r>
    </w:p>
    <w:p w14:paraId="428DF6A6" w14:textId="311AFEDC"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Sua preliminar equivale, na prática, a um pedido de reconsideração desprovido de qualquer elemento novo.</w:t>
      </w:r>
    </w:p>
    <w:p w14:paraId="2A7FE03D" w14:textId="73B005A0"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 O contrato de locação está nos autos desde a inicial, já foi examinado pelas duas instâncias, e a questão remanescente é essencialmente de direito: saber se a improcedência da indenização e a cláusula 4ª impedem os autores de retirar bens de sua propriedade.</w:t>
      </w:r>
    </w:p>
    <w:p w14:paraId="06CA4055" w14:textId="01B9A8EB"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O próprio réu aduz no Evento </w:t>
      </w:r>
      <w:r>
        <w:rPr>
          <w:rFonts w:ascii="Times New Roman" w:hAnsi="Times New Roman" w:cs="Times New Roman"/>
        </w:rPr>
        <w:t>...</w:t>
      </w:r>
      <w:r w:rsidRPr="00485471">
        <w:rPr>
          <w:rFonts w:ascii="Times New Roman" w:hAnsi="Times New Roman" w:cs="Times New Roman"/>
        </w:rPr>
        <w:t xml:space="preserve"> que sua discordância "</w:t>
      </w:r>
      <w:r w:rsidRPr="00485471">
        <w:rPr>
          <w:rFonts w:ascii="Times New Roman" w:hAnsi="Times New Roman" w:cs="Times New Roman"/>
          <w:i/>
          <w:iCs/>
        </w:rPr>
        <w:t>não se funda em questões de ordem técnica ou de dano estrutural ao imóvel</w:t>
      </w:r>
      <w:r w:rsidRPr="00485471">
        <w:rPr>
          <w:rFonts w:ascii="Times New Roman" w:hAnsi="Times New Roman" w:cs="Times New Roman"/>
        </w:rPr>
        <w:t>", o que elimina a necessidade de qualquer instrução mais ampla e confirma que a controvérsia pode ser resolvida com os elementos já constantes do processo.</w:t>
      </w:r>
    </w:p>
    <w:p w14:paraId="1812AAE3" w14:textId="4A91F8B1"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A preliminar, portanto, deve ser rejeitada, com a manutenção da apreciação do pedido nestes autos, como já decidido.</w:t>
      </w:r>
    </w:p>
    <w:p w14:paraId="168FE694" w14:textId="77777777" w:rsidR="00485471" w:rsidRPr="00485471" w:rsidRDefault="00485471" w:rsidP="00485471">
      <w:pPr>
        <w:ind w:right="-568"/>
        <w:jc w:val="both"/>
        <w:rPr>
          <w:rFonts w:ascii="Times New Roman" w:hAnsi="Times New Roman" w:cs="Times New Roman"/>
          <w:b/>
          <w:bCs/>
        </w:rPr>
      </w:pPr>
      <w:r w:rsidRPr="00485471">
        <w:rPr>
          <w:rFonts w:ascii="Times New Roman" w:hAnsi="Times New Roman" w:cs="Times New Roman"/>
          <w:b/>
          <w:bCs/>
        </w:rPr>
        <w:t xml:space="preserve">III– INEXISTÊNCIA DE PRECLUSÃO E DA DISTINÇÃO ENTRE O PEDIDO INDENIZATÓRIO E O PEDIDO DE RESTITUIÇÃO </w:t>
      </w:r>
    </w:p>
    <w:p w14:paraId="33DFD8F4" w14:textId="5CFE766B"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A segunda preliminar sustenta que os autores deveriam ter formulado, na petição inicial, pedido subsidiário de devolução física dos bens e que, ao não </w:t>
      </w:r>
      <w:proofErr w:type="gramStart"/>
      <w:r w:rsidRPr="00485471">
        <w:rPr>
          <w:rFonts w:ascii="Times New Roman" w:hAnsi="Times New Roman" w:cs="Times New Roman"/>
        </w:rPr>
        <w:t>fazê-lo</w:t>
      </w:r>
      <w:proofErr w:type="gramEnd"/>
      <w:r w:rsidRPr="00485471">
        <w:rPr>
          <w:rFonts w:ascii="Times New Roman" w:hAnsi="Times New Roman" w:cs="Times New Roman"/>
        </w:rPr>
        <w:t xml:space="preserve"> teriam permitido a consumação da preclusão, com a consequente falta de interesse processual [CPC, art. 485, VI]. </w:t>
      </w:r>
    </w:p>
    <w:p w14:paraId="7438BAAF" w14:textId="2911C8BB"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O argumento parte de uma confusão entre faculdade processual e direito material.</w:t>
      </w:r>
    </w:p>
    <w:p w14:paraId="335D0A8C" w14:textId="77777777" w:rsid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Preclusão é fenômeno interno ao processo, alcança faculdades que a parte poderia ter exercido em determinado momento e não exerceu. </w:t>
      </w:r>
    </w:p>
    <w:p w14:paraId="14B2AF18" w14:textId="60C2FC7C"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lastRenderedPageBreak/>
        <w:t>Não alcança, nem poderia alcançar, o direito de propriedade sobre bens que jamais foram objeto de comando decisório. O direito de reaver a coisa de quem injustamente a detenha [CC, art. 1.228] não está sujeita a extinção por falta de exercício em determinada fase do procedimento. Ele acompanha a titularidade do bem enquanto esta existir.</w:t>
      </w:r>
    </w:p>
    <w:p w14:paraId="164AE3E9" w14:textId="136A6D1C"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A eficácia preclusiva prevista no art. 508 do CPC, invocada pelo réu, tem alcance bem delimitado, pois ela faz considerar deduzidas e repelidas as alegações e defesas que a parte poderia opor ao acolhimento ou à rejeição do pedido que foi julgado. </w:t>
      </w:r>
    </w:p>
    <w:p w14:paraId="352C4CD0" w14:textId="74E89340"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O dispositivo opera dentro dos limites objetivos da coisa julgada, em função do pedido decidido, e não transforma o trânsito em julgado em barreira a toda e qualquer pretensão que tenha alguma relação fática com a causa anterior. </w:t>
      </w:r>
    </w:p>
    <w:p w14:paraId="294BCEA5" w14:textId="1965F46A"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Isto porque, o pedido julgado foi o de indenização em dinheiro. A pretensão atual é de restituição de coisa certa. São pretensões com objeto diverso e causa de pedir diversa, como o próprio réu reconhece ao tratar da via eleita.</w:t>
      </w:r>
    </w:p>
    <w:p w14:paraId="1FC28067" w14:textId="775E4B37"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Também não procede a afirmação de que o momento adequado para o pedido restitutório seria a petição inicial. </w:t>
      </w:r>
    </w:p>
    <w:p w14:paraId="2AA131BE" w14:textId="77786C79"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Ora, enquanto pendia a pretensão indenizatória, acolhida em primeiro grau, a postulação simultânea da restituição física dos mesmos bens seria logicamente incompatível com ela, pois implicaria receber, ao mesmo tempo, o valor dos móveis e os próprios móveis.</w:t>
      </w:r>
    </w:p>
    <w:p w14:paraId="22A94383" w14:textId="61E64296"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A necessidade de discutir o destino físico dos bens passou a existir de forma concreta somente quando a improcedência da indenização ficou definitiva. É natural, e não tardio, que o pedido tenha sido formulado nesse momento.</w:t>
      </w:r>
    </w:p>
    <w:p w14:paraId="710768F6" w14:textId="59954C3B"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Não há, por outro lado, qualquer expectativa legítima do réu a ser protegida. A improcedência da indenização significou que ele não precisa pagar pelos bens. Nada no julgado conferiu o direito de ficar com eles. A expectativa de conservar, sem contraprestação, mobiliário pago por terceiros não é expectativa que o ordenamento jurídico tutele, data máxima vênia.</w:t>
      </w:r>
    </w:p>
    <w:p w14:paraId="2E1A4CA7" w14:textId="59B29464"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O próprio despacho do Evento </w:t>
      </w:r>
      <w:r>
        <w:rPr>
          <w:rFonts w:ascii="Times New Roman" w:hAnsi="Times New Roman" w:cs="Times New Roman"/>
        </w:rPr>
        <w:t>...</w:t>
      </w:r>
      <w:r w:rsidRPr="00485471">
        <w:rPr>
          <w:rFonts w:ascii="Times New Roman" w:hAnsi="Times New Roman" w:cs="Times New Roman"/>
        </w:rPr>
        <w:t xml:space="preserve"> percorreu exatamente esse raciocínio ao afirmar que "</w:t>
      </w:r>
      <w:r w:rsidRPr="00485471">
        <w:rPr>
          <w:rFonts w:ascii="Times New Roman" w:hAnsi="Times New Roman" w:cs="Times New Roman"/>
          <w:i/>
          <w:iCs/>
        </w:rPr>
        <w:t>os autores não buscam a revisão do julgado, mas sim a resolução de uma consequência fática do desfazimento do negócio jurídico</w:t>
      </w:r>
      <w:r w:rsidRPr="00485471">
        <w:rPr>
          <w:rFonts w:ascii="Times New Roman" w:hAnsi="Times New Roman" w:cs="Times New Roman"/>
        </w:rPr>
        <w:t>”.</w:t>
      </w:r>
    </w:p>
    <w:p w14:paraId="360EE59A" w14:textId="77777777" w:rsidR="00485471" w:rsidRPr="00485471" w:rsidRDefault="00485471" w:rsidP="00485471">
      <w:pPr>
        <w:ind w:right="-568"/>
        <w:jc w:val="both"/>
        <w:rPr>
          <w:rFonts w:ascii="Times New Roman" w:hAnsi="Times New Roman" w:cs="Times New Roman"/>
          <w:b/>
          <w:bCs/>
        </w:rPr>
      </w:pPr>
      <w:r w:rsidRPr="00485471">
        <w:rPr>
          <w:rFonts w:ascii="Times New Roman" w:hAnsi="Times New Roman" w:cs="Times New Roman"/>
          <w:b/>
          <w:bCs/>
        </w:rPr>
        <w:t>IV– INEXISTÊNCIA DA COISA JULGADA SOBRE A PROPRIEDADE OU SOBRE A NATUREZA JURÍDICA ESPECÍFICA DOS MÓVEIS PLANEJADOS</w:t>
      </w:r>
    </w:p>
    <w:p w14:paraId="17DE1A0E" w14:textId="32F39A18"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Os autores não pretendem rediscutir coisa alguma do que foi decidido, pois a improcedência da pretensão indenizatória é definitiva e assim é tratada nesta manifestação. </w:t>
      </w:r>
    </w:p>
    <w:p w14:paraId="28957034" w14:textId="1EB8EDBF"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A divergência está em saber o que, exatamente, transitou em julgado, e a resposta é dada pelo próprio Código de Processo Civil.</w:t>
      </w:r>
    </w:p>
    <w:p w14:paraId="07FE4586" w14:textId="77777777"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i/>
          <w:iCs/>
        </w:rPr>
        <w:t>CPC, art. 504. Não fazem coisa julgada: I - os motivos, ainda que importantes para determinar o alcance da parte dispositiva da sentença</w:t>
      </w:r>
      <w:r w:rsidRPr="00485471">
        <w:rPr>
          <w:rFonts w:ascii="Times New Roman" w:hAnsi="Times New Roman" w:cs="Times New Roman"/>
        </w:rPr>
        <w:t>;</w:t>
      </w:r>
    </w:p>
    <w:p w14:paraId="40BDD5DC" w14:textId="77777777" w:rsidR="00485471" w:rsidRPr="00485471" w:rsidRDefault="00485471" w:rsidP="00485471">
      <w:pPr>
        <w:ind w:right="-568"/>
        <w:jc w:val="both"/>
        <w:rPr>
          <w:rFonts w:ascii="Times New Roman" w:hAnsi="Times New Roman" w:cs="Times New Roman"/>
        </w:rPr>
      </w:pPr>
    </w:p>
    <w:p w14:paraId="4DC22AE5" w14:textId="3785863D"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lastRenderedPageBreak/>
        <w:t xml:space="preserve">Não há no v. acórdão declaração de que os autores perderam a propriedade dos móveis, de que os móveis se incorporaram ao imóvel ou de que passaram a integrar o patrimônio do réu. </w:t>
      </w:r>
    </w:p>
    <w:p w14:paraId="0833DF28" w14:textId="187BA170"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A menção a benfeitorias integra a fundamentação, e a fundamentação, por mais importante que seja para compreender o alcance do julgado, não adquire a imutabilidade própria da coisa julgada. </w:t>
      </w:r>
    </w:p>
    <w:p w14:paraId="54D49D12" w14:textId="38E91BBF"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O réu, prevendo essa objeção, afirma que a natureza jurídica dos bens teria sido decidida como </w:t>
      </w:r>
    </w:p>
    <w:p w14:paraId="74B1F849" w14:textId="7422464A"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Neste caso, o §1 do art. 503 do CPC admite, excepcionalmente, que a coisa julgada alcance a resolução de questão prejudicial, decidida expressa e incidentemente no processo, mas somente quando concorrem três requisitos cumulativos (i) que dessa resolução dependa o julgamento do mérito (</w:t>
      </w:r>
      <w:proofErr w:type="spellStart"/>
      <w:r w:rsidRPr="00485471">
        <w:rPr>
          <w:rFonts w:ascii="Times New Roman" w:hAnsi="Times New Roman" w:cs="Times New Roman"/>
        </w:rPr>
        <w:t>ii</w:t>
      </w:r>
      <w:proofErr w:type="spellEnd"/>
      <w:r w:rsidRPr="00485471">
        <w:rPr>
          <w:rFonts w:ascii="Times New Roman" w:hAnsi="Times New Roman" w:cs="Times New Roman"/>
        </w:rPr>
        <w:t>) que a seu respeito tenha havido contraditório prévio e efetivo (</w:t>
      </w:r>
      <w:proofErr w:type="spellStart"/>
      <w:r w:rsidRPr="00485471">
        <w:rPr>
          <w:rFonts w:ascii="Times New Roman" w:hAnsi="Times New Roman" w:cs="Times New Roman"/>
        </w:rPr>
        <w:t>iii</w:t>
      </w:r>
      <w:proofErr w:type="spellEnd"/>
      <w:r w:rsidRPr="00485471">
        <w:rPr>
          <w:rFonts w:ascii="Times New Roman" w:hAnsi="Times New Roman" w:cs="Times New Roman"/>
        </w:rPr>
        <w:t xml:space="preserve">) e que o juízo tenha competência em razão da matéria e da pessoa para resolvê-la como questão principal. </w:t>
      </w:r>
    </w:p>
    <w:p w14:paraId="0C3773FE" w14:textId="61DA3711"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A leitura do v. acórdão demonstra que esses requisitos não estão presentes quanto à natureza jurídica específica dos móveis planejados, pois ele reuniu, em uma única frase, reformas, pintura, instalação elétrica, vistoria para regularização, móveis planejados e materiais de construção, e atribuiu ao conjunto, de forma global, a qualificação de "</w:t>
      </w:r>
      <w:r w:rsidRPr="00485471">
        <w:rPr>
          <w:rFonts w:ascii="Times New Roman" w:hAnsi="Times New Roman" w:cs="Times New Roman"/>
          <w:i/>
          <w:iCs/>
        </w:rPr>
        <w:t>obras/reformas</w:t>
      </w:r>
      <w:r w:rsidRPr="00485471">
        <w:rPr>
          <w:rFonts w:ascii="Times New Roman" w:hAnsi="Times New Roman" w:cs="Times New Roman"/>
        </w:rPr>
        <w:t>" que "</w:t>
      </w:r>
      <w:r w:rsidRPr="00485471">
        <w:rPr>
          <w:rFonts w:ascii="Times New Roman" w:hAnsi="Times New Roman" w:cs="Times New Roman"/>
          <w:i/>
          <w:iCs/>
        </w:rPr>
        <w:t>configuram benfeitorias</w:t>
      </w:r>
      <w:r w:rsidRPr="00485471">
        <w:rPr>
          <w:rFonts w:ascii="Times New Roman" w:hAnsi="Times New Roman" w:cs="Times New Roman"/>
        </w:rPr>
        <w:t>".</w:t>
      </w:r>
    </w:p>
    <w:p w14:paraId="5A27D77B" w14:textId="31D35B74"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Não houve exame item a item. Não houve qualquer consideração sobre a possibilidade de remoção do mobiliário, sobre sua autonomia em relação ao imóvel ou sobre a distinção entre o que se incorpora à construção e o que apenas a guarnece. </w:t>
      </w:r>
    </w:p>
    <w:p w14:paraId="385BA464" w14:textId="1468364D"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A própria composição da lista revela a generalidade da afirmação: uma vistoria para regularização é um serviço, e não uma intervenção física passível de incorporação ao imóvel, e ainda assim foi incluída no mesmo bloco rotulado como benfeitoria. </w:t>
      </w:r>
    </w:p>
    <w:p w14:paraId="18D4D751" w14:textId="7F1F30A4"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 Em segundo lugar, o fundamento primeiro da rejeição nem sequer foi a natureza dos bens. Isto porque, o acórdão assentou, antes de qualquer referência a benfeitorias, que as obras foram iniciadas em imóvel que ainda não possuía "</w:t>
      </w:r>
      <w:r w:rsidRPr="00485471">
        <w:rPr>
          <w:rFonts w:ascii="Times New Roman" w:hAnsi="Times New Roman" w:cs="Times New Roman"/>
          <w:i/>
          <w:iCs/>
        </w:rPr>
        <w:t>habite-se</w:t>
      </w:r>
      <w:r w:rsidRPr="00485471">
        <w:rPr>
          <w:rFonts w:ascii="Times New Roman" w:hAnsi="Times New Roman" w:cs="Times New Roman"/>
        </w:rPr>
        <w:t>", "</w:t>
      </w:r>
      <w:r w:rsidRPr="00485471">
        <w:rPr>
          <w:rFonts w:ascii="Times New Roman" w:hAnsi="Times New Roman" w:cs="Times New Roman"/>
          <w:i/>
          <w:iCs/>
        </w:rPr>
        <w:t>de modo que não há como imputar estes gastos ao locador</w:t>
      </w:r>
      <w:r w:rsidRPr="00485471">
        <w:rPr>
          <w:rFonts w:ascii="Times New Roman" w:hAnsi="Times New Roman" w:cs="Times New Roman"/>
        </w:rPr>
        <w:t xml:space="preserve">". </w:t>
      </w:r>
    </w:p>
    <w:p w14:paraId="2DAE7E25" w14:textId="6A99FB16"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Esse é um fundamento de imputação de responsabilidade, relacionado às circunstâncias em que os gastos foram feitos, e não um juízo sobre a titularidade ou a natureza jurídica do mobiliário. A referência às benfeitorias surge na sequência, como reforço, e não como questão prejudicial autônoma da qual dependesse o resultado.</w:t>
      </w:r>
    </w:p>
    <w:p w14:paraId="5AA3AAAD" w14:textId="30427068"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Em terceiro lugar, não houve contraditório prévio e efetivo especificamente dirigido à questão de saber se os móveis planejados são benfeitorias incorporadas ou bens destacáveis. </w:t>
      </w:r>
    </w:p>
    <w:p w14:paraId="12DC68FC" w14:textId="7FDF1175"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No processo de conhecimento, não houve pedido declaratório sobre a natureza jurídica do mobiliário, não houve prova técnica a respeito e não houve debate específico sobre a autonomia desses bens em relação ao imóvel. </w:t>
      </w:r>
    </w:p>
    <w:p w14:paraId="0703EA18" w14:textId="77777777" w:rsidR="00485471" w:rsidRDefault="00485471" w:rsidP="00485471">
      <w:pPr>
        <w:ind w:right="-568"/>
        <w:jc w:val="both"/>
        <w:rPr>
          <w:rFonts w:ascii="Times New Roman" w:hAnsi="Times New Roman" w:cs="Times New Roman"/>
        </w:rPr>
      </w:pPr>
      <w:r w:rsidRPr="00485471">
        <w:rPr>
          <w:rFonts w:ascii="Times New Roman" w:hAnsi="Times New Roman" w:cs="Times New Roman"/>
        </w:rPr>
        <w:t>A discussão travada foi sobre o direito à indenização pelo conjunto dos gastos.</w:t>
      </w:r>
    </w:p>
    <w:p w14:paraId="321904C4" w14:textId="001D81A9"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lastRenderedPageBreak/>
        <w:t xml:space="preserve">Não houve no v. acórdão decisão expressa de que os móveis planejados, individualmente considerados, são benfeitorias incorporadas ao imóvel, nem que a propriedade sobre eles foi transferida ao réu. </w:t>
      </w:r>
    </w:p>
    <w:p w14:paraId="04D86EAD" w14:textId="307F94E3"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Por isso, não há coisa julgada que impeça sua apreciação agora, e o próprio juiz já assentou que no despacho do Evento </w:t>
      </w:r>
      <w:r>
        <w:rPr>
          <w:rFonts w:ascii="Times New Roman" w:hAnsi="Times New Roman" w:cs="Times New Roman"/>
        </w:rPr>
        <w:t>...</w:t>
      </w:r>
      <w:r w:rsidRPr="00485471">
        <w:rPr>
          <w:rFonts w:ascii="Times New Roman" w:hAnsi="Times New Roman" w:cs="Times New Roman"/>
        </w:rPr>
        <w:t xml:space="preserve"> que “</w:t>
      </w:r>
      <w:r w:rsidRPr="00485471">
        <w:rPr>
          <w:rFonts w:ascii="Times New Roman" w:hAnsi="Times New Roman" w:cs="Times New Roman"/>
          <w:i/>
          <w:iCs/>
        </w:rPr>
        <w:t>a improcedência do pedido de reparação pecuniária não confere ao réu o direito de se apropriar dos bens pertencentes aos autores</w:t>
      </w:r>
      <w:r w:rsidRPr="00485471">
        <w:rPr>
          <w:rFonts w:ascii="Times New Roman" w:hAnsi="Times New Roman" w:cs="Times New Roman"/>
        </w:rPr>
        <w:t>".</w:t>
      </w:r>
    </w:p>
    <w:p w14:paraId="5F6DCDE3" w14:textId="77777777" w:rsidR="00485471" w:rsidRPr="00485471" w:rsidRDefault="00485471" w:rsidP="00485471">
      <w:pPr>
        <w:ind w:right="-568"/>
        <w:jc w:val="both"/>
        <w:rPr>
          <w:rFonts w:ascii="Times New Roman" w:hAnsi="Times New Roman" w:cs="Times New Roman"/>
          <w:b/>
          <w:bCs/>
        </w:rPr>
      </w:pPr>
      <w:r w:rsidRPr="00485471">
        <w:rPr>
          <w:rFonts w:ascii="Times New Roman" w:hAnsi="Times New Roman" w:cs="Times New Roman"/>
          <w:b/>
          <w:bCs/>
        </w:rPr>
        <w:t>V– MÓVEIS PLANEJADOS SÃO BENS DESTACÁVEIS E A DISTINÇÃO ENTRE BENFEITORIAS E PERTENCES</w:t>
      </w:r>
    </w:p>
    <w:p w14:paraId="64C9AD28" w14:textId="297F93B2"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A benfeitoria, em qualquer de suas espécies, é obra ou despesa que se incorpora ao bem principal, passando a integrá-lo de modo que sua separação altera a substância ou a estrutura da coisa.</w:t>
      </w:r>
    </w:p>
    <w:p w14:paraId="5879CB25" w14:textId="1E51D53B"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Já </w:t>
      </w:r>
      <w:proofErr w:type="gramStart"/>
      <w:r w:rsidRPr="00485471">
        <w:rPr>
          <w:rFonts w:ascii="Times New Roman" w:hAnsi="Times New Roman" w:cs="Times New Roman"/>
        </w:rPr>
        <w:t>os pertenças</w:t>
      </w:r>
      <w:proofErr w:type="gramEnd"/>
      <w:r w:rsidRPr="00485471">
        <w:rPr>
          <w:rFonts w:ascii="Times New Roman" w:hAnsi="Times New Roman" w:cs="Times New Roman"/>
        </w:rPr>
        <w:t xml:space="preserve">, definidos pelo art. 93 do Código Civil são definidos como bens que não constituindo partes integrantes, se destinam, de modo duradouro, ao uso, ao serviço ou ao aformoseamento de outro. </w:t>
      </w:r>
    </w:p>
    <w:p w14:paraId="071AC39A" w14:textId="7BCE84C1"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Mobiliário planejado de clínica odontológica, por sua própria natureza, são considerados pertences. Os móveis foram confeccionados por marceneiro, pagos pelos autores e destinados ao exercício da atividade profissional da autora </w:t>
      </w:r>
      <w:r w:rsidR="007B127F">
        <w:rPr>
          <w:rFonts w:ascii="Times New Roman" w:hAnsi="Times New Roman" w:cs="Times New Roman"/>
        </w:rPr>
        <w:t>...</w:t>
      </w:r>
      <w:r w:rsidRPr="00485471">
        <w:rPr>
          <w:rFonts w:ascii="Times New Roman" w:hAnsi="Times New Roman" w:cs="Times New Roman"/>
        </w:rPr>
        <w:t xml:space="preserve"> </w:t>
      </w:r>
    </w:p>
    <w:p w14:paraId="1B10565B" w14:textId="3CC7D75D"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O fato de terem sido feitos sob medida para o espaço não os converte em parte da construção. Armários, bancadas e módulos de marcenaria, ainda que ajustados às dimensões de um ambiente, continuam sendo móveis, e sua retirada deixa o imóvel tal como ele é, com suas paredes, pisos, tetos e instalações.</w:t>
      </w:r>
    </w:p>
    <w:p w14:paraId="5726CDAA" w14:textId="599DD497"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É nesse ponto que a própria impugnação fornece o elemento mais importante para a resolução da controvérsia. O réu afirmou, de maneira expressa, que sua discordância "</w:t>
      </w:r>
      <w:r w:rsidRPr="007B127F">
        <w:rPr>
          <w:rFonts w:ascii="Times New Roman" w:hAnsi="Times New Roman" w:cs="Times New Roman"/>
          <w:i/>
          <w:iCs/>
        </w:rPr>
        <w:t>não se funda em questões de ordem técnica ou de dano estrutural ao imóvel, mas sim em robustos impedimentos de natureza jurídica e contratual</w:t>
      </w:r>
      <w:r w:rsidRPr="00485471">
        <w:rPr>
          <w:rFonts w:ascii="Times New Roman" w:hAnsi="Times New Roman" w:cs="Times New Roman"/>
        </w:rPr>
        <w:t xml:space="preserve">". </w:t>
      </w:r>
    </w:p>
    <w:p w14:paraId="2D856304" w14:textId="16F17B7A"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A declaração é relevante por dois motivos.</w:t>
      </w:r>
    </w:p>
    <w:p w14:paraId="179229CB" w14:textId="19C7BAD2"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O primeiro é que o despacho do Evento </w:t>
      </w:r>
      <w:r w:rsidR="007B127F">
        <w:rPr>
          <w:rFonts w:ascii="Times New Roman" w:hAnsi="Times New Roman" w:cs="Times New Roman"/>
        </w:rPr>
        <w:t>...</w:t>
      </w:r>
      <w:r w:rsidRPr="00485471">
        <w:rPr>
          <w:rFonts w:ascii="Times New Roman" w:hAnsi="Times New Roman" w:cs="Times New Roman"/>
        </w:rPr>
        <w:t xml:space="preserve"> determinou ao réu que, em caso de discordância, especificasse de forma justificada e pormenorizada quais itens entendia que não poderiam ser removidos, apresentando os motivos técnicos para eventual alegação de dano estrutural, o que não foi feito. </w:t>
      </w:r>
    </w:p>
    <w:p w14:paraId="630FFCFA" w14:textId="1E56C0FD"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Não há, portanto, nos autos, qualquer alegação de que a retirada dos móveis planejados cause danos ao imóvel.</w:t>
      </w:r>
    </w:p>
    <w:p w14:paraId="6C62E1BB" w14:textId="21190911"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O segundo é que, inexistindo alegação de dano estrutural, fica afastado precisamente o elemento que caracterizaria a incorporação. Se o mobiliário pode ser retirado sem afetar a estrutura ou a substância do imóvel, ele não passou a integrar a construção, e a qualificação como benfeitoria, no sentido técnico que o réu pretende atribuir ao termo, perde seu fundamento.</w:t>
      </w:r>
    </w:p>
    <w:p w14:paraId="287AAD7C" w14:textId="587D8926"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Sobre esse tema, o Egrégio TRIBUNAL DE JUSTIÇA DE MINAS GERAIS entende que:</w:t>
      </w:r>
    </w:p>
    <w:p w14:paraId="08EDCFB3" w14:textId="097D6848" w:rsidR="00485471" w:rsidRPr="00485471" w:rsidRDefault="007B127F" w:rsidP="00485471">
      <w:pPr>
        <w:ind w:right="-568"/>
        <w:jc w:val="both"/>
        <w:rPr>
          <w:rFonts w:ascii="Times New Roman" w:hAnsi="Times New Roman" w:cs="Times New Roman"/>
        </w:rPr>
      </w:pPr>
      <w:r>
        <w:rPr>
          <w:rFonts w:ascii="Times New Roman" w:hAnsi="Times New Roman" w:cs="Times New Roman"/>
        </w:rPr>
        <w:lastRenderedPageBreak/>
        <w:t>“</w:t>
      </w:r>
      <w:r w:rsidR="00485471" w:rsidRPr="007B127F">
        <w:rPr>
          <w:rFonts w:ascii="Times New Roman" w:hAnsi="Times New Roman" w:cs="Times New Roman"/>
          <w:i/>
          <w:iCs/>
        </w:rPr>
        <w:t>AGRAVO DE INSTRUMENTO - TUTELA DE URGÊNCIA INCIDENTAL - IMISSÃO NA POSSE - IMÓVEL ADQUIRIDO EM LEILÃO - RETIRADA DE BENS DESTACÁVEIS - NATUREZA DE PERTENÇAS - POSSIBILIDADE DE REMOÇÃO SEM DANO AO IMÓVEL. Os negócios jurídicos relativos ao bem principal, em regra, não abrangem as pertenças e benfeitorias voluptuárias, salvo manifestação em sentido diverso, nos termos do art. 93 do Código Civil. Constatado que móveis planejados/embutidos, boxes de banheiro e demais bens destacáveis podem ser removidos sem prejuízo à integridade ou funcionalidade do imóvel, devem ser qualificados como pertenças, e não como bens definitivamente incorporados ao principal, sendo admissível sua retirada pela parte ré, às suas expensas. Igual conclusão se aplica a eletrodomésticos, móveis, objetos de decoração e utensílios de cozinha, que conservam natureza autônoma</w:t>
      </w:r>
      <w:r w:rsidR="00485471" w:rsidRPr="00485471">
        <w:rPr>
          <w:rFonts w:ascii="Times New Roman" w:hAnsi="Times New Roman" w:cs="Times New Roman"/>
        </w:rPr>
        <w:t>.</w:t>
      </w:r>
      <w:r>
        <w:rPr>
          <w:rFonts w:ascii="Times New Roman" w:hAnsi="Times New Roman" w:cs="Times New Roman"/>
        </w:rPr>
        <w:t>”</w:t>
      </w:r>
      <w:r w:rsidR="00485471" w:rsidRPr="00485471">
        <w:rPr>
          <w:rFonts w:ascii="Times New Roman" w:hAnsi="Times New Roman" w:cs="Times New Roman"/>
        </w:rPr>
        <w:t xml:space="preserve"> [TJMG - Agravo de Instrumento 1.0000.26.127534-1/001, Rel. Des. Marcelo Pereira da Silva, 11ª CÂMARA CÍVEL, </w:t>
      </w:r>
      <w:proofErr w:type="spellStart"/>
      <w:r w:rsidR="00485471" w:rsidRPr="00485471">
        <w:rPr>
          <w:rFonts w:ascii="Times New Roman" w:hAnsi="Times New Roman" w:cs="Times New Roman"/>
        </w:rPr>
        <w:t>DJe</w:t>
      </w:r>
      <w:proofErr w:type="spellEnd"/>
      <w:r w:rsidR="00485471" w:rsidRPr="00485471">
        <w:rPr>
          <w:rFonts w:ascii="Times New Roman" w:hAnsi="Times New Roman" w:cs="Times New Roman"/>
        </w:rPr>
        <w:t xml:space="preserve"> 19.05.2026]</w:t>
      </w:r>
    </w:p>
    <w:p w14:paraId="41EB1FD7" w14:textId="77777777" w:rsidR="00485471" w:rsidRPr="007B127F" w:rsidRDefault="00485471" w:rsidP="00485471">
      <w:pPr>
        <w:ind w:right="-568"/>
        <w:jc w:val="both"/>
        <w:rPr>
          <w:rFonts w:ascii="Times New Roman" w:hAnsi="Times New Roman" w:cs="Times New Roman"/>
          <w:b/>
          <w:bCs/>
        </w:rPr>
      </w:pPr>
      <w:r w:rsidRPr="007B127F">
        <w:rPr>
          <w:rFonts w:ascii="Times New Roman" w:hAnsi="Times New Roman" w:cs="Times New Roman"/>
          <w:b/>
          <w:bCs/>
        </w:rPr>
        <w:t xml:space="preserve">V– CLÁUSULA 4ª DO CONTRATO </w:t>
      </w:r>
    </w:p>
    <w:p w14:paraId="743145CE" w14:textId="6A3C29DA" w:rsidR="00485471" w:rsidRPr="007B127F" w:rsidRDefault="00485471" w:rsidP="00485471">
      <w:pPr>
        <w:ind w:right="-568"/>
        <w:jc w:val="both"/>
        <w:rPr>
          <w:rFonts w:ascii="Times New Roman" w:hAnsi="Times New Roman" w:cs="Times New Roman"/>
          <w:b/>
          <w:bCs/>
        </w:rPr>
      </w:pPr>
      <w:r w:rsidRPr="007B127F">
        <w:rPr>
          <w:rFonts w:ascii="Times New Roman" w:hAnsi="Times New Roman" w:cs="Times New Roman"/>
          <w:b/>
          <w:bCs/>
        </w:rPr>
        <w:t>NÃO HÁ NO CONTRATO IMPEDIMENTO DO DIREITO DE RETIRADA</w:t>
      </w:r>
    </w:p>
    <w:p w14:paraId="214FF3B6" w14:textId="211E7221" w:rsidR="00485471" w:rsidRPr="007B127F" w:rsidRDefault="00485471" w:rsidP="00485471">
      <w:pPr>
        <w:ind w:right="-568"/>
        <w:jc w:val="both"/>
        <w:rPr>
          <w:rFonts w:ascii="Times New Roman" w:hAnsi="Times New Roman" w:cs="Times New Roman"/>
          <w:b/>
          <w:bCs/>
        </w:rPr>
      </w:pPr>
      <w:r w:rsidRPr="007B127F">
        <w:rPr>
          <w:rFonts w:ascii="Times New Roman" w:hAnsi="Times New Roman" w:cs="Times New Roman"/>
          <w:b/>
          <w:bCs/>
        </w:rPr>
        <w:t>VEDAÇÃO DO ENRIQUECIMENTO SEM CAUSA</w:t>
      </w:r>
    </w:p>
    <w:p w14:paraId="621E15BB" w14:textId="1A6A1F22"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A cláusula, sob a rubrica "</w:t>
      </w:r>
      <w:r w:rsidRPr="007B127F">
        <w:rPr>
          <w:rFonts w:ascii="Times New Roman" w:hAnsi="Times New Roman" w:cs="Times New Roman"/>
          <w:i/>
          <w:iCs/>
        </w:rPr>
        <w:t>Benfeitorias e Construções</w:t>
      </w:r>
      <w:r w:rsidRPr="00485471">
        <w:rPr>
          <w:rFonts w:ascii="Times New Roman" w:hAnsi="Times New Roman" w:cs="Times New Roman"/>
        </w:rPr>
        <w:t>", tem o seguinte teor, conforme reproduzido pelo próprio réu:</w:t>
      </w:r>
    </w:p>
    <w:p w14:paraId="373485F2" w14:textId="77777777"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w:t>
      </w:r>
      <w:r w:rsidRPr="007B127F">
        <w:rPr>
          <w:rFonts w:ascii="Times New Roman" w:hAnsi="Times New Roman" w:cs="Times New Roman"/>
          <w:i/>
          <w:iCs/>
        </w:rPr>
        <w:t>Cláusula 4ª. Qualquer benfeitoria ou construção que seja destinada ao imóvel objeto deste, somente poderá ser realizada com autorização expressa e escrita do LOCADOR. Sendo realizada qualquer benfeitoria sem a autorização do LOCADOR deverá os LOCATÁRIOS modificar o imóvel novamente para devolvê-lo da maneira que lhe foi entregue. As benfeitorias, consertos ou reparos farão parte integrante do imóvel, não assistindo aos LOCATÁRIOS o direito de retenção ou indenização sobre a mesma</w:t>
      </w:r>
      <w:r w:rsidRPr="00485471">
        <w:rPr>
          <w:rFonts w:ascii="Times New Roman" w:hAnsi="Times New Roman" w:cs="Times New Roman"/>
        </w:rPr>
        <w:t>."</w:t>
      </w:r>
    </w:p>
    <w:p w14:paraId="1BD460CB" w14:textId="74392BAC"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A leitura do texto revela duas coisas:</w:t>
      </w:r>
    </w:p>
    <w:p w14:paraId="2720E68D" w14:textId="504D5AE5"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1) A primeira é que a cláusula 4ª regula "</w:t>
      </w:r>
      <w:r w:rsidRPr="007B127F">
        <w:rPr>
          <w:rFonts w:ascii="Times New Roman" w:hAnsi="Times New Roman" w:cs="Times New Roman"/>
          <w:i/>
          <w:iCs/>
        </w:rPr>
        <w:t>benfeitoria ou construção que seja destinada ao imóvel</w:t>
      </w:r>
      <w:r w:rsidRPr="00485471">
        <w:rPr>
          <w:rFonts w:ascii="Times New Roman" w:hAnsi="Times New Roman" w:cs="Times New Roman"/>
        </w:rPr>
        <w:t>", bem como "</w:t>
      </w:r>
      <w:r w:rsidRPr="007B127F">
        <w:rPr>
          <w:rFonts w:ascii="Times New Roman" w:hAnsi="Times New Roman" w:cs="Times New Roman"/>
          <w:i/>
          <w:iCs/>
        </w:rPr>
        <w:t>consertos ou reparos</w:t>
      </w:r>
      <w:r w:rsidRPr="00485471">
        <w:rPr>
          <w:rFonts w:ascii="Times New Roman" w:hAnsi="Times New Roman" w:cs="Times New Roman"/>
        </w:rPr>
        <w:t>". Seu objeto são intervenções na construção: obras, reformas, acréscimos e reparos que passam a fazer "</w:t>
      </w:r>
      <w:r w:rsidRPr="007B127F">
        <w:rPr>
          <w:rFonts w:ascii="Times New Roman" w:hAnsi="Times New Roman" w:cs="Times New Roman"/>
          <w:i/>
          <w:iCs/>
        </w:rPr>
        <w:t>parte integrante do imóvel</w:t>
      </w:r>
      <w:r w:rsidRPr="00485471">
        <w:rPr>
          <w:rFonts w:ascii="Times New Roman" w:hAnsi="Times New Roman" w:cs="Times New Roman"/>
        </w:rPr>
        <w:t>". Ela não menciona mobiliário, não menciona bens móveis e não trata de pertenças. Como demonstrado no tópico anterior, móveis planejados destacáveis não são benfeitorias nem construções, e, por isso, não estão compreendidos no âmbito material da cláusula. Os autores não pretendem afastar a validade da disposição contratual, e sim reconhecer que ela regula um objeto diverso daquele ora em discussão.</w:t>
      </w:r>
    </w:p>
    <w:p w14:paraId="1AA2E6A6" w14:textId="47359C48"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2) A segunda é que, mesmo em relação ao seu objeto próprio, a cláusula prevê dois efeitos, </w:t>
      </w:r>
      <w:proofErr w:type="gramStart"/>
      <w:r w:rsidRPr="00485471">
        <w:rPr>
          <w:rFonts w:ascii="Times New Roman" w:hAnsi="Times New Roman" w:cs="Times New Roman"/>
        </w:rPr>
        <w:t>Ela</w:t>
      </w:r>
      <w:proofErr w:type="gramEnd"/>
      <w:r w:rsidRPr="00485471">
        <w:rPr>
          <w:rFonts w:ascii="Times New Roman" w:hAnsi="Times New Roman" w:cs="Times New Roman"/>
        </w:rPr>
        <w:t xml:space="preserve"> afasta o direito de retenção e o direito à indenização. Não há, em seu texto, qualquer referência a renúncia ao direito de retirar ou levantar bens</w:t>
      </w:r>
      <w:r w:rsidR="003168BC">
        <w:rPr>
          <w:rStyle w:val="Refdenotaderodap"/>
          <w:rFonts w:ascii="Times New Roman" w:hAnsi="Times New Roman" w:cs="Times New Roman"/>
        </w:rPr>
        <w:footnoteReference w:id="1"/>
      </w:r>
      <w:r w:rsidRPr="00485471">
        <w:rPr>
          <w:rFonts w:ascii="Times New Roman" w:hAnsi="Times New Roman" w:cs="Times New Roman"/>
        </w:rPr>
        <w:t xml:space="preserve">. </w:t>
      </w:r>
    </w:p>
    <w:p w14:paraId="22A0629F" w14:textId="072B3A1B" w:rsidR="007B127F" w:rsidRPr="00485471" w:rsidRDefault="00485471" w:rsidP="007B127F">
      <w:pPr>
        <w:ind w:right="-568"/>
        <w:jc w:val="both"/>
        <w:rPr>
          <w:rFonts w:ascii="Times New Roman" w:hAnsi="Times New Roman" w:cs="Times New Roman"/>
        </w:rPr>
      </w:pPr>
      <w:r w:rsidRPr="00485471">
        <w:rPr>
          <w:rFonts w:ascii="Times New Roman" w:hAnsi="Times New Roman" w:cs="Times New Roman"/>
        </w:rPr>
        <w:t xml:space="preserve">Em síntese, a cláusula 4ª não alcança os móveis planejados, porque eles não são benfeitorias nem construções, e, ainda que alcançasse, não contém renúncia ao direito de retirada, que o réu </w:t>
      </w:r>
    </w:p>
    <w:p w14:paraId="1A3E8C3D" w14:textId="2060C85F"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lastRenderedPageBreak/>
        <w:t>Sobre esse tema, o colendo TRIBUNAL DE JUSTIÇA DE MINAS GERAIS assim se posiciona:</w:t>
      </w:r>
    </w:p>
    <w:p w14:paraId="4F288F3E" w14:textId="0073BD29" w:rsidR="00485471" w:rsidRPr="00485471" w:rsidRDefault="007B127F" w:rsidP="00485471">
      <w:pPr>
        <w:ind w:right="-568"/>
        <w:jc w:val="both"/>
        <w:rPr>
          <w:rFonts w:ascii="Times New Roman" w:hAnsi="Times New Roman" w:cs="Times New Roman"/>
        </w:rPr>
      </w:pPr>
      <w:r>
        <w:rPr>
          <w:rFonts w:ascii="Times New Roman" w:hAnsi="Times New Roman" w:cs="Times New Roman"/>
        </w:rPr>
        <w:t>“</w:t>
      </w:r>
      <w:r w:rsidR="00485471" w:rsidRPr="007B127F">
        <w:rPr>
          <w:rFonts w:ascii="Times New Roman" w:hAnsi="Times New Roman" w:cs="Times New Roman"/>
          <w:i/>
          <w:iCs/>
        </w:rPr>
        <w:t>APELAÇÃO CÍVEL - AÇÃO REGRESSIVA DE RESSARCIMENTO DE DANOS - CONTRATO DE TRANSPORTE - SEGURADORA SUB-ROGADA - CLÁUSULA DE DISPENSA DO DIREITO DE REGRESSO (DDR) - EXCEÇÕES NÃO COMPROVADAS - ÔNUS PROBATÓRIO - ART. 373, I, DO CPC - RELATÓRIO UNILATERAL DE REGULAÇÃO - INSUFICIÊNCIA PROBATÓRIA - INTERPRETAÇÃO RESTRITIVA - ART. 114 DO CÓDIGO CIVIL.</w:t>
      </w:r>
      <w:r w:rsidRPr="007B127F">
        <w:rPr>
          <w:rFonts w:ascii="Times New Roman" w:hAnsi="Times New Roman" w:cs="Times New Roman"/>
          <w:i/>
          <w:iCs/>
        </w:rPr>
        <w:t xml:space="preserve"> </w:t>
      </w:r>
      <w:r w:rsidR="00485471" w:rsidRPr="007B127F">
        <w:rPr>
          <w:rFonts w:ascii="Times New Roman" w:hAnsi="Times New Roman" w:cs="Times New Roman"/>
          <w:i/>
          <w:iCs/>
        </w:rPr>
        <w:t>A cláusula de Dispensa do Direito de Regresso (DDR) constitui renúncia expressa da seguradora ao direito de ação regressiva contra o transportador após o pagamento da indenização ao segurado, sendo válida e amplamente aceita no mercado securitário.</w:t>
      </w:r>
      <w:r w:rsidRPr="007B127F">
        <w:rPr>
          <w:rFonts w:ascii="Times New Roman" w:hAnsi="Times New Roman" w:cs="Times New Roman"/>
          <w:i/>
          <w:iCs/>
        </w:rPr>
        <w:t xml:space="preserve"> </w:t>
      </w:r>
      <w:r w:rsidR="00485471" w:rsidRPr="007B127F">
        <w:rPr>
          <w:rFonts w:ascii="Times New Roman" w:hAnsi="Times New Roman" w:cs="Times New Roman"/>
          <w:i/>
          <w:iCs/>
        </w:rPr>
        <w:t>Para afastar a aplicação da DDR, incumbe à seguradora comprovar de forma inequívoca a ocorrência das condições resolutivas previstas na avença, tais como dolo, negligência, culpa grave ou má conservação de equipamentos por parte da transportadora.</w:t>
      </w:r>
      <w:r w:rsidRPr="007B127F">
        <w:rPr>
          <w:rFonts w:ascii="Times New Roman" w:hAnsi="Times New Roman" w:cs="Times New Roman"/>
          <w:i/>
          <w:iCs/>
        </w:rPr>
        <w:t xml:space="preserve"> </w:t>
      </w:r>
      <w:r w:rsidR="00485471" w:rsidRPr="007B127F">
        <w:rPr>
          <w:rFonts w:ascii="Times New Roman" w:hAnsi="Times New Roman" w:cs="Times New Roman"/>
          <w:i/>
          <w:iCs/>
        </w:rPr>
        <w:t>O relatório de regulação de sinistro produzido unilateralmente pela própria seguradora, desacompanhado de outros elementos probatórios robustos, não é suficiente para comprovar as alegadas exceções à cláusula DDR.</w:t>
      </w:r>
      <w:r w:rsidRPr="007B127F">
        <w:rPr>
          <w:rFonts w:ascii="Times New Roman" w:hAnsi="Times New Roman" w:cs="Times New Roman"/>
          <w:i/>
          <w:iCs/>
        </w:rPr>
        <w:t xml:space="preserve"> </w:t>
      </w:r>
      <w:r w:rsidR="00485471" w:rsidRPr="007B127F">
        <w:rPr>
          <w:rFonts w:ascii="Times New Roman" w:hAnsi="Times New Roman" w:cs="Times New Roman"/>
          <w:i/>
          <w:iCs/>
        </w:rPr>
        <w:t>A simples admissão de que as avarias ocorreram durante o transporte não implica reconhecimento de culpa ou responsabilidade da transportadora, tratando-se de fato incontroverso que não autoriza o afastamento da DDR.</w:t>
      </w:r>
      <w:r w:rsidRPr="007B127F">
        <w:rPr>
          <w:rFonts w:ascii="Times New Roman" w:hAnsi="Times New Roman" w:cs="Times New Roman"/>
          <w:i/>
          <w:iCs/>
        </w:rPr>
        <w:t xml:space="preserve"> </w:t>
      </w:r>
      <w:r w:rsidR="00485471" w:rsidRPr="007B127F">
        <w:rPr>
          <w:rFonts w:ascii="Times New Roman" w:hAnsi="Times New Roman" w:cs="Times New Roman"/>
          <w:i/>
          <w:iCs/>
        </w:rPr>
        <w:t>As exceções à cláusula DDR devem ser interpretadas restritivamente, nos termos do art. 114 do Código Civil, que estabelece que os negócios jurídicos benéficos e a renúncia interpretam-se estritamente.</w:t>
      </w:r>
      <w:r w:rsidRPr="007B127F">
        <w:rPr>
          <w:rFonts w:ascii="Times New Roman" w:hAnsi="Times New Roman" w:cs="Times New Roman"/>
          <w:i/>
          <w:iCs/>
        </w:rPr>
        <w:t xml:space="preserve"> </w:t>
      </w:r>
      <w:r w:rsidR="00485471" w:rsidRPr="007B127F">
        <w:rPr>
          <w:rFonts w:ascii="Times New Roman" w:hAnsi="Times New Roman" w:cs="Times New Roman"/>
          <w:i/>
          <w:iCs/>
        </w:rPr>
        <w:t>Não se desincumbindo a seguradora do ônus probatório que lhe competia (CPC, art. 373, I), mantém-se a improcedência da ação regressiva</w:t>
      </w:r>
      <w:r w:rsidR="00485471" w:rsidRPr="00485471">
        <w:rPr>
          <w:rFonts w:ascii="Times New Roman" w:hAnsi="Times New Roman" w:cs="Times New Roman"/>
        </w:rPr>
        <w:t>.</w:t>
      </w:r>
      <w:r>
        <w:rPr>
          <w:rFonts w:ascii="Times New Roman" w:hAnsi="Times New Roman" w:cs="Times New Roman"/>
        </w:rPr>
        <w:t xml:space="preserve">” </w:t>
      </w:r>
      <w:proofErr w:type="gramStart"/>
      <w:r w:rsidR="00485471" w:rsidRPr="00485471">
        <w:rPr>
          <w:rFonts w:ascii="Times New Roman" w:hAnsi="Times New Roman" w:cs="Times New Roman"/>
        </w:rPr>
        <w:t>[</w:t>
      </w:r>
      <w:proofErr w:type="gramEnd"/>
      <w:r w:rsidR="00485471" w:rsidRPr="00485471">
        <w:rPr>
          <w:rFonts w:ascii="Times New Roman" w:hAnsi="Times New Roman" w:cs="Times New Roman"/>
        </w:rPr>
        <w:t xml:space="preserve">TJMG - Apelação Cível 1.0000.25.223152-7/001, Rel. Des. Maria Luiza Santana Assunção, 13ª CÂMARA CÍVEL, </w:t>
      </w:r>
      <w:proofErr w:type="spellStart"/>
      <w:r w:rsidR="00485471" w:rsidRPr="00485471">
        <w:rPr>
          <w:rFonts w:ascii="Times New Roman" w:hAnsi="Times New Roman" w:cs="Times New Roman"/>
        </w:rPr>
        <w:t>DJe</w:t>
      </w:r>
      <w:proofErr w:type="spellEnd"/>
      <w:r w:rsidR="00485471" w:rsidRPr="00485471">
        <w:rPr>
          <w:rFonts w:ascii="Times New Roman" w:hAnsi="Times New Roman" w:cs="Times New Roman"/>
        </w:rPr>
        <w:t xml:space="preserve"> 15.09.2025]</w:t>
      </w:r>
    </w:p>
    <w:p w14:paraId="05703662" w14:textId="732C89AF"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Ademais, o art. 884 do Código Civil determina que “</w:t>
      </w:r>
      <w:r w:rsidRPr="007B127F">
        <w:rPr>
          <w:rFonts w:ascii="Times New Roman" w:hAnsi="Times New Roman" w:cs="Times New Roman"/>
          <w:i/>
          <w:iCs/>
        </w:rPr>
        <w:t>aquele que, sem justa causa, se enriquecer à custa de outrem será obrigado a restituir o indevidamente auferido</w:t>
      </w:r>
      <w:r w:rsidRPr="00485471">
        <w:rPr>
          <w:rFonts w:ascii="Times New Roman" w:hAnsi="Times New Roman" w:cs="Times New Roman"/>
        </w:rPr>
        <w:t xml:space="preserve">”. </w:t>
      </w:r>
    </w:p>
    <w:p w14:paraId="134156F8" w14:textId="0EAAFCD5"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O contrato, como visto, não atribui ao locador a propriedade de mobiliário destacável, mas, sim, atribui apenas as benfeitorias e construções incorporadas ao imóvel, sem dever de indenizar. </w:t>
      </w:r>
    </w:p>
    <w:p w14:paraId="58115E33" w14:textId="50B99829"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Este juízo já reconheceu o ponto com clareza, no despacho do Evento </w:t>
      </w:r>
      <w:r w:rsidR="007B127F">
        <w:rPr>
          <w:rFonts w:ascii="Times New Roman" w:hAnsi="Times New Roman" w:cs="Times New Roman"/>
        </w:rPr>
        <w:t>...</w:t>
      </w:r>
      <w:r w:rsidRPr="00485471">
        <w:rPr>
          <w:rFonts w:ascii="Times New Roman" w:hAnsi="Times New Roman" w:cs="Times New Roman"/>
        </w:rPr>
        <w:t>:</w:t>
      </w:r>
    </w:p>
    <w:p w14:paraId="2D57BED1" w14:textId="77777777"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w:t>
      </w:r>
      <w:r w:rsidRPr="007B127F">
        <w:rPr>
          <w:rFonts w:ascii="Times New Roman" w:hAnsi="Times New Roman" w:cs="Times New Roman"/>
          <w:i/>
          <w:iCs/>
        </w:rPr>
        <w:t>A improcedência do pedido de reparação pecuniária não confere ao réu o direito de se apropriar dos bens pertencentes aos autores. Entendimento contrário configuraria evidente enriquecimento sem causa, vedado pelo ordenamento jurídico (art. 884 do Código Civil). O direito de propriedade dos autores sobre os móveis que adquiriram permanece hígido, conforme o art. 1.228 do mesmo diploma</w:t>
      </w:r>
      <w:r w:rsidRPr="00485471">
        <w:rPr>
          <w:rFonts w:ascii="Times New Roman" w:hAnsi="Times New Roman" w:cs="Times New Roman"/>
        </w:rPr>
        <w:t xml:space="preserve">." </w:t>
      </w:r>
    </w:p>
    <w:p w14:paraId="2B380416" w14:textId="00B84DBB"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O requerido/</w:t>
      </w:r>
      <w:r w:rsidR="007B127F">
        <w:rPr>
          <w:rFonts w:ascii="Times New Roman" w:hAnsi="Times New Roman" w:cs="Times New Roman"/>
        </w:rPr>
        <w:t xml:space="preserve">... </w:t>
      </w:r>
      <w:r w:rsidRPr="00485471">
        <w:rPr>
          <w:rFonts w:ascii="Times New Roman" w:hAnsi="Times New Roman" w:cs="Times New Roman"/>
        </w:rPr>
        <w:t xml:space="preserve">não demonstrou a incorporação física dos bens ao imóvel, não apresentou título aquisitivo e não apontou decisão judicial que lhe tenha atribuído </w:t>
      </w:r>
      <w:proofErr w:type="spellStart"/>
      <w:r w:rsidRPr="00485471">
        <w:rPr>
          <w:rFonts w:ascii="Times New Roman" w:hAnsi="Times New Roman" w:cs="Times New Roman"/>
        </w:rPr>
        <w:t>a</w:t>
      </w:r>
      <w:proofErr w:type="spellEnd"/>
      <w:r w:rsidRPr="00485471">
        <w:rPr>
          <w:rFonts w:ascii="Times New Roman" w:hAnsi="Times New Roman" w:cs="Times New Roman"/>
        </w:rPr>
        <w:t xml:space="preserve"> propriedade do mobiliário. </w:t>
      </w:r>
    </w:p>
    <w:p w14:paraId="1F1A6A01" w14:textId="15BDBC6B"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O que não é admissível é que a exoneração do dever de pagar seja convertida, por via interpretativa, em autorização para ficar com o que não lhe pertence. Não pagar e não devolver são situações distintas, e somente a primeira foi objeto do julgado.</w:t>
      </w:r>
    </w:p>
    <w:p w14:paraId="53616BF3" w14:textId="77777777"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ab/>
      </w:r>
    </w:p>
    <w:p w14:paraId="5B771CF9" w14:textId="77777777" w:rsidR="00485471" w:rsidRPr="007B127F" w:rsidRDefault="00485471" w:rsidP="00485471">
      <w:pPr>
        <w:ind w:right="-568"/>
        <w:jc w:val="both"/>
        <w:rPr>
          <w:rFonts w:ascii="Times New Roman" w:hAnsi="Times New Roman" w:cs="Times New Roman"/>
          <w:b/>
          <w:bCs/>
        </w:rPr>
      </w:pPr>
      <w:r w:rsidRPr="007B127F">
        <w:rPr>
          <w:rFonts w:ascii="Times New Roman" w:hAnsi="Times New Roman" w:cs="Times New Roman"/>
          <w:b/>
          <w:bCs/>
        </w:rPr>
        <w:lastRenderedPageBreak/>
        <w:t xml:space="preserve">VI– AUSÊNCIA DE LITIGÂNCIA DE MÁ-FÉ </w:t>
      </w:r>
    </w:p>
    <w:p w14:paraId="5EF40FEE" w14:textId="2FA90A78"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Por fim, foi requerida a condenação dos autores por litigância de má-fé, sob o argumento de que deduziriam pretensão contra texto expresso de contrato e de lei e procederiam de modo temerário.</w:t>
      </w:r>
      <w:r w:rsidR="007B127F" w:rsidRPr="00485471">
        <w:rPr>
          <w:rFonts w:ascii="Times New Roman" w:hAnsi="Times New Roman" w:cs="Times New Roman"/>
        </w:rPr>
        <w:t xml:space="preserve"> </w:t>
      </w:r>
      <w:r w:rsidRPr="00485471">
        <w:rPr>
          <w:rFonts w:ascii="Times New Roman" w:hAnsi="Times New Roman" w:cs="Times New Roman"/>
        </w:rPr>
        <w:t xml:space="preserve">O pedido não tem qualquer consistência. </w:t>
      </w:r>
    </w:p>
    <w:p w14:paraId="35BA0CCD" w14:textId="77777777" w:rsidR="007B127F" w:rsidRDefault="00485471" w:rsidP="00485471">
      <w:pPr>
        <w:ind w:right="-568"/>
        <w:jc w:val="both"/>
        <w:rPr>
          <w:rFonts w:ascii="Times New Roman" w:hAnsi="Times New Roman" w:cs="Times New Roman"/>
        </w:rPr>
      </w:pPr>
      <w:r w:rsidRPr="00485471">
        <w:rPr>
          <w:rFonts w:ascii="Times New Roman" w:hAnsi="Times New Roman" w:cs="Times New Roman"/>
        </w:rPr>
        <w:t>A litigância de má-fé exige conduta dolosa ou manifestamente temerária, apurável de forma objetiva, e não equivale ao simples exercício de pretensão contestada pela parte contrária.</w:t>
      </w:r>
    </w:p>
    <w:p w14:paraId="7C99EC8A" w14:textId="190D7E7C"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Os autores deduziram pedido amparado em dispositivos legais, na interpretação literal de cláusula contratual, na distinção consolidada entre benfeitoria e pertença e na própria declaração anterior do réu de que os bens estavam à sua disposição para retirada.</w:t>
      </w:r>
    </w:p>
    <w:p w14:paraId="03D2A4E3" w14:textId="212CAC16"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 xml:space="preserve">Mais do que isso, a pertinência da discussão foi reconhecida por este Juízo, que, no despacho do Evento </w:t>
      </w:r>
      <w:r w:rsidR="007B127F">
        <w:rPr>
          <w:rFonts w:ascii="Times New Roman" w:hAnsi="Times New Roman" w:cs="Times New Roman"/>
        </w:rPr>
        <w:t>...</w:t>
      </w:r>
      <w:r w:rsidRPr="00485471">
        <w:rPr>
          <w:rFonts w:ascii="Times New Roman" w:hAnsi="Times New Roman" w:cs="Times New Roman"/>
        </w:rPr>
        <w:t xml:space="preserve">, afirmou que </w:t>
      </w:r>
      <w:r w:rsidRPr="007B127F">
        <w:rPr>
          <w:rFonts w:ascii="Times New Roman" w:hAnsi="Times New Roman" w:cs="Times New Roman"/>
          <w:i/>
          <w:iCs/>
        </w:rPr>
        <w:t>"assiste razão, em parte, aos autores</w:t>
      </w:r>
      <w:r w:rsidRPr="00485471">
        <w:rPr>
          <w:rFonts w:ascii="Times New Roman" w:hAnsi="Times New Roman" w:cs="Times New Roman"/>
        </w:rPr>
        <w:t xml:space="preserve">", distinguiu a pretensão restitutória da indenizatória e considerou cabível sua apreciação nestes autos. </w:t>
      </w:r>
    </w:p>
    <w:p w14:paraId="4A8AC58F" w14:textId="49D279AB"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Não há como qualificar de temerária, ou de contrária a texto expresso de lei, pretensão que o próprio órgão julgador já considerou juridicamente plausível e merecedora de exame.</w:t>
      </w:r>
    </w:p>
    <w:p w14:paraId="015AFCE6" w14:textId="2A927F5F"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A tentativa de imputar má-fé aos autores, nesse contexto, revela apenas o propósito de intimidar o exercício legítimo de direito. O pedido deve ser rejeitado.</w:t>
      </w:r>
    </w:p>
    <w:p w14:paraId="5DB54522" w14:textId="77777777" w:rsidR="00485471" w:rsidRPr="007B127F" w:rsidRDefault="00485471" w:rsidP="00485471">
      <w:pPr>
        <w:ind w:right="-568"/>
        <w:jc w:val="both"/>
        <w:rPr>
          <w:rFonts w:ascii="Times New Roman" w:hAnsi="Times New Roman" w:cs="Times New Roman"/>
          <w:b/>
          <w:bCs/>
        </w:rPr>
      </w:pPr>
      <w:r w:rsidRPr="007B127F">
        <w:rPr>
          <w:rFonts w:ascii="Times New Roman" w:hAnsi="Times New Roman" w:cs="Times New Roman"/>
          <w:b/>
          <w:bCs/>
        </w:rPr>
        <w:t>VII– PEDIDOS</w:t>
      </w:r>
    </w:p>
    <w:p w14:paraId="3DA44DEB" w14:textId="4C7FE014" w:rsidR="00485471" w:rsidRPr="00485471" w:rsidRDefault="00485471" w:rsidP="00485471">
      <w:pPr>
        <w:ind w:right="-568"/>
        <w:jc w:val="both"/>
        <w:rPr>
          <w:rFonts w:ascii="Times New Roman" w:hAnsi="Times New Roman" w:cs="Times New Roman"/>
        </w:rPr>
      </w:pPr>
      <w:proofErr w:type="spellStart"/>
      <w:r w:rsidRPr="007B127F">
        <w:rPr>
          <w:rFonts w:ascii="Times New Roman" w:hAnsi="Times New Roman" w:cs="Times New Roman"/>
          <w:b/>
          <w:bCs/>
          <w:i/>
          <w:iCs/>
        </w:rPr>
        <w:t>Ex</w:t>
      </w:r>
      <w:proofErr w:type="spellEnd"/>
      <w:r w:rsidRPr="007B127F">
        <w:rPr>
          <w:rFonts w:ascii="Times New Roman" w:hAnsi="Times New Roman" w:cs="Times New Roman"/>
          <w:b/>
          <w:bCs/>
          <w:i/>
          <w:iCs/>
        </w:rPr>
        <w:t xml:space="preserve"> positis</w:t>
      </w:r>
      <w:r w:rsidRPr="00485471">
        <w:rPr>
          <w:rFonts w:ascii="Times New Roman" w:hAnsi="Times New Roman" w:cs="Times New Roman"/>
        </w:rPr>
        <w:t>, os autores requerem:</w:t>
      </w:r>
    </w:p>
    <w:p w14:paraId="634DFB5F" w14:textId="3C4B9D59" w:rsidR="00485471" w:rsidRPr="007B127F" w:rsidRDefault="007B127F" w:rsidP="007B127F">
      <w:pPr>
        <w:ind w:right="-568"/>
        <w:jc w:val="both"/>
        <w:rPr>
          <w:rFonts w:ascii="Times New Roman" w:hAnsi="Times New Roman" w:cs="Times New Roman"/>
        </w:rPr>
      </w:pPr>
      <w:r w:rsidRPr="007B127F">
        <w:rPr>
          <w:rFonts w:ascii="Times New Roman" w:hAnsi="Times New Roman" w:cs="Times New Roman"/>
        </w:rPr>
        <w:t>a)</w:t>
      </w:r>
      <w:r>
        <w:rPr>
          <w:rFonts w:ascii="Times New Roman" w:hAnsi="Times New Roman" w:cs="Times New Roman"/>
        </w:rPr>
        <w:t xml:space="preserve"> </w:t>
      </w:r>
      <w:r w:rsidR="00485471" w:rsidRPr="007B127F">
        <w:rPr>
          <w:rFonts w:ascii="Times New Roman" w:hAnsi="Times New Roman" w:cs="Times New Roman"/>
        </w:rPr>
        <w:t xml:space="preserve">a REJEIÇÃO DAS PRELIMINARES DE INADEQUAÇÃO DA VIA ELEITA E DE FALTA DE INTERESSE PROCESSUAL POR PRECLUSÃO, com a manutenção da apreciação do pedido restitutório nestes autos, como já decidido no despacho do Evento </w:t>
      </w:r>
      <w:r>
        <w:rPr>
          <w:rFonts w:ascii="Times New Roman" w:hAnsi="Times New Roman" w:cs="Times New Roman"/>
        </w:rPr>
        <w:t>...</w:t>
      </w:r>
      <w:r w:rsidR="00485471" w:rsidRPr="007B127F">
        <w:rPr>
          <w:rFonts w:ascii="Times New Roman" w:hAnsi="Times New Roman" w:cs="Times New Roman"/>
        </w:rPr>
        <w:t>;</w:t>
      </w:r>
    </w:p>
    <w:p w14:paraId="6A7FCBB8" w14:textId="2F79EEB6"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b)</w:t>
      </w:r>
      <w:r w:rsidR="007B127F">
        <w:rPr>
          <w:rFonts w:ascii="Times New Roman" w:hAnsi="Times New Roman" w:cs="Times New Roman"/>
        </w:rPr>
        <w:t xml:space="preserve"> </w:t>
      </w:r>
      <w:r w:rsidRPr="00485471">
        <w:rPr>
          <w:rFonts w:ascii="Times New Roman" w:hAnsi="Times New Roman" w:cs="Times New Roman"/>
        </w:rPr>
        <w:t>no mérito, O AFASTAMENTO INTEGRAL DOS ARGUMENTOS APRESENTADOS PELO RÉU, com o reconhecimento de que não há coisa julgada sobre a propriedade ou sobre a natureza jurídica específica dos móveis planejados, que tais bens não são alcançados pela cláusula 4ª do contrato de locação e que sua propriedade permanece com os autores;</w:t>
      </w:r>
    </w:p>
    <w:p w14:paraId="43B75186" w14:textId="6B379C2A"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c)</w:t>
      </w:r>
      <w:r w:rsidR="007B127F">
        <w:rPr>
          <w:rFonts w:ascii="Times New Roman" w:hAnsi="Times New Roman" w:cs="Times New Roman"/>
        </w:rPr>
        <w:t xml:space="preserve"> </w:t>
      </w:r>
      <w:r w:rsidRPr="00485471">
        <w:rPr>
          <w:rFonts w:ascii="Times New Roman" w:hAnsi="Times New Roman" w:cs="Times New Roman"/>
        </w:rPr>
        <w:t xml:space="preserve">o DEFERIMENTO DO PEDIDO DE RESTITUIÇÃO, nos termos já requeridos na petição Evento </w:t>
      </w:r>
      <w:r w:rsidR="007B127F">
        <w:rPr>
          <w:rFonts w:ascii="Times New Roman" w:hAnsi="Times New Roman" w:cs="Times New Roman"/>
        </w:rPr>
        <w:t>...</w:t>
      </w:r>
      <w:r w:rsidRPr="00485471">
        <w:rPr>
          <w:rFonts w:ascii="Times New Roman" w:hAnsi="Times New Roman" w:cs="Times New Roman"/>
        </w:rPr>
        <w:t xml:space="preserve">, para que o réu seja intimado, na pessoa de seu advogado, a promover, no prazo de 15 [quinze] dias, a entrega dos móveis planejados ou, alternativamente, a permitir sua retirada pelos autores, em dia e horário previamente ajustados, franqueando o acesso ao imóvel diretamente ou por pessoa por ele indicada. Estabelecendo-se no decisum que o descumprimento da obrigação de fazer imposta — consistente na entrega do mobiliário no prazo fixado por este Juízo — ensejará a aplicação de multa diária no valor de R$ </w:t>
      </w:r>
      <w:r w:rsidR="007B127F">
        <w:rPr>
          <w:rFonts w:ascii="Times New Roman" w:hAnsi="Times New Roman" w:cs="Times New Roman"/>
        </w:rPr>
        <w:t>...</w:t>
      </w:r>
      <w:r w:rsidRPr="00485471">
        <w:rPr>
          <w:rFonts w:ascii="Times New Roman" w:hAnsi="Times New Roman" w:cs="Times New Roman"/>
        </w:rPr>
        <w:t>[</w:t>
      </w:r>
      <w:r w:rsidR="007B127F">
        <w:rPr>
          <w:rFonts w:ascii="Times New Roman" w:hAnsi="Times New Roman" w:cs="Times New Roman"/>
        </w:rPr>
        <w:t>...</w:t>
      </w:r>
      <w:r w:rsidRPr="00485471">
        <w:rPr>
          <w:rFonts w:ascii="Times New Roman" w:hAnsi="Times New Roman" w:cs="Times New Roman"/>
        </w:rPr>
        <w:t>], com fulcro nos artigos 497, 536, § 1º, e 537 do CPC, sem prejuízo da imediata expedição de mandado de imissão na posse e busca e apreensão, a ser cumprido de forma coercitiva por Oficial de Justiça, inclusive com o auxílio de força policial e arrombamento, se necessário [CPC, art.536, § 2º], como medida indutiva e coercitiva necessária para assegurar o resultado prático equivalente ao adimplemento.</w:t>
      </w:r>
    </w:p>
    <w:p w14:paraId="6ABF48EF" w14:textId="77777777" w:rsidR="00485471" w:rsidRPr="00485471" w:rsidRDefault="00485471" w:rsidP="00485471">
      <w:pPr>
        <w:ind w:right="-568"/>
        <w:jc w:val="both"/>
        <w:rPr>
          <w:rFonts w:ascii="Times New Roman" w:hAnsi="Times New Roman" w:cs="Times New Roman"/>
        </w:rPr>
      </w:pPr>
    </w:p>
    <w:p w14:paraId="79A90469" w14:textId="3D25EB5C" w:rsidR="00485471" w:rsidRPr="00485471" w:rsidRDefault="00485471" w:rsidP="00485471">
      <w:pPr>
        <w:ind w:right="-568"/>
        <w:jc w:val="both"/>
        <w:rPr>
          <w:rFonts w:ascii="Times New Roman" w:hAnsi="Times New Roman" w:cs="Times New Roman"/>
        </w:rPr>
      </w:pPr>
      <w:r w:rsidRPr="00485471">
        <w:rPr>
          <w:rFonts w:ascii="Times New Roman" w:hAnsi="Times New Roman" w:cs="Times New Roman"/>
        </w:rPr>
        <w:t>d)</w:t>
      </w:r>
      <w:r w:rsidR="007B127F">
        <w:rPr>
          <w:rFonts w:ascii="Times New Roman" w:hAnsi="Times New Roman" w:cs="Times New Roman"/>
        </w:rPr>
        <w:t xml:space="preserve"> </w:t>
      </w:r>
      <w:r w:rsidRPr="00485471">
        <w:rPr>
          <w:rFonts w:ascii="Times New Roman" w:hAnsi="Times New Roman" w:cs="Times New Roman"/>
        </w:rPr>
        <w:t>a rejeição do pedido de condenação dos autores por litigância de má-fé, ante a ausência de qualquer das hipóteses do art. 80 do CPC.</w:t>
      </w:r>
    </w:p>
    <w:p w14:paraId="641B3AE9" w14:textId="0ACD88C1" w:rsidR="00485471" w:rsidRPr="00485471" w:rsidRDefault="00485471" w:rsidP="007B127F">
      <w:pPr>
        <w:spacing w:after="0" w:line="240" w:lineRule="auto"/>
        <w:ind w:right="-567"/>
        <w:jc w:val="center"/>
        <w:rPr>
          <w:rFonts w:ascii="Times New Roman" w:hAnsi="Times New Roman" w:cs="Times New Roman"/>
        </w:rPr>
      </w:pPr>
      <w:r w:rsidRPr="00485471">
        <w:rPr>
          <w:rFonts w:ascii="Times New Roman" w:hAnsi="Times New Roman" w:cs="Times New Roman"/>
        </w:rPr>
        <w:t>P</w:t>
      </w:r>
      <w:r w:rsidR="007B127F">
        <w:rPr>
          <w:rFonts w:ascii="Times New Roman" w:hAnsi="Times New Roman" w:cs="Times New Roman"/>
        </w:rPr>
        <w:t>ede</w:t>
      </w:r>
      <w:r w:rsidRPr="00485471">
        <w:rPr>
          <w:rFonts w:ascii="Times New Roman" w:hAnsi="Times New Roman" w:cs="Times New Roman"/>
        </w:rPr>
        <w:t xml:space="preserve"> Deferimento.</w:t>
      </w:r>
    </w:p>
    <w:p w14:paraId="3FD36512" w14:textId="4969B323" w:rsidR="00485471" w:rsidRDefault="007B127F" w:rsidP="007B127F">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5BD0AC17" w14:textId="2F3E88B0" w:rsidR="007B127F" w:rsidRPr="00485471" w:rsidRDefault="007B127F" w:rsidP="007B127F">
      <w:pPr>
        <w:spacing w:after="0" w:line="240" w:lineRule="auto"/>
        <w:ind w:right="-567"/>
        <w:jc w:val="center"/>
        <w:rPr>
          <w:rFonts w:ascii="Times New Roman" w:hAnsi="Times New Roman" w:cs="Times New Roman"/>
        </w:rPr>
      </w:pPr>
      <w:r>
        <w:rPr>
          <w:rFonts w:ascii="Times New Roman" w:hAnsi="Times New Roman" w:cs="Times New Roman"/>
        </w:rPr>
        <w:t>(Assinatura e OAB do Advogado)</w:t>
      </w:r>
    </w:p>
    <w:sectPr w:rsidR="007B127F" w:rsidRPr="0048547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D0A32" w14:textId="77777777" w:rsidR="00F41360" w:rsidRDefault="00F41360" w:rsidP="00485471">
      <w:pPr>
        <w:spacing w:after="0" w:line="240" w:lineRule="auto"/>
      </w:pPr>
      <w:r>
        <w:separator/>
      </w:r>
    </w:p>
  </w:endnote>
  <w:endnote w:type="continuationSeparator" w:id="0">
    <w:p w14:paraId="700987C3" w14:textId="77777777" w:rsidR="00F41360" w:rsidRDefault="00F41360" w:rsidP="00485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C1ACC" w14:textId="77777777" w:rsidR="00F41360" w:rsidRDefault="00F41360" w:rsidP="00485471">
      <w:pPr>
        <w:spacing w:after="0" w:line="240" w:lineRule="auto"/>
      </w:pPr>
      <w:r>
        <w:separator/>
      </w:r>
    </w:p>
  </w:footnote>
  <w:footnote w:type="continuationSeparator" w:id="0">
    <w:p w14:paraId="66D2E9BD" w14:textId="77777777" w:rsidR="00F41360" w:rsidRDefault="00F41360" w:rsidP="00485471">
      <w:pPr>
        <w:spacing w:after="0" w:line="240" w:lineRule="auto"/>
      </w:pPr>
      <w:r>
        <w:continuationSeparator/>
      </w:r>
    </w:p>
  </w:footnote>
  <w:footnote w:id="1">
    <w:p w14:paraId="6EB95384" w14:textId="4FFFCF27" w:rsidR="003168BC" w:rsidRPr="003168BC" w:rsidRDefault="003168BC" w:rsidP="003168BC">
      <w:pPr>
        <w:pStyle w:val="Textodenotaderodap"/>
        <w:jc w:val="both"/>
        <w:rPr>
          <w:rFonts w:ascii="Times New Roman" w:hAnsi="Times New Roman" w:cs="Times New Roman"/>
        </w:rPr>
      </w:pPr>
      <w:r w:rsidRPr="003168BC">
        <w:rPr>
          <w:rStyle w:val="Refdenotaderodap"/>
          <w:rFonts w:ascii="Times New Roman" w:hAnsi="Times New Roman" w:cs="Times New Roman"/>
        </w:rPr>
        <w:footnoteRef/>
      </w:r>
      <w:r w:rsidRPr="003168BC">
        <w:rPr>
          <w:rFonts w:ascii="Times New Roman" w:hAnsi="Times New Roman" w:cs="Times New Roman"/>
        </w:rPr>
        <w:t xml:space="preserve"> </w:t>
      </w:r>
      <w:r w:rsidRPr="003168BC">
        <w:rPr>
          <w:rFonts w:ascii="Times New Roman" w:hAnsi="Times New Roman" w:cs="Times New Roman"/>
        </w:rPr>
        <w:t>CC, art. 114. Os negócios jurídicos benéficos e a renúncia interpretam-se estritamente.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51F99"/>
    <w:multiLevelType w:val="hybridMultilevel"/>
    <w:tmpl w:val="CACA559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386103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471"/>
    <w:rsid w:val="00037022"/>
    <w:rsid w:val="003168BC"/>
    <w:rsid w:val="00485471"/>
    <w:rsid w:val="007B127F"/>
    <w:rsid w:val="00F4136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58998"/>
  <w15:chartTrackingRefBased/>
  <w15:docId w15:val="{9D94623D-3467-48FA-B2D7-5D9D9E5AF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4854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4854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48547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48547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48547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48547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48547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48547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48547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85471"/>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485471"/>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485471"/>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485471"/>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485471"/>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48547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8547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8547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85471"/>
    <w:rPr>
      <w:rFonts w:eastAsiaTheme="majorEastAsia" w:cstheme="majorBidi"/>
      <w:color w:val="272727" w:themeColor="text1" w:themeTint="D8"/>
    </w:rPr>
  </w:style>
  <w:style w:type="paragraph" w:styleId="Ttulo">
    <w:name w:val="Title"/>
    <w:basedOn w:val="Normal"/>
    <w:next w:val="Normal"/>
    <w:link w:val="TtuloChar"/>
    <w:uiPriority w:val="10"/>
    <w:qFormat/>
    <w:rsid w:val="004854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48547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8547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48547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85471"/>
    <w:pPr>
      <w:spacing w:before="160"/>
      <w:jc w:val="center"/>
    </w:pPr>
    <w:rPr>
      <w:i/>
      <w:iCs/>
      <w:color w:val="404040" w:themeColor="text1" w:themeTint="BF"/>
    </w:rPr>
  </w:style>
  <w:style w:type="character" w:customStyle="1" w:styleId="CitaoChar">
    <w:name w:val="Citação Char"/>
    <w:basedOn w:val="Fontepargpadro"/>
    <w:link w:val="Citao"/>
    <w:uiPriority w:val="29"/>
    <w:rsid w:val="00485471"/>
    <w:rPr>
      <w:i/>
      <w:iCs/>
      <w:color w:val="404040" w:themeColor="text1" w:themeTint="BF"/>
    </w:rPr>
  </w:style>
  <w:style w:type="paragraph" w:styleId="PargrafodaLista">
    <w:name w:val="List Paragraph"/>
    <w:basedOn w:val="Normal"/>
    <w:uiPriority w:val="34"/>
    <w:qFormat/>
    <w:rsid w:val="00485471"/>
    <w:pPr>
      <w:ind w:left="720"/>
      <w:contextualSpacing/>
    </w:pPr>
  </w:style>
  <w:style w:type="character" w:styleId="nfaseIntensa">
    <w:name w:val="Intense Emphasis"/>
    <w:basedOn w:val="Fontepargpadro"/>
    <w:uiPriority w:val="21"/>
    <w:qFormat/>
    <w:rsid w:val="00485471"/>
    <w:rPr>
      <w:i/>
      <w:iCs/>
      <w:color w:val="2F5496" w:themeColor="accent1" w:themeShade="BF"/>
    </w:rPr>
  </w:style>
  <w:style w:type="paragraph" w:styleId="CitaoIntensa">
    <w:name w:val="Intense Quote"/>
    <w:basedOn w:val="Normal"/>
    <w:next w:val="Normal"/>
    <w:link w:val="CitaoIntensaChar"/>
    <w:uiPriority w:val="30"/>
    <w:qFormat/>
    <w:rsid w:val="004854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485471"/>
    <w:rPr>
      <w:i/>
      <w:iCs/>
      <w:color w:val="2F5496" w:themeColor="accent1" w:themeShade="BF"/>
    </w:rPr>
  </w:style>
  <w:style w:type="character" w:styleId="RefernciaIntensa">
    <w:name w:val="Intense Reference"/>
    <w:basedOn w:val="Fontepargpadro"/>
    <w:uiPriority w:val="32"/>
    <w:qFormat/>
    <w:rsid w:val="00485471"/>
    <w:rPr>
      <w:b/>
      <w:bCs/>
      <w:smallCaps/>
      <w:color w:val="2F5496" w:themeColor="accent1" w:themeShade="BF"/>
      <w:spacing w:val="5"/>
    </w:rPr>
  </w:style>
  <w:style w:type="paragraph" w:styleId="Textodenotaderodap">
    <w:name w:val="footnote text"/>
    <w:basedOn w:val="Normal"/>
    <w:link w:val="TextodenotaderodapChar"/>
    <w:uiPriority w:val="99"/>
    <w:semiHidden/>
    <w:unhideWhenUsed/>
    <w:rsid w:val="003168BC"/>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3168BC"/>
    <w:rPr>
      <w:sz w:val="20"/>
      <w:szCs w:val="20"/>
    </w:rPr>
  </w:style>
  <w:style w:type="character" w:styleId="Refdenotaderodap">
    <w:name w:val="footnote reference"/>
    <w:basedOn w:val="Fontepargpadro"/>
    <w:uiPriority w:val="99"/>
    <w:semiHidden/>
    <w:unhideWhenUsed/>
    <w:rsid w:val="003168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E356B-325D-4C25-85A2-4EE80FAB1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Pages>
  <Words>3509</Words>
  <Characters>18950</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2026-08-24T19:17:00Z</dcterms:created>
  <dcterms:modified xsi:type="dcterms:W3CDTF">2026-08-24T19:38:00Z</dcterms:modified>
</cp:coreProperties>
</file>