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286BA" w14:textId="77777777" w:rsidR="00FD5770" w:rsidRPr="00FD5770" w:rsidRDefault="00FD5770" w:rsidP="00FD5770">
      <w:pPr>
        <w:spacing w:after="0" w:line="240" w:lineRule="auto"/>
        <w:ind w:right="-567"/>
        <w:jc w:val="center"/>
        <w:rPr>
          <w:rFonts w:ascii="Arial Black" w:hAnsi="Arial Black" w:cs="Times New Roman"/>
        </w:rPr>
      </w:pPr>
      <w:r w:rsidRPr="00FD5770">
        <w:rPr>
          <w:rFonts w:ascii="Arial Black" w:hAnsi="Arial Black" w:cs="Times New Roman"/>
        </w:rPr>
        <w:t>MODELO DE PETIÇÃO</w:t>
      </w:r>
    </w:p>
    <w:p w14:paraId="6DE75C3E" w14:textId="77777777" w:rsidR="00FD5770" w:rsidRPr="00FD5770" w:rsidRDefault="00FD5770" w:rsidP="00FD5770">
      <w:pPr>
        <w:spacing w:after="0" w:line="240" w:lineRule="auto"/>
        <w:ind w:right="-567"/>
        <w:jc w:val="center"/>
        <w:rPr>
          <w:rFonts w:ascii="Arial Black" w:hAnsi="Arial Black" w:cs="Times New Roman"/>
        </w:rPr>
      </w:pPr>
      <w:r w:rsidRPr="00FD5770">
        <w:rPr>
          <w:rFonts w:ascii="Arial Black" w:hAnsi="Arial Black" w:cs="Times New Roman"/>
        </w:rPr>
        <w:t>AÇÃO DE EXIGIR CONTAS. PROVA PERICAL DESIGNADA.</w:t>
      </w:r>
    </w:p>
    <w:p w14:paraId="5EAD2C5B" w14:textId="63106AE9" w:rsidR="00FD5770" w:rsidRPr="00FD5770" w:rsidRDefault="00FD5770" w:rsidP="00FD5770">
      <w:pPr>
        <w:spacing w:after="0" w:line="240" w:lineRule="auto"/>
        <w:ind w:right="-567"/>
        <w:jc w:val="center"/>
        <w:rPr>
          <w:rFonts w:ascii="Arial Black" w:hAnsi="Arial Black" w:cs="Times New Roman"/>
        </w:rPr>
      </w:pPr>
      <w:r w:rsidRPr="00FD5770">
        <w:rPr>
          <w:rFonts w:ascii="Arial Black" w:hAnsi="Arial Black" w:cs="Times New Roman"/>
        </w:rPr>
        <w:t>INSURGÊNCIA VIA AGRAVO DE INSTRUMENTO.</w:t>
      </w:r>
      <w:r>
        <w:rPr>
          <w:rFonts w:ascii="Arial Black" w:hAnsi="Arial Black" w:cs="Times New Roman"/>
        </w:rPr>
        <w:t xml:space="preserve"> </w:t>
      </w:r>
      <w:r w:rsidRPr="00FD5770">
        <w:rPr>
          <w:rFonts w:ascii="Arial Black" w:hAnsi="Arial Black" w:cs="Times New Roman"/>
        </w:rPr>
        <w:t>PRELIMINAR DE NÃO CONHECIMENTO. DECISÃO NÃO AGRAVÁVEL.</w:t>
      </w:r>
      <w:r>
        <w:rPr>
          <w:rFonts w:ascii="Arial Black" w:hAnsi="Arial Black" w:cs="Times New Roman"/>
        </w:rPr>
        <w:t xml:space="preserve"> </w:t>
      </w:r>
      <w:r w:rsidRPr="00FD5770">
        <w:rPr>
          <w:rFonts w:ascii="Arial Black" w:hAnsi="Arial Black" w:cs="Times New Roman"/>
        </w:rPr>
        <w:t>TAXATIVIDADE DO ART. 1.015 DO CPC.</w:t>
      </w:r>
      <w:r>
        <w:rPr>
          <w:rFonts w:ascii="Arial Black" w:hAnsi="Arial Black" w:cs="Times New Roman"/>
        </w:rPr>
        <w:t xml:space="preserve"> </w:t>
      </w:r>
      <w:r w:rsidRPr="00FD5770">
        <w:rPr>
          <w:rFonts w:ascii="Arial Black" w:hAnsi="Arial Black" w:cs="Times New Roman"/>
        </w:rPr>
        <w:t>PRECLUSÃO PEDIDO DE SUBSTITUIÇÃO DO PERITO.</w:t>
      </w:r>
      <w:r>
        <w:rPr>
          <w:rFonts w:ascii="Arial Black" w:hAnsi="Arial Black" w:cs="Times New Roman"/>
        </w:rPr>
        <w:t xml:space="preserve"> </w:t>
      </w:r>
      <w:r w:rsidRPr="00FD5770">
        <w:rPr>
          <w:rFonts w:ascii="Arial Black" w:hAnsi="Arial Black" w:cs="Times New Roman"/>
        </w:rPr>
        <w:t>JUIZ DESTINATÁRIO DA PROVA. CONTRARRAZÕES</w:t>
      </w:r>
    </w:p>
    <w:p w14:paraId="348B7D5B" w14:textId="77777777" w:rsidR="00FD5770" w:rsidRPr="00FD5770" w:rsidRDefault="00FD5770" w:rsidP="00FD5770">
      <w:pPr>
        <w:spacing w:after="0" w:line="240" w:lineRule="auto"/>
        <w:ind w:right="-567"/>
        <w:jc w:val="right"/>
        <w:rPr>
          <w:rFonts w:ascii="Arial Black" w:hAnsi="Arial Black" w:cs="Times New Roman"/>
        </w:rPr>
      </w:pPr>
      <w:proofErr w:type="spellStart"/>
      <w:r w:rsidRPr="00FD5770">
        <w:rPr>
          <w:rFonts w:ascii="Arial Black" w:hAnsi="Arial Black" w:cs="Times New Roman"/>
        </w:rPr>
        <w:t>Rénan</w:t>
      </w:r>
      <w:proofErr w:type="spellEnd"/>
      <w:r w:rsidRPr="00FD5770">
        <w:rPr>
          <w:rFonts w:ascii="Arial Black" w:hAnsi="Arial Black" w:cs="Times New Roman"/>
        </w:rPr>
        <w:t xml:space="preserve"> </w:t>
      </w:r>
      <w:proofErr w:type="spellStart"/>
      <w:r w:rsidRPr="00FD5770">
        <w:rPr>
          <w:rFonts w:ascii="Arial Black" w:hAnsi="Arial Black" w:cs="Times New Roman"/>
        </w:rPr>
        <w:t>Kfuri</w:t>
      </w:r>
      <w:proofErr w:type="spellEnd"/>
      <w:r w:rsidRPr="00FD5770">
        <w:rPr>
          <w:rFonts w:ascii="Arial Black" w:hAnsi="Arial Black" w:cs="Times New Roman"/>
        </w:rPr>
        <w:t xml:space="preserve"> Lopes</w:t>
      </w:r>
    </w:p>
    <w:p w14:paraId="5F1EDB97" w14:textId="77777777" w:rsidR="00FD5770" w:rsidRPr="00FD5770" w:rsidRDefault="00FD5770" w:rsidP="00FD5770">
      <w:pPr>
        <w:ind w:right="-568"/>
        <w:jc w:val="both"/>
        <w:rPr>
          <w:rFonts w:ascii="Times New Roman" w:hAnsi="Times New Roman" w:cs="Times New Roman"/>
        </w:rPr>
      </w:pPr>
    </w:p>
    <w:p w14:paraId="4BE58417" w14:textId="77777777" w:rsidR="00FD5770" w:rsidRDefault="00FD5770" w:rsidP="00FD5770">
      <w:pPr>
        <w:ind w:right="-568"/>
        <w:jc w:val="both"/>
        <w:rPr>
          <w:rFonts w:ascii="Times New Roman" w:hAnsi="Times New Roman" w:cs="Times New Roman"/>
        </w:rPr>
      </w:pPr>
      <w:r w:rsidRPr="00FD5770">
        <w:rPr>
          <w:rFonts w:ascii="Times New Roman" w:hAnsi="Times New Roman" w:cs="Times New Roman"/>
        </w:rPr>
        <w:t>E</w:t>
      </w:r>
      <w:r>
        <w:rPr>
          <w:rFonts w:ascii="Times New Roman" w:hAnsi="Times New Roman" w:cs="Times New Roman"/>
        </w:rPr>
        <w:t>xmo. Sr. Des. ...- DD Relator do Agravo de Instrumento n. ... - ...ª Câmara de Direito Comercial do Tribunal de Justiça de ...</w:t>
      </w:r>
    </w:p>
    <w:p w14:paraId="6DF11352" w14:textId="4AA5343A"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Agravo de Instrumento n. 5091674-23.2026.8.24.0000/SC</w:t>
      </w:r>
    </w:p>
    <w:p w14:paraId="2F114BD0" w14:textId="5A702886"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Origem: Ação de Exigir Contas n. </w:t>
      </w:r>
      <w:r>
        <w:rPr>
          <w:rFonts w:ascii="Times New Roman" w:hAnsi="Times New Roman" w:cs="Times New Roman"/>
        </w:rPr>
        <w:t>...</w:t>
      </w:r>
      <w:r w:rsidRPr="00FD5770">
        <w:rPr>
          <w:rFonts w:ascii="Times New Roman" w:hAnsi="Times New Roman" w:cs="Times New Roman"/>
        </w:rPr>
        <w:t xml:space="preserve"> – </w:t>
      </w:r>
      <w:proofErr w:type="gramStart"/>
      <w:r>
        <w:rPr>
          <w:rFonts w:ascii="Times New Roman" w:hAnsi="Times New Roman" w:cs="Times New Roman"/>
        </w:rPr>
        <w:t>....</w:t>
      </w:r>
      <w:r w:rsidRPr="00FD5770">
        <w:rPr>
          <w:rFonts w:ascii="Times New Roman" w:hAnsi="Times New Roman" w:cs="Times New Roman"/>
        </w:rPr>
        <w:t>ª</w:t>
      </w:r>
      <w:proofErr w:type="gramEnd"/>
      <w:r w:rsidRPr="00FD5770">
        <w:rPr>
          <w:rFonts w:ascii="Times New Roman" w:hAnsi="Times New Roman" w:cs="Times New Roman"/>
        </w:rPr>
        <w:t xml:space="preserve"> Vara Cível da Comarca de </w:t>
      </w:r>
      <w:r>
        <w:rPr>
          <w:rFonts w:ascii="Times New Roman" w:hAnsi="Times New Roman" w:cs="Times New Roman"/>
        </w:rPr>
        <w:t>...</w:t>
      </w:r>
    </w:p>
    <w:p w14:paraId="459644ED" w14:textId="5BBCB178"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Agravante: </w:t>
      </w:r>
      <w:r>
        <w:rPr>
          <w:rFonts w:ascii="Times New Roman" w:hAnsi="Times New Roman" w:cs="Times New Roman"/>
        </w:rPr>
        <w:t>...</w:t>
      </w:r>
    </w:p>
    <w:p w14:paraId="791631FA" w14:textId="5671DEF5"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Agravados: </w:t>
      </w:r>
      <w:r>
        <w:rPr>
          <w:rFonts w:ascii="Times New Roman" w:hAnsi="Times New Roman" w:cs="Times New Roman"/>
        </w:rPr>
        <w:t>..</w:t>
      </w:r>
      <w:r w:rsidRPr="00FD5770">
        <w:rPr>
          <w:rFonts w:ascii="Times New Roman" w:hAnsi="Times New Roman" w:cs="Times New Roman"/>
        </w:rPr>
        <w:t xml:space="preserve">. e </w:t>
      </w:r>
      <w:r>
        <w:rPr>
          <w:rFonts w:ascii="Times New Roman" w:hAnsi="Times New Roman" w:cs="Times New Roman"/>
        </w:rPr>
        <w:t>...</w:t>
      </w:r>
    </w:p>
    <w:p w14:paraId="7C4D7B71" w14:textId="69834766"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 </w:t>
      </w:r>
      <w:proofErr w:type="gramStart"/>
      <w:r w:rsidRPr="00FD5770">
        <w:rPr>
          <w:rFonts w:ascii="Times New Roman" w:hAnsi="Times New Roman" w:cs="Times New Roman"/>
        </w:rPr>
        <w:t>contrarrazões</w:t>
      </w:r>
      <w:proofErr w:type="gramEnd"/>
      <w:r w:rsidRPr="00FD5770">
        <w:rPr>
          <w:rFonts w:ascii="Times New Roman" w:hAnsi="Times New Roman" w:cs="Times New Roman"/>
        </w:rPr>
        <w:t xml:space="preserve"> ao agravo de instrumento -</w:t>
      </w:r>
    </w:p>
    <w:p w14:paraId="4385A093" w14:textId="77777777" w:rsidR="00FD5770" w:rsidRPr="00FD5770" w:rsidRDefault="00FD5770" w:rsidP="00FD5770">
      <w:pPr>
        <w:ind w:right="-568"/>
        <w:jc w:val="both"/>
        <w:rPr>
          <w:rFonts w:ascii="Times New Roman" w:hAnsi="Times New Roman" w:cs="Times New Roman"/>
          <w:b/>
          <w:bCs/>
        </w:rPr>
      </w:pPr>
      <w:r w:rsidRPr="00FD5770">
        <w:rPr>
          <w:rFonts w:ascii="Times New Roman" w:hAnsi="Times New Roman" w:cs="Times New Roman"/>
          <w:b/>
          <w:bCs/>
        </w:rPr>
        <w:t>FUNDAMENTOS:</w:t>
      </w:r>
    </w:p>
    <w:p w14:paraId="786E116C" w14:textId="63497E4D"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w:t>
      </w:r>
      <w:r>
        <w:rPr>
          <w:rFonts w:ascii="Times New Roman" w:hAnsi="Times New Roman" w:cs="Times New Roman"/>
        </w:rPr>
        <w:t xml:space="preserve"> </w:t>
      </w:r>
      <w:r w:rsidRPr="00FD5770">
        <w:rPr>
          <w:rFonts w:ascii="Times New Roman" w:hAnsi="Times New Roman" w:cs="Times New Roman"/>
        </w:rPr>
        <w:t>o recurso é manifestamente incabível: o STJ já decidiu, em caso idêntico, que a decisão que, na segunda fase da ação de exigir contas, defere perícia contábil e nomeia perito não é agravável (REsp 1.821.793/RJ);</w:t>
      </w:r>
    </w:p>
    <w:p w14:paraId="319F5D43" w14:textId="4F64A955"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w:t>
      </w:r>
      <w:r>
        <w:rPr>
          <w:rFonts w:ascii="Times New Roman" w:hAnsi="Times New Roman" w:cs="Times New Roman"/>
        </w:rPr>
        <w:t xml:space="preserve"> </w:t>
      </w:r>
      <w:r w:rsidRPr="00FD5770">
        <w:rPr>
          <w:rFonts w:ascii="Times New Roman" w:hAnsi="Times New Roman" w:cs="Times New Roman"/>
        </w:rPr>
        <w:t>não há a urgência exigida pelo Tema 988/STJ; o próprio agravante confessa buscar “</w:t>
      </w:r>
      <w:r w:rsidRPr="00FD5770">
        <w:rPr>
          <w:rFonts w:ascii="Times New Roman" w:hAnsi="Times New Roman" w:cs="Times New Roman"/>
          <w:i/>
          <w:iCs/>
        </w:rPr>
        <w:t>ganho temporal</w:t>
      </w:r>
      <w:r w:rsidRPr="00FD5770">
        <w:rPr>
          <w:rFonts w:ascii="Times New Roman" w:hAnsi="Times New Roman" w:cs="Times New Roman"/>
        </w:rPr>
        <w:t>”;</w:t>
      </w:r>
    </w:p>
    <w:p w14:paraId="49C9A516" w14:textId="7BED65E0"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w:t>
      </w:r>
      <w:r>
        <w:rPr>
          <w:rFonts w:ascii="Times New Roman" w:hAnsi="Times New Roman" w:cs="Times New Roman"/>
        </w:rPr>
        <w:t xml:space="preserve"> </w:t>
      </w:r>
      <w:r w:rsidRPr="00FD5770">
        <w:rPr>
          <w:rFonts w:ascii="Times New Roman" w:hAnsi="Times New Roman" w:cs="Times New Roman"/>
        </w:rPr>
        <w:t>a substituição da perita jamais foi requerida ao juízo de origem: supressão de instância e preclusão confessadas nas razões recursais;</w:t>
      </w:r>
    </w:p>
    <w:p w14:paraId="57CF1D59" w14:textId="51ED697A"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w:t>
      </w:r>
      <w:r>
        <w:rPr>
          <w:rFonts w:ascii="Times New Roman" w:hAnsi="Times New Roman" w:cs="Times New Roman"/>
        </w:rPr>
        <w:t xml:space="preserve"> </w:t>
      </w:r>
      <w:r w:rsidRPr="00FD5770">
        <w:rPr>
          <w:rFonts w:ascii="Times New Roman" w:hAnsi="Times New Roman" w:cs="Times New Roman"/>
        </w:rPr>
        <w:t>o pedido de abertura de prazo para quesitos já foi atendido pela própria decisão agravada: falta de interesse recursal;</w:t>
      </w:r>
    </w:p>
    <w:p w14:paraId="3FA5CFCD" w14:textId="047D6B8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w:t>
      </w:r>
      <w:r>
        <w:rPr>
          <w:rFonts w:ascii="Times New Roman" w:hAnsi="Times New Roman" w:cs="Times New Roman"/>
        </w:rPr>
        <w:t xml:space="preserve"> </w:t>
      </w:r>
      <w:r w:rsidRPr="00FD5770">
        <w:rPr>
          <w:rFonts w:ascii="Times New Roman" w:hAnsi="Times New Roman" w:cs="Times New Roman"/>
        </w:rPr>
        <w:t>a substituição do perito somente se admite nas hipóteses taxativas do art. 468 do CPC, não demonstradas;</w:t>
      </w:r>
    </w:p>
    <w:p w14:paraId="5721B799" w14:textId="4BCDF1CA"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w:t>
      </w:r>
      <w:r>
        <w:rPr>
          <w:rFonts w:ascii="Times New Roman" w:hAnsi="Times New Roman" w:cs="Times New Roman"/>
        </w:rPr>
        <w:t xml:space="preserve"> </w:t>
      </w:r>
      <w:r w:rsidRPr="00FD5770">
        <w:rPr>
          <w:rFonts w:ascii="Times New Roman" w:hAnsi="Times New Roman" w:cs="Times New Roman"/>
        </w:rPr>
        <w:t xml:space="preserve">inexiste </w:t>
      </w:r>
      <w:proofErr w:type="spellStart"/>
      <w:r w:rsidRPr="00FD5770">
        <w:rPr>
          <w:rFonts w:ascii="Times New Roman" w:hAnsi="Times New Roman" w:cs="Times New Roman"/>
          <w:i/>
          <w:iCs/>
        </w:rPr>
        <w:t>error</w:t>
      </w:r>
      <w:proofErr w:type="spellEnd"/>
      <w:r w:rsidRPr="00FD5770">
        <w:rPr>
          <w:rFonts w:ascii="Times New Roman" w:hAnsi="Times New Roman" w:cs="Times New Roman"/>
          <w:i/>
          <w:iCs/>
        </w:rPr>
        <w:t xml:space="preserve"> in procedendo</w:t>
      </w:r>
      <w:r w:rsidRPr="00FD5770">
        <w:rPr>
          <w:rFonts w:ascii="Times New Roman" w:hAnsi="Times New Roman" w:cs="Times New Roman"/>
        </w:rPr>
        <w:t xml:space="preserve">: o rito fixado à fl. </w:t>
      </w:r>
      <w:r>
        <w:rPr>
          <w:rFonts w:ascii="Times New Roman" w:hAnsi="Times New Roman" w:cs="Times New Roman"/>
        </w:rPr>
        <w:t>...</w:t>
      </w:r>
      <w:r w:rsidRPr="00FD5770">
        <w:rPr>
          <w:rFonts w:ascii="Times New Roman" w:hAnsi="Times New Roman" w:cs="Times New Roman"/>
        </w:rPr>
        <w:t xml:space="preserve"> e reafirmado no evento </w:t>
      </w:r>
      <w:r>
        <w:rPr>
          <w:rFonts w:ascii="Times New Roman" w:hAnsi="Times New Roman" w:cs="Times New Roman"/>
        </w:rPr>
        <w:t>...</w:t>
      </w:r>
      <w:r w:rsidRPr="00FD5770">
        <w:rPr>
          <w:rFonts w:ascii="Times New Roman" w:hAnsi="Times New Roman" w:cs="Times New Roman"/>
        </w:rPr>
        <w:t xml:space="preserve"> previa análise das contas do autor “</w:t>
      </w:r>
      <w:r w:rsidRPr="00FD5770">
        <w:rPr>
          <w:rFonts w:ascii="Times New Roman" w:hAnsi="Times New Roman" w:cs="Times New Roman"/>
          <w:i/>
          <w:iCs/>
        </w:rPr>
        <w:t>por este juízo</w:t>
      </w:r>
      <w:r w:rsidRPr="00FD5770">
        <w:rPr>
          <w:rFonts w:ascii="Times New Roman" w:hAnsi="Times New Roman" w:cs="Times New Roman"/>
        </w:rPr>
        <w:t>”, e foi exatamente o que se fez;</w:t>
      </w:r>
    </w:p>
    <w:p w14:paraId="438D5767" w14:textId="41B07915"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w:t>
      </w:r>
      <w:r>
        <w:rPr>
          <w:rFonts w:ascii="Times New Roman" w:hAnsi="Times New Roman" w:cs="Times New Roman"/>
        </w:rPr>
        <w:t xml:space="preserve"> </w:t>
      </w:r>
      <w:r w:rsidRPr="00FD5770">
        <w:rPr>
          <w:rFonts w:ascii="Times New Roman" w:hAnsi="Times New Roman" w:cs="Times New Roman"/>
        </w:rPr>
        <w:t>o contraditório sobre as contas do autor é direito dos agravados, não do agravante;</w:t>
      </w:r>
    </w:p>
    <w:p w14:paraId="715F410E" w14:textId="00686F89"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w:t>
      </w:r>
      <w:r>
        <w:rPr>
          <w:rFonts w:ascii="Times New Roman" w:hAnsi="Times New Roman" w:cs="Times New Roman"/>
        </w:rPr>
        <w:t xml:space="preserve"> </w:t>
      </w:r>
      <w:r w:rsidRPr="00FD5770">
        <w:rPr>
          <w:rFonts w:ascii="Times New Roman" w:hAnsi="Times New Roman" w:cs="Times New Roman"/>
        </w:rPr>
        <w:t>não há perigo de dano: o prejuízo alegado é exclusivamente financeiro e reversível.</w:t>
      </w:r>
    </w:p>
    <w:p w14:paraId="309FEDDD" w14:textId="77777777" w:rsidR="00FD5770" w:rsidRDefault="00FD5770" w:rsidP="00FD5770">
      <w:pPr>
        <w:ind w:right="-568"/>
        <w:jc w:val="both"/>
        <w:rPr>
          <w:rFonts w:ascii="Times New Roman" w:hAnsi="Times New Roman" w:cs="Times New Roman"/>
        </w:rPr>
      </w:pPr>
      <w:r>
        <w:rPr>
          <w:rFonts w:ascii="Times New Roman" w:hAnsi="Times New Roman" w:cs="Times New Roman"/>
        </w:rPr>
        <w:t>(nome)</w:t>
      </w:r>
      <w:r w:rsidRPr="00FD5770">
        <w:rPr>
          <w:rFonts w:ascii="Times New Roman" w:hAnsi="Times New Roman" w:cs="Times New Roman"/>
        </w:rPr>
        <w:t xml:space="preserve"> e Espólio de </w:t>
      </w:r>
      <w:r>
        <w:rPr>
          <w:rFonts w:ascii="Times New Roman" w:hAnsi="Times New Roman" w:cs="Times New Roman"/>
        </w:rPr>
        <w:t>...</w:t>
      </w:r>
      <w:r w:rsidRPr="00FD5770">
        <w:rPr>
          <w:rFonts w:ascii="Times New Roman" w:hAnsi="Times New Roman" w:cs="Times New Roman"/>
        </w:rPr>
        <w:t xml:space="preserve">, agravados, por seus advogados in fine assinados, nos autos do recurso de agravo de instrumento epigrafado, interposto por </w:t>
      </w:r>
      <w:r>
        <w:rPr>
          <w:rFonts w:ascii="Times New Roman" w:hAnsi="Times New Roman" w:cs="Times New Roman"/>
        </w:rPr>
        <w:t>...</w:t>
      </w:r>
      <w:r w:rsidRPr="00FD5770">
        <w:rPr>
          <w:rFonts w:ascii="Times New Roman" w:hAnsi="Times New Roman" w:cs="Times New Roman"/>
        </w:rPr>
        <w:t>, vêm, respeitosamente, no prazo do art. 1.019, II, do Código de Processo Civil, apresentar suas</w:t>
      </w:r>
      <w:r>
        <w:rPr>
          <w:rFonts w:ascii="Times New Roman" w:hAnsi="Times New Roman" w:cs="Times New Roman"/>
        </w:rPr>
        <w:t xml:space="preserve"> </w:t>
      </w:r>
      <w:r w:rsidRPr="00FD5770">
        <w:rPr>
          <w:rFonts w:ascii="Times New Roman" w:hAnsi="Times New Roman" w:cs="Times New Roman"/>
        </w:rPr>
        <w:t>CONTRARRAZÕES RECURSAIS</w:t>
      </w:r>
      <w:r>
        <w:rPr>
          <w:rFonts w:ascii="Times New Roman" w:hAnsi="Times New Roman" w:cs="Times New Roman"/>
        </w:rPr>
        <w:t xml:space="preserve"> </w:t>
      </w:r>
      <w:r w:rsidRPr="00FD5770">
        <w:rPr>
          <w:rFonts w:ascii="Times New Roman" w:hAnsi="Times New Roman" w:cs="Times New Roman"/>
        </w:rPr>
        <w:t>pelos fundamentos de fato e de direito a seguir articulados.</w:t>
      </w:r>
    </w:p>
    <w:p w14:paraId="5CA6BBD5" w14:textId="42CF9550" w:rsidR="00FD5770" w:rsidRPr="00FD5770" w:rsidRDefault="00FD5770" w:rsidP="00FD5770">
      <w:pPr>
        <w:ind w:right="-568"/>
        <w:jc w:val="both"/>
        <w:rPr>
          <w:rFonts w:ascii="Times New Roman" w:hAnsi="Times New Roman" w:cs="Times New Roman"/>
          <w:b/>
          <w:bCs/>
        </w:rPr>
      </w:pPr>
      <w:r w:rsidRPr="00FD5770">
        <w:rPr>
          <w:rFonts w:ascii="Times New Roman" w:hAnsi="Times New Roman" w:cs="Times New Roman"/>
          <w:b/>
          <w:bCs/>
        </w:rPr>
        <w:lastRenderedPageBreak/>
        <w:t>SUMÁRIO</w:t>
      </w:r>
    </w:p>
    <w:p w14:paraId="0380B01A" w14:textId="77777777" w:rsidR="00FD5770" w:rsidRPr="00FD5770" w:rsidRDefault="00FD5770" w:rsidP="00FD5770">
      <w:pPr>
        <w:ind w:right="-568"/>
        <w:jc w:val="both"/>
        <w:rPr>
          <w:rFonts w:ascii="Times New Roman" w:hAnsi="Times New Roman" w:cs="Times New Roman"/>
          <w:b/>
          <w:bCs/>
        </w:rPr>
      </w:pPr>
      <w:r w:rsidRPr="00FD5770">
        <w:rPr>
          <w:rFonts w:ascii="Times New Roman" w:hAnsi="Times New Roman" w:cs="Times New Roman"/>
          <w:b/>
          <w:bCs/>
        </w:rPr>
        <w:t>I - TEMPESTIVIDADE</w:t>
      </w:r>
    </w:p>
    <w:p w14:paraId="7AF08120" w14:textId="77777777" w:rsidR="00FD5770" w:rsidRPr="00FD5770" w:rsidRDefault="00FD5770" w:rsidP="00FD5770">
      <w:pPr>
        <w:ind w:right="-568"/>
        <w:jc w:val="both"/>
        <w:rPr>
          <w:rFonts w:ascii="Times New Roman" w:hAnsi="Times New Roman" w:cs="Times New Roman"/>
          <w:b/>
          <w:bCs/>
        </w:rPr>
      </w:pPr>
      <w:r w:rsidRPr="00FD5770">
        <w:rPr>
          <w:rFonts w:ascii="Times New Roman" w:hAnsi="Times New Roman" w:cs="Times New Roman"/>
          <w:b/>
          <w:bCs/>
        </w:rPr>
        <w:t>II - SÍNTESE DA CONTROVÉRSIA</w:t>
      </w:r>
    </w:p>
    <w:p w14:paraId="7796A4DA" w14:textId="77777777" w:rsidR="00FD5770" w:rsidRPr="00FD5770" w:rsidRDefault="00FD5770" w:rsidP="00FD5770">
      <w:pPr>
        <w:ind w:right="-568"/>
        <w:jc w:val="both"/>
        <w:rPr>
          <w:rFonts w:ascii="Times New Roman" w:hAnsi="Times New Roman" w:cs="Times New Roman"/>
          <w:b/>
          <w:bCs/>
        </w:rPr>
      </w:pPr>
      <w:r w:rsidRPr="00FD5770">
        <w:rPr>
          <w:rFonts w:ascii="Times New Roman" w:hAnsi="Times New Roman" w:cs="Times New Roman"/>
          <w:b/>
          <w:bCs/>
        </w:rPr>
        <w:t>III - BREVE HISTÓRICO PROCESSUAL INDISPENSÁVEL</w:t>
      </w:r>
    </w:p>
    <w:p w14:paraId="693F45B0" w14:textId="77777777" w:rsidR="00FD5770" w:rsidRPr="00FD5770" w:rsidRDefault="00FD5770" w:rsidP="00FD5770">
      <w:pPr>
        <w:ind w:right="-568"/>
        <w:jc w:val="both"/>
        <w:rPr>
          <w:rFonts w:ascii="Times New Roman" w:hAnsi="Times New Roman" w:cs="Times New Roman"/>
          <w:b/>
          <w:bCs/>
        </w:rPr>
      </w:pPr>
      <w:r w:rsidRPr="00FD5770">
        <w:rPr>
          <w:rFonts w:ascii="Times New Roman" w:hAnsi="Times New Roman" w:cs="Times New Roman"/>
          <w:b/>
          <w:bCs/>
        </w:rPr>
        <w:t>IV - PRELIMINAR: NÃO CONHECIMENTO DO RECURSO – DECISÃO NÃO AGRAVÁVEL</w:t>
      </w:r>
    </w:p>
    <w:p w14:paraId="3B6172F0" w14:textId="77777777" w:rsidR="00FD5770" w:rsidRPr="00FD5770" w:rsidRDefault="00FD5770" w:rsidP="00FD5770">
      <w:pPr>
        <w:ind w:right="-568"/>
        <w:jc w:val="both"/>
        <w:rPr>
          <w:rFonts w:ascii="Times New Roman" w:hAnsi="Times New Roman" w:cs="Times New Roman"/>
          <w:b/>
          <w:bCs/>
        </w:rPr>
      </w:pPr>
      <w:r w:rsidRPr="00FD5770">
        <w:rPr>
          <w:rFonts w:ascii="Times New Roman" w:hAnsi="Times New Roman" w:cs="Times New Roman"/>
          <w:b/>
          <w:bCs/>
        </w:rPr>
        <w:t>IV.1 - A taxatividade do art. 1.015 do CPC</w:t>
      </w:r>
    </w:p>
    <w:p w14:paraId="248340A6" w14:textId="77777777" w:rsidR="00FD5770" w:rsidRPr="00FD5770" w:rsidRDefault="00FD5770" w:rsidP="00FD5770">
      <w:pPr>
        <w:ind w:right="-568"/>
        <w:jc w:val="both"/>
        <w:rPr>
          <w:rFonts w:ascii="Times New Roman" w:hAnsi="Times New Roman" w:cs="Times New Roman"/>
          <w:b/>
          <w:bCs/>
        </w:rPr>
      </w:pPr>
      <w:r w:rsidRPr="00FD5770">
        <w:rPr>
          <w:rFonts w:ascii="Times New Roman" w:hAnsi="Times New Roman" w:cs="Times New Roman"/>
          <w:b/>
          <w:bCs/>
        </w:rPr>
        <w:t>IV.2 - O precedente do STJ em caso idêntico: REsp 1.821.793/RJ</w:t>
      </w:r>
    </w:p>
    <w:p w14:paraId="5A53E384" w14:textId="77777777" w:rsidR="00FD5770" w:rsidRPr="00FD5770" w:rsidRDefault="00FD5770" w:rsidP="00FD5770">
      <w:pPr>
        <w:ind w:right="-568"/>
        <w:jc w:val="both"/>
        <w:rPr>
          <w:rFonts w:ascii="Times New Roman" w:hAnsi="Times New Roman" w:cs="Times New Roman"/>
          <w:b/>
          <w:bCs/>
        </w:rPr>
      </w:pPr>
      <w:r w:rsidRPr="00FD5770">
        <w:rPr>
          <w:rFonts w:ascii="Times New Roman" w:hAnsi="Times New Roman" w:cs="Times New Roman"/>
          <w:b/>
          <w:bCs/>
        </w:rPr>
        <w:t>IV.3 - A taxatividade mitigada (Tema 988/STJ) não socorre o agravante</w:t>
      </w:r>
    </w:p>
    <w:p w14:paraId="5F4C162B" w14:textId="77777777" w:rsidR="00FD5770" w:rsidRPr="00FD5770" w:rsidRDefault="00FD5770" w:rsidP="00FD5770">
      <w:pPr>
        <w:ind w:right="-568"/>
        <w:jc w:val="both"/>
        <w:rPr>
          <w:rFonts w:ascii="Times New Roman" w:hAnsi="Times New Roman" w:cs="Times New Roman"/>
          <w:b/>
          <w:bCs/>
        </w:rPr>
      </w:pPr>
      <w:r w:rsidRPr="00FD5770">
        <w:rPr>
          <w:rFonts w:ascii="Times New Roman" w:hAnsi="Times New Roman" w:cs="Times New Roman"/>
          <w:b/>
          <w:bCs/>
        </w:rPr>
        <w:t>IV.4 - O juízo provisório de admissibilidade não vincula o colegiado</w:t>
      </w:r>
    </w:p>
    <w:p w14:paraId="04FB59F3" w14:textId="77777777" w:rsidR="00FD5770" w:rsidRPr="00FD5770" w:rsidRDefault="00FD5770" w:rsidP="00FD5770">
      <w:pPr>
        <w:ind w:right="-568"/>
        <w:jc w:val="both"/>
        <w:rPr>
          <w:rFonts w:ascii="Times New Roman" w:hAnsi="Times New Roman" w:cs="Times New Roman"/>
          <w:b/>
          <w:bCs/>
        </w:rPr>
      </w:pPr>
      <w:r w:rsidRPr="00FD5770">
        <w:rPr>
          <w:rFonts w:ascii="Times New Roman" w:hAnsi="Times New Roman" w:cs="Times New Roman"/>
          <w:b/>
          <w:bCs/>
        </w:rPr>
        <w:t>V - PRELIMINAR SUBSIDIÁRIA: SUPRESSÃO DE INSTÂNCIA E PRECLUSÃO QUANTO À SUBSTITUIÇÃO DA PERITA</w:t>
      </w:r>
    </w:p>
    <w:p w14:paraId="39B66917" w14:textId="77777777" w:rsidR="00FD5770" w:rsidRPr="00FD5770" w:rsidRDefault="00FD5770" w:rsidP="00FD5770">
      <w:pPr>
        <w:ind w:right="-568"/>
        <w:jc w:val="both"/>
        <w:rPr>
          <w:rFonts w:ascii="Times New Roman" w:hAnsi="Times New Roman" w:cs="Times New Roman"/>
          <w:b/>
          <w:bCs/>
        </w:rPr>
      </w:pPr>
      <w:r w:rsidRPr="00FD5770">
        <w:rPr>
          <w:rFonts w:ascii="Times New Roman" w:hAnsi="Times New Roman" w:cs="Times New Roman"/>
          <w:b/>
          <w:bCs/>
        </w:rPr>
        <w:t>VI - PRELIMINAR SUBSIDIÁRIA: AUSÊNCIA DE INTERESSE RECURSAL QUANTO À APRESENTAÇÃO DE QUESITOS</w:t>
      </w:r>
    </w:p>
    <w:p w14:paraId="25EA5878" w14:textId="77777777" w:rsidR="00FD5770" w:rsidRPr="00FD5770" w:rsidRDefault="00FD5770" w:rsidP="00FD5770">
      <w:pPr>
        <w:ind w:right="-568"/>
        <w:jc w:val="both"/>
        <w:rPr>
          <w:rFonts w:ascii="Times New Roman" w:hAnsi="Times New Roman" w:cs="Times New Roman"/>
          <w:b/>
          <w:bCs/>
        </w:rPr>
      </w:pPr>
      <w:r w:rsidRPr="00FD5770">
        <w:rPr>
          <w:rFonts w:ascii="Times New Roman" w:hAnsi="Times New Roman" w:cs="Times New Roman"/>
          <w:b/>
          <w:bCs/>
        </w:rPr>
        <w:t>VII - MÉRITO: ACERTO DA DECISÃO AGRAVADA</w:t>
      </w:r>
    </w:p>
    <w:p w14:paraId="2A50C784" w14:textId="77777777" w:rsidR="00FD5770" w:rsidRPr="00FD5770" w:rsidRDefault="00FD5770" w:rsidP="00FD5770">
      <w:pPr>
        <w:ind w:right="-568"/>
        <w:jc w:val="both"/>
        <w:rPr>
          <w:rFonts w:ascii="Times New Roman" w:hAnsi="Times New Roman" w:cs="Times New Roman"/>
          <w:b/>
          <w:bCs/>
        </w:rPr>
      </w:pPr>
      <w:r w:rsidRPr="00FD5770">
        <w:rPr>
          <w:rFonts w:ascii="Times New Roman" w:hAnsi="Times New Roman" w:cs="Times New Roman"/>
          <w:b/>
          <w:bCs/>
        </w:rPr>
        <w:t>VII.1 - O juiz como destinatário da prova e a escolha do perito</w:t>
      </w:r>
    </w:p>
    <w:p w14:paraId="7802D736" w14:textId="77777777" w:rsidR="00FD5770" w:rsidRPr="00FD5770" w:rsidRDefault="00FD5770" w:rsidP="00FD5770">
      <w:pPr>
        <w:ind w:right="-568"/>
        <w:jc w:val="both"/>
        <w:rPr>
          <w:rFonts w:ascii="Times New Roman" w:hAnsi="Times New Roman" w:cs="Times New Roman"/>
          <w:b/>
          <w:bCs/>
        </w:rPr>
      </w:pPr>
      <w:r w:rsidRPr="00FD5770">
        <w:rPr>
          <w:rFonts w:ascii="Times New Roman" w:hAnsi="Times New Roman" w:cs="Times New Roman"/>
          <w:b/>
          <w:bCs/>
        </w:rPr>
        <w:t>VII.2 - Ausência das hipóteses taxativas do art. 468 do CPC</w:t>
      </w:r>
    </w:p>
    <w:p w14:paraId="20071EAB" w14:textId="77777777" w:rsidR="00FD5770" w:rsidRPr="00FD5770" w:rsidRDefault="00FD5770" w:rsidP="00FD5770">
      <w:pPr>
        <w:ind w:right="-568"/>
        <w:jc w:val="both"/>
        <w:rPr>
          <w:rFonts w:ascii="Times New Roman" w:hAnsi="Times New Roman" w:cs="Times New Roman"/>
          <w:b/>
          <w:bCs/>
        </w:rPr>
      </w:pPr>
      <w:r w:rsidRPr="00FD5770">
        <w:rPr>
          <w:rFonts w:ascii="Times New Roman" w:hAnsi="Times New Roman" w:cs="Times New Roman"/>
          <w:b/>
          <w:bCs/>
        </w:rPr>
        <w:t>VII.3 - A nova perícia tem objeto próprio e definido</w:t>
      </w:r>
    </w:p>
    <w:p w14:paraId="4C3036E6" w14:textId="782DBD0A" w:rsidR="00FD5770" w:rsidRPr="00FD5770" w:rsidRDefault="00FD5770" w:rsidP="00FD5770">
      <w:pPr>
        <w:ind w:right="-568"/>
        <w:jc w:val="both"/>
        <w:rPr>
          <w:rFonts w:ascii="Times New Roman" w:hAnsi="Times New Roman" w:cs="Times New Roman"/>
          <w:b/>
          <w:bCs/>
        </w:rPr>
      </w:pPr>
      <w:r w:rsidRPr="00FD5770">
        <w:rPr>
          <w:rFonts w:ascii="Times New Roman" w:hAnsi="Times New Roman" w:cs="Times New Roman"/>
          <w:b/>
          <w:bCs/>
        </w:rPr>
        <w:t xml:space="preserve">VII.4 - Inexistência de </w:t>
      </w:r>
      <w:proofErr w:type="spellStart"/>
      <w:r w:rsidRPr="00FD5770">
        <w:rPr>
          <w:rFonts w:ascii="Times New Roman" w:hAnsi="Times New Roman" w:cs="Times New Roman"/>
          <w:b/>
          <w:bCs/>
          <w:i/>
          <w:iCs/>
        </w:rPr>
        <w:t>error</w:t>
      </w:r>
      <w:proofErr w:type="spellEnd"/>
      <w:r w:rsidRPr="00FD5770">
        <w:rPr>
          <w:rFonts w:ascii="Times New Roman" w:hAnsi="Times New Roman" w:cs="Times New Roman"/>
          <w:b/>
          <w:bCs/>
          <w:i/>
          <w:iCs/>
        </w:rPr>
        <w:t xml:space="preserve"> in procedendo</w:t>
      </w:r>
      <w:r w:rsidRPr="00FD5770">
        <w:rPr>
          <w:rFonts w:ascii="Times New Roman" w:hAnsi="Times New Roman" w:cs="Times New Roman"/>
          <w:b/>
          <w:bCs/>
        </w:rPr>
        <w:t xml:space="preserve">: o rito fixado à fl. </w:t>
      </w:r>
      <w:r>
        <w:rPr>
          <w:rFonts w:ascii="Times New Roman" w:hAnsi="Times New Roman" w:cs="Times New Roman"/>
          <w:b/>
          <w:bCs/>
        </w:rPr>
        <w:t>...</w:t>
      </w:r>
      <w:r w:rsidRPr="00FD5770">
        <w:rPr>
          <w:rFonts w:ascii="Times New Roman" w:hAnsi="Times New Roman" w:cs="Times New Roman"/>
          <w:b/>
          <w:bCs/>
        </w:rPr>
        <w:t xml:space="preserve"> e reafirmado no evento </w:t>
      </w:r>
      <w:r>
        <w:rPr>
          <w:rFonts w:ascii="Times New Roman" w:hAnsi="Times New Roman" w:cs="Times New Roman"/>
          <w:b/>
          <w:bCs/>
        </w:rPr>
        <w:t>...</w:t>
      </w:r>
    </w:p>
    <w:p w14:paraId="70B6F8E8" w14:textId="77777777" w:rsidR="00FD5770" w:rsidRPr="00FD5770" w:rsidRDefault="00FD5770" w:rsidP="00FD5770">
      <w:pPr>
        <w:ind w:right="-568"/>
        <w:jc w:val="both"/>
        <w:rPr>
          <w:rFonts w:ascii="Times New Roman" w:hAnsi="Times New Roman" w:cs="Times New Roman"/>
          <w:b/>
          <w:bCs/>
        </w:rPr>
      </w:pPr>
      <w:r w:rsidRPr="00FD5770">
        <w:rPr>
          <w:rFonts w:ascii="Times New Roman" w:hAnsi="Times New Roman" w:cs="Times New Roman"/>
          <w:b/>
          <w:bCs/>
        </w:rPr>
        <w:t>VII.5 - Documentos estranhos ao objeto da lide</w:t>
      </w:r>
    </w:p>
    <w:p w14:paraId="3677D6F1" w14:textId="77777777" w:rsidR="00FD5770" w:rsidRPr="00FD5770" w:rsidRDefault="00FD5770" w:rsidP="00FD5770">
      <w:pPr>
        <w:ind w:right="-568"/>
        <w:jc w:val="both"/>
        <w:rPr>
          <w:rFonts w:ascii="Times New Roman" w:hAnsi="Times New Roman" w:cs="Times New Roman"/>
          <w:b/>
          <w:bCs/>
        </w:rPr>
      </w:pPr>
      <w:r w:rsidRPr="00FD5770">
        <w:rPr>
          <w:rFonts w:ascii="Times New Roman" w:hAnsi="Times New Roman" w:cs="Times New Roman"/>
          <w:b/>
          <w:bCs/>
        </w:rPr>
        <w:t>VII.6 - O verdadeiro alcance do recurso</w:t>
      </w:r>
    </w:p>
    <w:p w14:paraId="2E7D9C5D" w14:textId="77777777" w:rsidR="00FD5770" w:rsidRPr="00FD5770" w:rsidRDefault="00FD5770" w:rsidP="00FD5770">
      <w:pPr>
        <w:ind w:right="-568"/>
        <w:jc w:val="both"/>
        <w:rPr>
          <w:rFonts w:ascii="Times New Roman" w:hAnsi="Times New Roman" w:cs="Times New Roman"/>
          <w:b/>
          <w:bCs/>
        </w:rPr>
      </w:pPr>
      <w:r w:rsidRPr="00FD5770">
        <w:rPr>
          <w:rFonts w:ascii="Times New Roman" w:hAnsi="Times New Roman" w:cs="Times New Roman"/>
          <w:b/>
          <w:bCs/>
        </w:rPr>
        <w:t>VII.7 - Ausência de perigo de dano</w:t>
      </w:r>
    </w:p>
    <w:p w14:paraId="23E47A32" w14:textId="77777777" w:rsidR="00FD5770" w:rsidRPr="00FD5770" w:rsidRDefault="00FD5770" w:rsidP="00FD5770">
      <w:pPr>
        <w:ind w:right="-568"/>
        <w:jc w:val="both"/>
        <w:rPr>
          <w:rFonts w:ascii="Times New Roman" w:hAnsi="Times New Roman" w:cs="Times New Roman"/>
          <w:b/>
          <w:bCs/>
        </w:rPr>
      </w:pPr>
      <w:r w:rsidRPr="00FD5770">
        <w:rPr>
          <w:rFonts w:ascii="Times New Roman" w:hAnsi="Times New Roman" w:cs="Times New Roman"/>
          <w:b/>
          <w:bCs/>
        </w:rPr>
        <w:t>VIII - PREQUESTIONAMENTO</w:t>
      </w:r>
    </w:p>
    <w:p w14:paraId="583342D4" w14:textId="0274FBEC" w:rsidR="00FD5770" w:rsidRPr="00FD5770" w:rsidRDefault="00FD5770" w:rsidP="00FD5770">
      <w:pPr>
        <w:ind w:right="-568"/>
        <w:jc w:val="both"/>
        <w:rPr>
          <w:rFonts w:ascii="Times New Roman" w:hAnsi="Times New Roman" w:cs="Times New Roman"/>
          <w:b/>
          <w:bCs/>
        </w:rPr>
      </w:pPr>
      <w:r w:rsidRPr="00FD5770">
        <w:rPr>
          <w:rFonts w:ascii="Times New Roman" w:hAnsi="Times New Roman" w:cs="Times New Roman"/>
          <w:b/>
          <w:bCs/>
        </w:rPr>
        <w:t>IX - PEDIDOS </w:t>
      </w:r>
    </w:p>
    <w:p w14:paraId="4197A418" w14:textId="77777777" w:rsidR="00FD5770" w:rsidRPr="00FD5770" w:rsidRDefault="00FD5770" w:rsidP="00FD5770">
      <w:pPr>
        <w:ind w:right="-568"/>
        <w:jc w:val="both"/>
        <w:rPr>
          <w:rFonts w:ascii="Times New Roman" w:hAnsi="Times New Roman" w:cs="Times New Roman"/>
          <w:b/>
          <w:bCs/>
        </w:rPr>
      </w:pPr>
      <w:r w:rsidRPr="00FD5770">
        <w:rPr>
          <w:rFonts w:ascii="Times New Roman" w:hAnsi="Times New Roman" w:cs="Times New Roman"/>
          <w:b/>
          <w:bCs/>
        </w:rPr>
        <w:t>I - TEMPESTIVIDADE</w:t>
      </w:r>
    </w:p>
    <w:p w14:paraId="315C4B6C" w14:textId="65A4E502"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Os agravados foram intimados para responder ao recurso pela r. decisão do evento </w:t>
      </w:r>
      <w:r>
        <w:rPr>
          <w:rFonts w:ascii="Times New Roman" w:hAnsi="Times New Roman" w:cs="Times New Roman"/>
        </w:rPr>
        <w:t>...</w:t>
      </w:r>
      <w:r w:rsidRPr="00FD5770">
        <w:rPr>
          <w:rFonts w:ascii="Times New Roman" w:hAnsi="Times New Roman" w:cs="Times New Roman"/>
        </w:rPr>
        <w:t>, que indeferiu o efeito suspensivo e determinou o cumprimento do art. 1.019, II, do CPC. O prazo é de 15 (quinze) dias úteis (</w:t>
      </w:r>
      <w:proofErr w:type="spellStart"/>
      <w:r w:rsidRPr="00FD5770">
        <w:rPr>
          <w:rFonts w:ascii="Times New Roman" w:hAnsi="Times New Roman" w:cs="Times New Roman"/>
        </w:rPr>
        <w:t>arts</w:t>
      </w:r>
      <w:proofErr w:type="spellEnd"/>
      <w:r w:rsidRPr="00FD5770">
        <w:rPr>
          <w:rFonts w:ascii="Times New Roman" w:hAnsi="Times New Roman" w:cs="Times New Roman"/>
        </w:rPr>
        <w:t>. 219 e 1.003, § 5º, do CPC), contados da intimação, razão pela qual as presentes contrarrazões são tempestivas.</w:t>
      </w:r>
    </w:p>
    <w:p w14:paraId="15062FA0" w14:textId="77777777" w:rsidR="00FD5770" w:rsidRDefault="00FD5770" w:rsidP="00FD5770">
      <w:pPr>
        <w:ind w:right="-568"/>
        <w:jc w:val="both"/>
        <w:rPr>
          <w:rFonts w:ascii="Times New Roman" w:hAnsi="Times New Roman" w:cs="Times New Roman"/>
          <w:b/>
          <w:bCs/>
        </w:rPr>
      </w:pPr>
      <w:r w:rsidRPr="00FD5770">
        <w:rPr>
          <w:rFonts w:ascii="Times New Roman" w:hAnsi="Times New Roman" w:cs="Times New Roman"/>
          <w:b/>
          <w:bCs/>
        </w:rPr>
        <w:t>II - SÍNTESE DA CONTROVÉRSIA</w:t>
      </w:r>
    </w:p>
    <w:p w14:paraId="1EB947B7" w14:textId="68C251E3" w:rsidR="00FD5770" w:rsidRPr="00FD5770" w:rsidRDefault="00FD5770" w:rsidP="00FD5770">
      <w:pPr>
        <w:ind w:right="-568"/>
        <w:jc w:val="both"/>
        <w:rPr>
          <w:rFonts w:ascii="Times New Roman" w:hAnsi="Times New Roman" w:cs="Times New Roman"/>
          <w:b/>
          <w:bCs/>
        </w:rPr>
      </w:pPr>
      <w:r w:rsidRPr="00FD5770">
        <w:rPr>
          <w:rFonts w:ascii="Times New Roman" w:hAnsi="Times New Roman" w:cs="Times New Roman"/>
        </w:rPr>
        <w:lastRenderedPageBreak/>
        <w:t xml:space="preserve">Cuida-se de agravo de instrumento interposto contra a r. decisão do evento </w:t>
      </w:r>
      <w:r>
        <w:rPr>
          <w:rFonts w:ascii="Times New Roman" w:hAnsi="Times New Roman" w:cs="Times New Roman"/>
        </w:rPr>
        <w:t>...</w:t>
      </w:r>
      <w:r w:rsidRPr="00FD5770">
        <w:rPr>
          <w:rFonts w:ascii="Times New Roman" w:hAnsi="Times New Roman" w:cs="Times New Roman"/>
        </w:rPr>
        <w:t xml:space="preserve"> dos autos de origem, que, na segunda fase da ação de exigir contas, determinou a realização de nova perícia contábil, nomeou para o encargo a perita </w:t>
      </w:r>
      <w:r>
        <w:rPr>
          <w:rFonts w:ascii="Times New Roman" w:hAnsi="Times New Roman" w:cs="Times New Roman"/>
        </w:rPr>
        <w:t>...</w:t>
      </w:r>
      <w:r w:rsidRPr="00FD5770">
        <w:rPr>
          <w:rFonts w:ascii="Times New Roman" w:hAnsi="Times New Roman" w:cs="Times New Roman"/>
        </w:rPr>
        <w:t>, “</w:t>
      </w:r>
      <w:r w:rsidRPr="00FD5770">
        <w:rPr>
          <w:rFonts w:ascii="Times New Roman" w:hAnsi="Times New Roman" w:cs="Times New Roman"/>
          <w:i/>
          <w:iCs/>
        </w:rPr>
        <w:t>que já atuou nos autos e detém conhecimento da causa</w:t>
      </w:r>
      <w:r w:rsidRPr="00FD5770">
        <w:rPr>
          <w:rFonts w:ascii="Times New Roman" w:hAnsi="Times New Roman" w:cs="Times New Roman"/>
        </w:rPr>
        <w:t>”, abriu às partes o prazo do art. 465, § 1º, do CPC para arguição de impedimento ou suspeição, indicação de assistentes técnicos e apresentação de quesitos, e formulou os quesitos do juízo.</w:t>
      </w:r>
    </w:p>
    <w:p w14:paraId="4500E99C"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A nova prova técnica tem objeto preciso, assim delimitado pela d. Magistrada:</w:t>
      </w:r>
    </w:p>
    <w:p w14:paraId="05DB7636" w14:textId="77F6B022"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 </w:t>
      </w:r>
      <w:r w:rsidRPr="00FD5770">
        <w:rPr>
          <w:rFonts w:ascii="Times New Roman" w:hAnsi="Times New Roman" w:cs="Times New Roman"/>
          <w:i/>
          <w:iCs/>
        </w:rPr>
        <w:t>saber se o valor recebido pelo autor na ação de cobrança corresponde ao mesmo objeto ora apurado, isto é, aos mesmos lucros e exercícios discutidos nestes autos, e, em caso afirmativo, se tal pagamento o satisfez integralmente ou se dele remanesce saldo</w:t>
      </w:r>
      <w:r w:rsidRPr="00FD5770">
        <w:rPr>
          <w:rFonts w:ascii="Times New Roman" w:hAnsi="Times New Roman" w:cs="Times New Roman"/>
        </w:rPr>
        <w:t xml:space="preserve">.” (evento </w:t>
      </w:r>
      <w:r>
        <w:rPr>
          <w:rFonts w:ascii="Times New Roman" w:hAnsi="Times New Roman" w:cs="Times New Roman"/>
        </w:rPr>
        <w:t>...</w:t>
      </w:r>
      <w:r w:rsidRPr="00FD5770">
        <w:rPr>
          <w:rFonts w:ascii="Times New Roman" w:hAnsi="Times New Roman" w:cs="Times New Roman"/>
        </w:rPr>
        <w:t>)</w:t>
      </w:r>
    </w:p>
    <w:p w14:paraId="4F5296BC"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Inconformado, o agravante pretende, em síntese: </w:t>
      </w:r>
    </w:p>
    <w:p w14:paraId="3C16B181" w14:textId="4DD004B2"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(a) a substituição da perita nomeada, a quem atribui “</w:t>
      </w:r>
      <w:r w:rsidRPr="00FD5770">
        <w:rPr>
          <w:rFonts w:ascii="Times New Roman" w:hAnsi="Times New Roman" w:cs="Times New Roman"/>
          <w:i/>
          <w:iCs/>
        </w:rPr>
        <w:t>inaptidão técnica e superficialidade</w:t>
      </w:r>
      <w:r w:rsidRPr="00FD5770">
        <w:rPr>
          <w:rFonts w:ascii="Times New Roman" w:hAnsi="Times New Roman" w:cs="Times New Roman"/>
        </w:rPr>
        <w:t xml:space="preserve">”; </w:t>
      </w:r>
    </w:p>
    <w:p w14:paraId="4DA48764" w14:textId="727E1C9F"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(b) o reconhecimento de suposto </w:t>
      </w:r>
      <w:proofErr w:type="spellStart"/>
      <w:r w:rsidRPr="00FD5770">
        <w:rPr>
          <w:rFonts w:ascii="Times New Roman" w:hAnsi="Times New Roman" w:cs="Times New Roman"/>
          <w:i/>
          <w:iCs/>
        </w:rPr>
        <w:t>error</w:t>
      </w:r>
      <w:proofErr w:type="spellEnd"/>
      <w:r w:rsidRPr="00FD5770">
        <w:rPr>
          <w:rFonts w:ascii="Times New Roman" w:hAnsi="Times New Roman" w:cs="Times New Roman"/>
          <w:i/>
          <w:iCs/>
        </w:rPr>
        <w:t xml:space="preserve"> in procedendo</w:t>
      </w:r>
      <w:r w:rsidRPr="00FD5770">
        <w:rPr>
          <w:rFonts w:ascii="Times New Roman" w:hAnsi="Times New Roman" w:cs="Times New Roman"/>
        </w:rPr>
        <w:t>, com a “</w:t>
      </w:r>
      <w:r w:rsidRPr="00FD5770">
        <w:rPr>
          <w:rFonts w:ascii="Times New Roman" w:hAnsi="Times New Roman" w:cs="Times New Roman"/>
          <w:i/>
          <w:iCs/>
        </w:rPr>
        <w:t xml:space="preserve">retomada da marcha fático-probatória a partir do Evento </w:t>
      </w:r>
      <w:r>
        <w:rPr>
          <w:rFonts w:ascii="Times New Roman" w:hAnsi="Times New Roman" w:cs="Times New Roman"/>
          <w:i/>
          <w:iCs/>
        </w:rPr>
        <w:t>...</w:t>
      </w:r>
      <w:r w:rsidRPr="00FD5770">
        <w:rPr>
          <w:rFonts w:ascii="Times New Roman" w:hAnsi="Times New Roman" w:cs="Times New Roman"/>
        </w:rPr>
        <w:t xml:space="preserve">”, oportunizando-se contraditório sobre as contas por ele apresentadas em </w:t>
      </w:r>
      <w:r>
        <w:rPr>
          <w:rFonts w:ascii="Times New Roman" w:hAnsi="Times New Roman" w:cs="Times New Roman"/>
        </w:rPr>
        <w:t>...</w:t>
      </w:r>
      <w:r w:rsidRPr="00FD5770">
        <w:rPr>
          <w:rFonts w:ascii="Times New Roman" w:hAnsi="Times New Roman" w:cs="Times New Roman"/>
        </w:rPr>
        <w:t xml:space="preserve"> e “</w:t>
      </w:r>
      <w:r w:rsidRPr="00FD5770">
        <w:rPr>
          <w:rFonts w:ascii="Times New Roman" w:hAnsi="Times New Roman" w:cs="Times New Roman"/>
          <w:i/>
          <w:iCs/>
        </w:rPr>
        <w:t>balizando o objeto pericial</w:t>
      </w:r>
      <w:r w:rsidRPr="00FD5770">
        <w:rPr>
          <w:rFonts w:ascii="Times New Roman" w:hAnsi="Times New Roman" w:cs="Times New Roman"/>
        </w:rPr>
        <w:t xml:space="preserve">” pelas glosas e receitas que ali estimou; e </w:t>
      </w:r>
    </w:p>
    <w:p w14:paraId="3D821825" w14:textId="6B1CEFA1"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(c) a abertura de prazo para “</w:t>
      </w:r>
      <w:r w:rsidRPr="00FD5770">
        <w:rPr>
          <w:rFonts w:ascii="Times New Roman" w:hAnsi="Times New Roman" w:cs="Times New Roman"/>
          <w:i/>
          <w:iCs/>
        </w:rPr>
        <w:t>o depósito de quesitos específicos</w:t>
      </w:r>
      <w:r w:rsidRPr="00FD5770">
        <w:rPr>
          <w:rFonts w:ascii="Times New Roman" w:hAnsi="Times New Roman" w:cs="Times New Roman"/>
        </w:rPr>
        <w:t>”.</w:t>
      </w:r>
    </w:p>
    <w:p w14:paraId="42E525BF" w14:textId="2CF8FC01"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O eminente Relator indeferiu o efeito suspensivo (evento </w:t>
      </w:r>
      <w:r>
        <w:rPr>
          <w:rFonts w:ascii="Times New Roman" w:hAnsi="Times New Roman" w:cs="Times New Roman"/>
        </w:rPr>
        <w:t>...</w:t>
      </w:r>
      <w:r w:rsidRPr="00FD5770">
        <w:rPr>
          <w:rFonts w:ascii="Times New Roman" w:hAnsi="Times New Roman" w:cs="Times New Roman"/>
        </w:rPr>
        <w:t>), assentando, em juízo de cognição sumária, que:</w:t>
      </w:r>
    </w:p>
    <w:p w14:paraId="6BE5F636" w14:textId="78F0277D" w:rsidR="00FD5770" w:rsidRPr="00FD5770" w:rsidRDefault="00FD5770" w:rsidP="00FD5770">
      <w:pPr>
        <w:ind w:right="-568"/>
        <w:jc w:val="both"/>
        <w:rPr>
          <w:rFonts w:ascii="Times New Roman" w:hAnsi="Times New Roman" w:cs="Times New Roman"/>
        </w:rPr>
      </w:pPr>
      <w:r>
        <w:rPr>
          <w:rFonts w:ascii="Times New Roman" w:hAnsi="Times New Roman" w:cs="Times New Roman"/>
        </w:rPr>
        <w:t xml:space="preserve">- </w:t>
      </w:r>
      <w:proofErr w:type="gramStart"/>
      <w:r w:rsidRPr="00FD5770">
        <w:rPr>
          <w:rFonts w:ascii="Times New Roman" w:hAnsi="Times New Roman" w:cs="Times New Roman"/>
        </w:rPr>
        <w:t>compete</w:t>
      </w:r>
      <w:proofErr w:type="gramEnd"/>
      <w:r w:rsidRPr="00FD5770">
        <w:rPr>
          <w:rFonts w:ascii="Times New Roman" w:hAnsi="Times New Roman" w:cs="Times New Roman"/>
        </w:rPr>
        <w:t xml:space="preserve"> ao magistrado, destinatário da prova, nomear profissional de sua confiança, admitida a substituição apenas nas hipóteses do art. 468 do CPC; </w:t>
      </w:r>
    </w:p>
    <w:p w14:paraId="7023700C" w14:textId="3AD16A1F" w:rsidR="00FD5770" w:rsidRPr="00FD5770" w:rsidRDefault="00FD5770" w:rsidP="00FD5770">
      <w:pPr>
        <w:ind w:right="-568"/>
        <w:jc w:val="both"/>
        <w:rPr>
          <w:rFonts w:ascii="Times New Roman" w:hAnsi="Times New Roman" w:cs="Times New Roman"/>
        </w:rPr>
      </w:pPr>
      <w:r>
        <w:rPr>
          <w:rFonts w:ascii="Times New Roman" w:hAnsi="Times New Roman" w:cs="Times New Roman"/>
        </w:rPr>
        <w:t xml:space="preserve">- </w:t>
      </w:r>
      <w:proofErr w:type="gramStart"/>
      <w:r w:rsidRPr="00FD5770">
        <w:rPr>
          <w:rFonts w:ascii="Times New Roman" w:hAnsi="Times New Roman" w:cs="Times New Roman"/>
        </w:rPr>
        <w:t>a</w:t>
      </w:r>
      <w:proofErr w:type="gramEnd"/>
      <w:r w:rsidRPr="00FD5770">
        <w:rPr>
          <w:rFonts w:ascii="Times New Roman" w:hAnsi="Times New Roman" w:cs="Times New Roman"/>
        </w:rPr>
        <w:t xml:space="preserve"> mera discordância quanto à metodologia do laudo anterior não autoriza a substituição, sobretudo porque a nova perícia possui objeto distinto; e </w:t>
      </w:r>
    </w:p>
    <w:p w14:paraId="662DFEFD" w14:textId="7CD688F5" w:rsidR="00FD5770" w:rsidRPr="00FD5770" w:rsidRDefault="00FD5770" w:rsidP="00FD5770">
      <w:pPr>
        <w:ind w:right="-568"/>
        <w:jc w:val="both"/>
        <w:rPr>
          <w:rFonts w:ascii="Times New Roman" w:hAnsi="Times New Roman" w:cs="Times New Roman"/>
        </w:rPr>
      </w:pPr>
      <w:r>
        <w:rPr>
          <w:rFonts w:ascii="Times New Roman" w:hAnsi="Times New Roman" w:cs="Times New Roman"/>
        </w:rPr>
        <w:t xml:space="preserve">- </w:t>
      </w:r>
      <w:proofErr w:type="gramStart"/>
      <w:r w:rsidRPr="00FD5770">
        <w:rPr>
          <w:rFonts w:ascii="Times New Roman" w:hAnsi="Times New Roman" w:cs="Times New Roman"/>
        </w:rPr>
        <w:t>a</w:t>
      </w:r>
      <w:proofErr w:type="gramEnd"/>
      <w:r w:rsidRPr="00FD5770">
        <w:rPr>
          <w:rFonts w:ascii="Times New Roman" w:hAnsi="Times New Roman" w:cs="Times New Roman"/>
        </w:rPr>
        <w:t xml:space="preserve"> ausência de manifestação dos réus sobre as contas do evento 409 não conduz à sua homologação automática, “</w:t>
      </w:r>
      <w:r w:rsidRPr="00FD5770">
        <w:rPr>
          <w:rFonts w:ascii="Times New Roman" w:hAnsi="Times New Roman" w:cs="Times New Roman"/>
          <w:i/>
          <w:iCs/>
        </w:rPr>
        <w:t>subsistindo o poder-dever do juízo de promover a conferência técnica dos lançamentos mediante a produção da prova pericial</w:t>
      </w:r>
      <w:r w:rsidRPr="00FD5770">
        <w:rPr>
          <w:rFonts w:ascii="Times New Roman" w:hAnsi="Times New Roman" w:cs="Times New Roman"/>
        </w:rPr>
        <w:t>”.</w:t>
      </w:r>
    </w:p>
    <w:p w14:paraId="0D9C2CBE"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Os fundamentos da r. decisão liminar merecem integral confirmação pelo colegiado. Antes, porém, o recurso sequer comporta conhecimento, como se passa a demonstrar.</w:t>
      </w:r>
    </w:p>
    <w:p w14:paraId="0F4DBB0C" w14:textId="77777777" w:rsidR="00FD5770" w:rsidRPr="00FD5770" w:rsidRDefault="00FD5770" w:rsidP="00FD5770">
      <w:pPr>
        <w:ind w:right="-568"/>
        <w:jc w:val="both"/>
        <w:rPr>
          <w:rFonts w:ascii="Times New Roman" w:hAnsi="Times New Roman" w:cs="Times New Roman"/>
          <w:b/>
          <w:bCs/>
        </w:rPr>
      </w:pPr>
      <w:r w:rsidRPr="00FD5770">
        <w:rPr>
          <w:rFonts w:ascii="Times New Roman" w:hAnsi="Times New Roman" w:cs="Times New Roman"/>
          <w:b/>
          <w:bCs/>
        </w:rPr>
        <w:t>III - BREVE HISTÓRICO PROCESSUAL INDISPENSÁVEL</w:t>
      </w:r>
    </w:p>
    <w:p w14:paraId="340D65C5"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A compreensão do recurso exige recordar alguns marcos, todos documentados nos autos de origem:</w:t>
      </w:r>
    </w:p>
    <w:p w14:paraId="01060911" w14:textId="0381A8C4"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w:t>
      </w:r>
      <w:r>
        <w:rPr>
          <w:rFonts w:ascii="Times New Roman" w:hAnsi="Times New Roman" w:cs="Times New Roman"/>
        </w:rPr>
        <w:t xml:space="preserve"> ...</w:t>
      </w:r>
      <w:r w:rsidRPr="00FD5770">
        <w:rPr>
          <w:rFonts w:ascii="Times New Roman" w:hAnsi="Times New Roman" w:cs="Times New Roman"/>
        </w:rPr>
        <w:t xml:space="preserve"> – o agravante, sócio minoritário, ajuíza a presente ação de prestação de contas em face da então sócia administradora, relativamente aos exercícios de </w:t>
      </w:r>
      <w:r>
        <w:rPr>
          <w:rFonts w:ascii="Times New Roman" w:hAnsi="Times New Roman" w:cs="Times New Roman"/>
        </w:rPr>
        <w:t>...</w:t>
      </w:r>
    </w:p>
    <w:p w14:paraId="5F968420" w14:textId="2A103C80"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w:t>
      </w:r>
      <w:r>
        <w:rPr>
          <w:rFonts w:ascii="Times New Roman" w:hAnsi="Times New Roman" w:cs="Times New Roman"/>
        </w:rPr>
        <w:t>...</w:t>
      </w:r>
      <w:r w:rsidRPr="00FD5770">
        <w:rPr>
          <w:rFonts w:ascii="Times New Roman" w:hAnsi="Times New Roman" w:cs="Times New Roman"/>
        </w:rPr>
        <w:t xml:space="preserve">– menos de um ano depois, o mesmo agravante ajuíza ação de cobrança (autos n. </w:t>
      </w:r>
      <w:r>
        <w:rPr>
          <w:rFonts w:ascii="Times New Roman" w:hAnsi="Times New Roman" w:cs="Times New Roman"/>
        </w:rPr>
        <w:t>...</w:t>
      </w:r>
      <w:r w:rsidRPr="00FD5770">
        <w:rPr>
          <w:rFonts w:ascii="Times New Roman" w:hAnsi="Times New Roman" w:cs="Times New Roman"/>
        </w:rPr>
        <w:t xml:space="preserve">, </w:t>
      </w:r>
      <w:r>
        <w:rPr>
          <w:rFonts w:ascii="Times New Roman" w:hAnsi="Times New Roman" w:cs="Times New Roman"/>
        </w:rPr>
        <w:t>...</w:t>
      </w:r>
      <w:r w:rsidRPr="00FD5770">
        <w:rPr>
          <w:rFonts w:ascii="Times New Roman" w:hAnsi="Times New Roman" w:cs="Times New Roman"/>
        </w:rPr>
        <w:t xml:space="preserve">ª Vara Cível de </w:t>
      </w:r>
      <w:r>
        <w:rPr>
          <w:rFonts w:ascii="Times New Roman" w:hAnsi="Times New Roman" w:cs="Times New Roman"/>
        </w:rPr>
        <w:t>...</w:t>
      </w:r>
      <w:r w:rsidRPr="00FD5770">
        <w:rPr>
          <w:rFonts w:ascii="Times New Roman" w:hAnsi="Times New Roman" w:cs="Times New Roman"/>
        </w:rPr>
        <w:t xml:space="preserve">) em face da sociedade, pleiteando os lucros dos mesmos exercícios de </w:t>
      </w:r>
      <w:r>
        <w:rPr>
          <w:rFonts w:ascii="Times New Roman" w:hAnsi="Times New Roman" w:cs="Times New Roman"/>
        </w:rPr>
        <w:t>...</w:t>
      </w:r>
      <w:r w:rsidRPr="00FD5770">
        <w:rPr>
          <w:rFonts w:ascii="Times New Roman" w:hAnsi="Times New Roman" w:cs="Times New Roman"/>
        </w:rPr>
        <w:t xml:space="preserve"> a </w:t>
      </w:r>
      <w:r>
        <w:rPr>
          <w:rFonts w:ascii="Times New Roman" w:hAnsi="Times New Roman" w:cs="Times New Roman"/>
        </w:rPr>
        <w:t>...</w:t>
      </w:r>
      <w:r w:rsidRPr="00FD5770">
        <w:rPr>
          <w:rFonts w:ascii="Times New Roman" w:hAnsi="Times New Roman" w:cs="Times New Roman"/>
        </w:rPr>
        <w:t xml:space="preserve">, calculados sobre os mesmos lucros líquidos constantes dos balanços (R$ </w:t>
      </w:r>
      <w:r>
        <w:rPr>
          <w:rFonts w:ascii="Times New Roman" w:hAnsi="Times New Roman" w:cs="Times New Roman"/>
        </w:rPr>
        <w:t>...</w:t>
      </w:r>
      <w:r w:rsidRPr="00FD5770">
        <w:rPr>
          <w:rFonts w:ascii="Times New Roman" w:hAnsi="Times New Roman" w:cs="Times New Roman"/>
        </w:rPr>
        <w:t xml:space="preserve">; R$ </w:t>
      </w:r>
      <w:r>
        <w:rPr>
          <w:rFonts w:ascii="Times New Roman" w:hAnsi="Times New Roman" w:cs="Times New Roman"/>
        </w:rPr>
        <w:t>...</w:t>
      </w:r>
      <w:r w:rsidRPr="00FD5770">
        <w:rPr>
          <w:rFonts w:ascii="Times New Roman" w:hAnsi="Times New Roman" w:cs="Times New Roman"/>
        </w:rPr>
        <w:t xml:space="preserve">; R$ </w:t>
      </w:r>
      <w:r>
        <w:rPr>
          <w:rFonts w:ascii="Times New Roman" w:hAnsi="Times New Roman" w:cs="Times New Roman"/>
        </w:rPr>
        <w:t>...</w:t>
      </w:r>
      <w:r w:rsidRPr="00FD5770">
        <w:rPr>
          <w:rFonts w:ascii="Times New Roman" w:hAnsi="Times New Roman" w:cs="Times New Roman"/>
        </w:rPr>
        <w:t xml:space="preserve"> e R$ </w:t>
      </w:r>
      <w:r>
        <w:rPr>
          <w:rFonts w:ascii="Times New Roman" w:hAnsi="Times New Roman" w:cs="Times New Roman"/>
        </w:rPr>
        <w:t>...</w:t>
      </w:r>
      <w:r w:rsidRPr="00FD5770">
        <w:rPr>
          <w:rFonts w:ascii="Times New Roman" w:hAnsi="Times New Roman" w:cs="Times New Roman"/>
        </w:rPr>
        <w:t>).</w:t>
      </w:r>
    </w:p>
    <w:p w14:paraId="2C57AD3F" w14:textId="55CF27D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lastRenderedPageBreak/>
        <w:t>▪</w:t>
      </w:r>
      <w:r>
        <w:rPr>
          <w:rFonts w:ascii="Times New Roman" w:hAnsi="Times New Roman" w:cs="Times New Roman"/>
        </w:rPr>
        <w:t>...</w:t>
      </w:r>
      <w:r w:rsidRPr="00FD5770">
        <w:rPr>
          <w:rFonts w:ascii="Times New Roman" w:hAnsi="Times New Roman" w:cs="Times New Roman"/>
        </w:rPr>
        <w:t xml:space="preserve"> – a ação de cobrança é julgada procedente, condenando-se a sociedade ao pagamento de 5% sobre o lucro líquido apurado nos anos de </w:t>
      </w:r>
      <w:r>
        <w:rPr>
          <w:rFonts w:ascii="Times New Roman" w:hAnsi="Times New Roman" w:cs="Times New Roman"/>
        </w:rPr>
        <w:t>...</w:t>
      </w:r>
      <w:r w:rsidRPr="00FD5770">
        <w:rPr>
          <w:rFonts w:ascii="Times New Roman" w:hAnsi="Times New Roman" w:cs="Times New Roman"/>
        </w:rPr>
        <w:t xml:space="preserve"> a </w:t>
      </w:r>
      <w:r>
        <w:rPr>
          <w:rFonts w:ascii="Times New Roman" w:hAnsi="Times New Roman" w:cs="Times New Roman"/>
        </w:rPr>
        <w:t>...</w:t>
      </w:r>
      <w:r w:rsidRPr="00FD5770">
        <w:rPr>
          <w:rFonts w:ascii="Times New Roman" w:hAnsi="Times New Roman" w:cs="Times New Roman"/>
        </w:rPr>
        <w:t xml:space="preserve"> (R$</w:t>
      </w:r>
      <w:proofErr w:type="gramStart"/>
      <w:r w:rsidRPr="00FD5770">
        <w:rPr>
          <w:rFonts w:ascii="Times New Roman" w:hAnsi="Times New Roman" w:cs="Times New Roman"/>
        </w:rPr>
        <w:t xml:space="preserve"> </w:t>
      </w:r>
      <w:r>
        <w:rPr>
          <w:rFonts w:ascii="Times New Roman" w:hAnsi="Times New Roman" w:cs="Times New Roman"/>
        </w:rPr>
        <w:t>..</w:t>
      </w:r>
      <w:proofErr w:type="gramEnd"/>
      <w:r w:rsidRPr="00FD5770">
        <w:rPr>
          <w:rFonts w:ascii="Times New Roman" w:hAnsi="Times New Roman" w:cs="Times New Roman"/>
        </w:rPr>
        <w:t xml:space="preserve">, atualizados até </w:t>
      </w:r>
      <w:r>
        <w:rPr>
          <w:rFonts w:ascii="Times New Roman" w:hAnsi="Times New Roman" w:cs="Times New Roman"/>
        </w:rPr>
        <w:t>...</w:t>
      </w:r>
      <w:r w:rsidRPr="00FD5770">
        <w:rPr>
          <w:rFonts w:ascii="Times New Roman" w:hAnsi="Times New Roman" w:cs="Times New Roman"/>
        </w:rPr>
        <w:t>).</w:t>
      </w:r>
    </w:p>
    <w:p w14:paraId="3A9E253A" w14:textId="46BA7DDA"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w:t>
      </w:r>
      <w:r>
        <w:rPr>
          <w:rFonts w:ascii="Times New Roman" w:hAnsi="Times New Roman" w:cs="Times New Roman"/>
        </w:rPr>
        <w:t>...</w:t>
      </w:r>
      <w:r w:rsidRPr="00FD5770">
        <w:rPr>
          <w:rFonts w:ascii="Times New Roman" w:hAnsi="Times New Roman" w:cs="Times New Roman"/>
        </w:rPr>
        <w:t xml:space="preserve"> – no cumprimento de sentença, o agravante arremata, com o próprio crédito, imóvel da sociedade avaliado em R$ </w:t>
      </w:r>
      <w:r>
        <w:rPr>
          <w:rFonts w:ascii="Times New Roman" w:hAnsi="Times New Roman" w:cs="Times New Roman"/>
        </w:rPr>
        <w:t>...</w:t>
      </w:r>
      <w:r w:rsidRPr="00FD5770">
        <w:rPr>
          <w:rFonts w:ascii="Times New Roman" w:hAnsi="Times New Roman" w:cs="Times New Roman"/>
        </w:rPr>
        <w:t xml:space="preserve">, pelo preço de R$ </w:t>
      </w:r>
      <w:r>
        <w:rPr>
          <w:rFonts w:ascii="Times New Roman" w:hAnsi="Times New Roman" w:cs="Times New Roman"/>
        </w:rPr>
        <w:t>...</w:t>
      </w:r>
    </w:p>
    <w:p w14:paraId="6006E5A7" w14:textId="3AA52D50"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w:t>
      </w:r>
      <w:r>
        <w:rPr>
          <w:rFonts w:ascii="Times New Roman" w:hAnsi="Times New Roman" w:cs="Times New Roman"/>
        </w:rPr>
        <w:t>...</w:t>
      </w:r>
      <w:r w:rsidRPr="00FD5770">
        <w:rPr>
          <w:rFonts w:ascii="Times New Roman" w:hAnsi="Times New Roman" w:cs="Times New Roman"/>
        </w:rPr>
        <w:t xml:space="preserve"> – a perita apresenta o laudo nestes autos (eventos </w:t>
      </w:r>
      <w:r>
        <w:rPr>
          <w:rFonts w:ascii="Times New Roman" w:hAnsi="Times New Roman" w:cs="Times New Roman"/>
        </w:rPr>
        <w:t>...</w:t>
      </w:r>
      <w:r w:rsidRPr="00FD5770">
        <w:rPr>
          <w:rFonts w:ascii="Times New Roman" w:hAnsi="Times New Roman" w:cs="Times New Roman"/>
        </w:rPr>
        <w:t>).</w:t>
      </w:r>
    </w:p>
    <w:p w14:paraId="03A531BB" w14:textId="621F81A1"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w:t>
      </w:r>
      <w:r>
        <w:rPr>
          <w:rFonts w:ascii="Times New Roman" w:hAnsi="Times New Roman" w:cs="Times New Roman"/>
        </w:rPr>
        <w:t>...</w:t>
      </w:r>
      <w:r w:rsidRPr="00FD5770">
        <w:rPr>
          <w:rFonts w:ascii="Times New Roman" w:hAnsi="Times New Roman" w:cs="Times New Roman"/>
        </w:rPr>
        <w:t xml:space="preserve"> – a sociedade deposita R$ </w:t>
      </w:r>
      <w:r>
        <w:rPr>
          <w:rFonts w:ascii="Times New Roman" w:hAnsi="Times New Roman" w:cs="Times New Roman"/>
        </w:rPr>
        <w:t>...</w:t>
      </w:r>
      <w:r w:rsidRPr="00FD5770">
        <w:rPr>
          <w:rFonts w:ascii="Times New Roman" w:hAnsi="Times New Roman" w:cs="Times New Roman"/>
        </w:rPr>
        <w:t xml:space="preserve"> na ação de cobrança, e o agravante declara expressamente: “</w:t>
      </w:r>
      <w:r w:rsidRPr="00FD5770">
        <w:rPr>
          <w:rFonts w:ascii="Times New Roman" w:hAnsi="Times New Roman" w:cs="Times New Roman"/>
          <w:i/>
          <w:iCs/>
        </w:rPr>
        <w:t xml:space="preserve">Não obstante o saldo ainda existente, dá o credor por satisfeito com a quantia depositada (R$ </w:t>
      </w:r>
      <w:r>
        <w:rPr>
          <w:rFonts w:ascii="Times New Roman" w:hAnsi="Times New Roman" w:cs="Times New Roman"/>
          <w:i/>
          <w:iCs/>
        </w:rPr>
        <w:t>...</w:t>
      </w:r>
      <w:r w:rsidRPr="00FD5770">
        <w:rPr>
          <w:rFonts w:ascii="Times New Roman" w:hAnsi="Times New Roman" w:cs="Times New Roman"/>
          <w:i/>
          <w:iCs/>
        </w:rPr>
        <w:t>)</w:t>
      </w:r>
      <w:r w:rsidRPr="00FD5770">
        <w:rPr>
          <w:rFonts w:ascii="Times New Roman" w:hAnsi="Times New Roman" w:cs="Times New Roman"/>
        </w:rPr>
        <w:t>”, requerendo a extinção da execução com fundamento no art. 794, I, do CPC/1973.</w:t>
      </w:r>
    </w:p>
    <w:p w14:paraId="6E68DA67" w14:textId="6B8516D4"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w:t>
      </w:r>
      <w:r>
        <w:rPr>
          <w:rFonts w:ascii="Times New Roman" w:hAnsi="Times New Roman" w:cs="Times New Roman"/>
        </w:rPr>
        <w:t>...</w:t>
      </w:r>
      <w:r w:rsidRPr="00FD5770">
        <w:rPr>
          <w:rFonts w:ascii="Times New Roman" w:hAnsi="Times New Roman" w:cs="Times New Roman"/>
        </w:rPr>
        <w:t xml:space="preserve"> – é proferida sentença de extinção da execução pelo pagamento.</w:t>
      </w:r>
    </w:p>
    <w:p w14:paraId="478F885F" w14:textId="1F563E7D"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w:t>
      </w:r>
      <w:r>
        <w:rPr>
          <w:rFonts w:ascii="Times New Roman" w:hAnsi="Times New Roman" w:cs="Times New Roman"/>
        </w:rPr>
        <w:t>...</w:t>
      </w:r>
      <w:r w:rsidRPr="00FD5770">
        <w:rPr>
          <w:rFonts w:ascii="Times New Roman" w:hAnsi="Times New Roman" w:cs="Times New Roman"/>
        </w:rPr>
        <w:t xml:space="preserve"> – a perita apresenta o laudo complementar (evento </w:t>
      </w:r>
      <w:r>
        <w:rPr>
          <w:rFonts w:ascii="Times New Roman" w:hAnsi="Times New Roman" w:cs="Times New Roman"/>
        </w:rPr>
        <w:t>...</w:t>
      </w:r>
      <w:r w:rsidRPr="00FD5770">
        <w:rPr>
          <w:rFonts w:ascii="Times New Roman" w:hAnsi="Times New Roman" w:cs="Times New Roman"/>
        </w:rPr>
        <w:t xml:space="preserve">), adotando a participação de 5% e apurando, para os exercícios de </w:t>
      </w:r>
      <w:r>
        <w:rPr>
          <w:rFonts w:ascii="Times New Roman" w:hAnsi="Times New Roman" w:cs="Times New Roman"/>
        </w:rPr>
        <w:t>...</w:t>
      </w:r>
      <w:r w:rsidRPr="00FD5770">
        <w:rPr>
          <w:rFonts w:ascii="Times New Roman" w:hAnsi="Times New Roman" w:cs="Times New Roman"/>
        </w:rPr>
        <w:t xml:space="preserve"> a </w:t>
      </w:r>
      <w:r>
        <w:rPr>
          <w:rFonts w:ascii="Times New Roman" w:hAnsi="Times New Roman" w:cs="Times New Roman"/>
        </w:rPr>
        <w:t>...</w:t>
      </w:r>
      <w:r w:rsidRPr="00FD5770">
        <w:rPr>
          <w:rFonts w:ascii="Times New Roman" w:hAnsi="Times New Roman" w:cs="Times New Roman"/>
        </w:rPr>
        <w:t xml:space="preserve">, lucros a distribuir ao agravante de R$ </w:t>
      </w:r>
      <w:r>
        <w:rPr>
          <w:rFonts w:ascii="Times New Roman" w:hAnsi="Times New Roman" w:cs="Times New Roman"/>
        </w:rPr>
        <w:t>...</w:t>
      </w:r>
      <w:r w:rsidRPr="00FD5770">
        <w:rPr>
          <w:rFonts w:ascii="Times New Roman" w:hAnsi="Times New Roman" w:cs="Times New Roman"/>
        </w:rPr>
        <w:t xml:space="preserve"> – isto é, exatamente 5% dos mesmos lucros líquidos que serviram de base à condenação na ação de cobrança.</w:t>
      </w:r>
    </w:p>
    <w:p w14:paraId="686F6E2A" w14:textId="6B471D56"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w:t>
      </w:r>
      <w:r>
        <w:rPr>
          <w:rFonts w:ascii="Times New Roman" w:hAnsi="Times New Roman" w:cs="Times New Roman"/>
        </w:rPr>
        <w:t>...</w:t>
      </w:r>
      <w:r w:rsidRPr="00FD5770">
        <w:rPr>
          <w:rFonts w:ascii="Times New Roman" w:hAnsi="Times New Roman" w:cs="Times New Roman"/>
        </w:rPr>
        <w:t xml:space="preserve"> – o agravante protocola o evento </w:t>
      </w:r>
      <w:r>
        <w:rPr>
          <w:rFonts w:ascii="Times New Roman" w:hAnsi="Times New Roman" w:cs="Times New Roman"/>
        </w:rPr>
        <w:t>...</w:t>
      </w:r>
      <w:r w:rsidRPr="00FD5770">
        <w:rPr>
          <w:rFonts w:ascii="Times New Roman" w:hAnsi="Times New Roman" w:cs="Times New Roman"/>
        </w:rPr>
        <w:t>, intitulado “</w:t>
      </w:r>
      <w:r w:rsidRPr="00FD5770">
        <w:rPr>
          <w:rFonts w:ascii="Times New Roman" w:hAnsi="Times New Roman" w:cs="Times New Roman"/>
          <w:i/>
          <w:iCs/>
        </w:rPr>
        <w:t>apresentação de contas pelo autor</w:t>
      </w:r>
      <w:r w:rsidRPr="00FD5770">
        <w:rPr>
          <w:rFonts w:ascii="Times New Roman" w:hAnsi="Times New Roman" w:cs="Times New Roman"/>
        </w:rPr>
        <w:t>”, no qual, sem um único documento, estima receitas “</w:t>
      </w:r>
      <w:r w:rsidRPr="00FD5770">
        <w:rPr>
          <w:rFonts w:ascii="Times New Roman" w:hAnsi="Times New Roman" w:cs="Times New Roman"/>
          <w:i/>
          <w:iCs/>
        </w:rPr>
        <w:t>omitidas</w:t>
      </w:r>
      <w:r w:rsidRPr="00FD5770">
        <w:rPr>
          <w:rFonts w:ascii="Times New Roman" w:hAnsi="Times New Roman" w:cs="Times New Roman"/>
        </w:rPr>
        <w:t>” e despesas a glosar.</w:t>
      </w:r>
    </w:p>
    <w:p w14:paraId="15E2304E" w14:textId="0127FBE6"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w:t>
      </w:r>
      <w:r>
        <w:rPr>
          <w:rFonts w:ascii="Times New Roman" w:hAnsi="Times New Roman" w:cs="Times New Roman"/>
        </w:rPr>
        <w:t>...</w:t>
      </w:r>
      <w:r w:rsidRPr="00FD5770">
        <w:rPr>
          <w:rFonts w:ascii="Times New Roman" w:hAnsi="Times New Roman" w:cs="Times New Roman"/>
        </w:rPr>
        <w:t xml:space="preserve">– despacho do evento </w:t>
      </w:r>
      <w:r>
        <w:rPr>
          <w:rFonts w:ascii="Times New Roman" w:hAnsi="Times New Roman" w:cs="Times New Roman"/>
        </w:rPr>
        <w:t>...</w:t>
      </w:r>
      <w:r w:rsidRPr="00FD5770">
        <w:rPr>
          <w:rFonts w:ascii="Times New Roman" w:hAnsi="Times New Roman" w:cs="Times New Roman"/>
        </w:rPr>
        <w:t>: “</w:t>
      </w:r>
      <w:r w:rsidRPr="00FD5770">
        <w:rPr>
          <w:rFonts w:ascii="Times New Roman" w:hAnsi="Times New Roman" w:cs="Times New Roman"/>
          <w:i/>
          <w:iCs/>
        </w:rPr>
        <w:t xml:space="preserve">Assiste razão ao requerente. Cumpra-se a parte final da decisão de folha </w:t>
      </w:r>
      <w:r>
        <w:rPr>
          <w:rFonts w:ascii="Times New Roman" w:hAnsi="Times New Roman" w:cs="Times New Roman"/>
          <w:i/>
          <w:iCs/>
        </w:rPr>
        <w:t>..</w:t>
      </w:r>
      <w:r w:rsidRPr="00FD5770">
        <w:rPr>
          <w:rFonts w:ascii="Times New Roman" w:hAnsi="Times New Roman" w:cs="Times New Roman"/>
          <w:i/>
          <w:iCs/>
        </w:rPr>
        <w:t>.</w:t>
      </w:r>
      <w:r w:rsidRPr="00FD5770">
        <w:rPr>
          <w:rFonts w:ascii="Times New Roman" w:hAnsi="Times New Roman" w:cs="Times New Roman"/>
        </w:rPr>
        <w:t>”</w:t>
      </w:r>
    </w:p>
    <w:p w14:paraId="2163DB28" w14:textId="224D6C88"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w:t>
      </w:r>
      <w:r>
        <w:rPr>
          <w:rFonts w:ascii="Times New Roman" w:hAnsi="Times New Roman" w:cs="Times New Roman"/>
        </w:rPr>
        <w:t>...</w:t>
      </w:r>
      <w:r w:rsidRPr="00FD5770">
        <w:rPr>
          <w:rFonts w:ascii="Times New Roman" w:hAnsi="Times New Roman" w:cs="Times New Roman"/>
        </w:rPr>
        <w:t xml:space="preserve"> – esse </w:t>
      </w:r>
      <w:proofErr w:type="spellStart"/>
      <w:r w:rsidRPr="00FD5770">
        <w:rPr>
          <w:rFonts w:ascii="Times New Roman" w:hAnsi="Times New Roman" w:cs="Times New Roman"/>
        </w:rPr>
        <w:t>eg</w:t>
      </w:r>
      <w:proofErr w:type="spellEnd"/>
      <w:r w:rsidRPr="00FD5770">
        <w:rPr>
          <w:rFonts w:ascii="Times New Roman" w:hAnsi="Times New Roman" w:cs="Times New Roman"/>
        </w:rPr>
        <w:t>. Tribunal de Justiça determina “</w:t>
      </w:r>
      <w:r w:rsidRPr="00FD5770">
        <w:rPr>
          <w:rFonts w:ascii="Times New Roman" w:hAnsi="Times New Roman" w:cs="Times New Roman"/>
          <w:i/>
          <w:iCs/>
        </w:rPr>
        <w:t>o regular processamento do feito com início da segunda fase</w:t>
      </w:r>
      <w:r w:rsidRPr="00FD5770">
        <w:rPr>
          <w:rFonts w:ascii="Times New Roman" w:hAnsi="Times New Roman" w:cs="Times New Roman"/>
        </w:rPr>
        <w:t>”.</w:t>
      </w:r>
    </w:p>
    <w:p w14:paraId="0EDB5790" w14:textId="4BF52056"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w:t>
      </w:r>
      <w:r>
        <w:rPr>
          <w:rFonts w:ascii="Times New Roman" w:hAnsi="Times New Roman" w:cs="Times New Roman"/>
        </w:rPr>
        <w:t>...</w:t>
      </w:r>
      <w:r w:rsidRPr="00FD5770">
        <w:rPr>
          <w:rFonts w:ascii="Times New Roman" w:hAnsi="Times New Roman" w:cs="Times New Roman"/>
        </w:rPr>
        <w:t xml:space="preserve"> – os agravados noticiam a satisfação do crédito na ação de cobrança e requerem a extinção do feito por perda superveniente do interesse de agir; em caráter eventual, requerem expressamente a realização de nova perícia (evento </w:t>
      </w:r>
      <w:r>
        <w:rPr>
          <w:rFonts w:ascii="Times New Roman" w:hAnsi="Times New Roman" w:cs="Times New Roman"/>
        </w:rPr>
        <w:t>...</w:t>
      </w:r>
      <w:r w:rsidRPr="00FD5770">
        <w:rPr>
          <w:rFonts w:ascii="Times New Roman" w:hAnsi="Times New Roman" w:cs="Times New Roman"/>
        </w:rPr>
        <w:t>).</w:t>
      </w:r>
    </w:p>
    <w:p w14:paraId="0FBAF479" w14:textId="45F1559E"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w:t>
      </w:r>
      <w:r>
        <w:rPr>
          <w:rFonts w:ascii="Times New Roman" w:hAnsi="Times New Roman" w:cs="Times New Roman"/>
        </w:rPr>
        <w:t>...</w:t>
      </w:r>
      <w:r w:rsidRPr="00FD5770">
        <w:rPr>
          <w:rFonts w:ascii="Times New Roman" w:hAnsi="Times New Roman" w:cs="Times New Roman"/>
        </w:rPr>
        <w:t xml:space="preserve"> – é proferida a r. decisão agravada (evento </w:t>
      </w:r>
      <w:r>
        <w:rPr>
          <w:rFonts w:ascii="Times New Roman" w:hAnsi="Times New Roman" w:cs="Times New Roman"/>
        </w:rPr>
        <w:t>...</w:t>
      </w:r>
      <w:r w:rsidRPr="00FD5770">
        <w:rPr>
          <w:rFonts w:ascii="Times New Roman" w:hAnsi="Times New Roman" w:cs="Times New Roman"/>
        </w:rPr>
        <w:t>).</w:t>
      </w:r>
    </w:p>
    <w:p w14:paraId="14D96967" w14:textId="566E75A6"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É nesse contexto que deve ser examinado o recurso.</w:t>
      </w:r>
    </w:p>
    <w:p w14:paraId="73AD46B1" w14:textId="77777777" w:rsidR="00FD5770" w:rsidRPr="00FD5770" w:rsidRDefault="00FD5770" w:rsidP="00FD5770">
      <w:pPr>
        <w:ind w:right="-568"/>
        <w:jc w:val="both"/>
        <w:rPr>
          <w:rFonts w:ascii="Times New Roman" w:hAnsi="Times New Roman" w:cs="Times New Roman"/>
          <w:b/>
          <w:bCs/>
        </w:rPr>
      </w:pPr>
      <w:r w:rsidRPr="00FD5770">
        <w:rPr>
          <w:rFonts w:ascii="Times New Roman" w:hAnsi="Times New Roman" w:cs="Times New Roman"/>
          <w:b/>
          <w:bCs/>
        </w:rPr>
        <w:t>IV - PRELIMINAR INAFASTÁVEL DE NÃO CONHECIMENTO DO RECURSO- DECISÃO NÃO AGRAVÁVEL</w:t>
      </w:r>
    </w:p>
    <w:p w14:paraId="597DEFEE" w14:textId="77777777" w:rsidR="00FD5770" w:rsidRPr="00FD5770" w:rsidRDefault="00FD5770" w:rsidP="00FD5770">
      <w:pPr>
        <w:ind w:right="-568"/>
        <w:jc w:val="both"/>
        <w:rPr>
          <w:rFonts w:ascii="Times New Roman" w:hAnsi="Times New Roman" w:cs="Times New Roman"/>
          <w:b/>
          <w:bCs/>
        </w:rPr>
      </w:pPr>
      <w:r w:rsidRPr="00FD5770">
        <w:rPr>
          <w:rFonts w:ascii="Times New Roman" w:hAnsi="Times New Roman" w:cs="Times New Roman"/>
          <w:b/>
          <w:bCs/>
        </w:rPr>
        <w:t>IV.1 - A taxatividade do art. 1.015 do CPC</w:t>
      </w:r>
    </w:p>
    <w:p w14:paraId="4F6A7293"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O Código de Processo Civil de 2015 rompeu deliberadamente com o regime de ampla recorribilidade das interlocutórias do diploma anterior. </w:t>
      </w:r>
    </w:p>
    <w:p w14:paraId="386E21E9"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Na fase de conhecimento, somente são agraváveis as decisões expressamente arroladas no art. 1.015, e as demais questões, por não serem alcançadas pela preclusão, devem ser suscitadas em preliminar de apelação ou nas contrarrazões (art. 1.009, § 1º). </w:t>
      </w:r>
    </w:p>
    <w:p w14:paraId="5C680116" w14:textId="77777777" w:rsid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A decisão que determina a produção de prova pericial, nomeia o perito e fixa os quesitos do juízo não se enquadra em nenhum dos incisos do art. 1.015. </w:t>
      </w:r>
    </w:p>
    <w:p w14:paraId="4FA8753C" w14:textId="47387832"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lastRenderedPageBreak/>
        <w:t xml:space="preserve">Não versa sobre tutela provisória, mérito, rejeição de convenção de arbitragem, desconsideração da personalidade jurídica, gratuidade, exibição de documento, exclusão de litisconsorte, intervenção de terceiros, efeito suspensivo de embargos à execução ou redistribuição do ônus da prova. </w:t>
      </w:r>
    </w:p>
    <w:p w14:paraId="6469B979" w14:textId="1CFE8A8D"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Trata-se de típico ato de instrução probatória, campo em que o legislador optou conscientemente pela recorribilidade diferida.</w:t>
      </w:r>
    </w:p>
    <w:p w14:paraId="46FD360A" w14:textId="77777777" w:rsidR="00FD5770" w:rsidRPr="00FD5770" w:rsidRDefault="00FD5770" w:rsidP="00FD5770">
      <w:pPr>
        <w:ind w:right="-568"/>
        <w:jc w:val="both"/>
        <w:rPr>
          <w:rFonts w:ascii="Times New Roman" w:hAnsi="Times New Roman" w:cs="Times New Roman"/>
          <w:b/>
          <w:bCs/>
        </w:rPr>
      </w:pPr>
      <w:r w:rsidRPr="00FD5770">
        <w:rPr>
          <w:rFonts w:ascii="Times New Roman" w:hAnsi="Times New Roman" w:cs="Times New Roman"/>
          <w:b/>
          <w:bCs/>
        </w:rPr>
        <w:t>IV.2 - O precedente do STJ em caso idêntico: REsp 1.821.793/RJ</w:t>
      </w:r>
    </w:p>
    <w:p w14:paraId="36407DDB" w14:textId="6C1609BA"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A questão não é nova! O colendo SUPERIOR TRIBUNAL DE </w:t>
      </w:r>
      <w:proofErr w:type="gramStart"/>
      <w:r w:rsidRPr="00FD5770">
        <w:rPr>
          <w:rFonts w:ascii="Times New Roman" w:hAnsi="Times New Roman" w:cs="Times New Roman"/>
        </w:rPr>
        <w:t>JUSTIÇA  enfrentou</w:t>
      </w:r>
      <w:proofErr w:type="gramEnd"/>
      <w:r w:rsidRPr="00FD5770">
        <w:rPr>
          <w:rFonts w:ascii="Times New Roman" w:hAnsi="Times New Roman" w:cs="Times New Roman"/>
        </w:rPr>
        <w:t xml:space="preserve"> exatamente na moldura fática destes autos no REsp 1.821.793/RJ, Rel. Ministra Nancy </w:t>
      </w:r>
      <w:proofErr w:type="spellStart"/>
      <w:r w:rsidRPr="00FD5770">
        <w:rPr>
          <w:rFonts w:ascii="Times New Roman" w:hAnsi="Times New Roman" w:cs="Times New Roman"/>
        </w:rPr>
        <w:t>Andrighy</w:t>
      </w:r>
      <w:proofErr w:type="spellEnd"/>
      <w:r w:rsidRPr="00FD5770">
        <w:rPr>
          <w:rFonts w:ascii="Times New Roman" w:hAnsi="Times New Roman" w:cs="Times New Roman"/>
        </w:rPr>
        <w:t xml:space="preserve">, </w:t>
      </w:r>
      <w:proofErr w:type="spellStart"/>
      <w:r w:rsidRPr="00FD5770">
        <w:rPr>
          <w:rFonts w:ascii="Times New Roman" w:hAnsi="Times New Roman" w:cs="Times New Roman"/>
        </w:rPr>
        <w:t>DJe</w:t>
      </w:r>
      <w:proofErr w:type="spellEnd"/>
      <w:r w:rsidRPr="00FD5770">
        <w:rPr>
          <w:rFonts w:ascii="Times New Roman" w:hAnsi="Times New Roman" w:cs="Times New Roman"/>
        </w:rPr>
        <w:t xml:space="preserve"> 22.08.2019, decisão interlocutória proferida na segunda fase da ação de exigir contas, que defere prova pericial contábil, nomeia perito e concede prazo para quesitos e assistentes, e concluiu pelo não cabimento do agravo de instrumento, assim ementado:</w:t>
      </w:r>
    </w:p>
    <w:p w14:paraId="39C744BF" w14:textId="121A4AF2" w:rsidR="00FD5770" w:rsidRPr="00B626E7" w:rsidRDefault="00B626E7" w:rsidP="00FD5770">
      <w:pPr>
        <w:ind w:right="-568"/>
        <w:jc w:val="both"/>
        <w:rPr>
          <w:rFonts w:ascii="Times New Roman" w:hAnsi="Times New Roman" w:cs="Times New Roman"/>
          <w:i/>
          <w:iCs/>
        </w:rPr>
      </w:pPr>
      <w:r>
        <w:rPr>
          <w:rFonts w:ascii="Times New Roman" w:hAnsi="Times New Roman" w:cs="Times New Roman"/>
        </w:rPr>
        <w:t>“</w:t>
      </w:r>
      <w:r w:rsidR="00FD5770" w:rsidRPr="00B626E7">
        <w:rPr>
          <w:rFonts w:ascii="Times New Roman" w:hAnsi="Times New Roman" w:cs="Times New Roman"/>
          <w:i/>
          <w:iCs/>
        </w:rPr>
        <w:t>EMENTA</w:t>
      </w:r>
      <w:r w:rsidRPr="00B626E7">
        <w:rPr>
          <w:rFonts w:ascii="Times New Roman" w:hAnsi="Times New Roman" w:cs="Times New Roman"/>
          <w:i/>
          <w:iCs/>
        </w:rPr>
        <w:t xml:space="preserve">. </w:t>
      </w:r>
      <w:r w:rsidR="00FD5770" w:rsidRPr="00B626E7">
        <w:rPr>
          <w:rFonts w:ascii="Times New Roman" w:hAnsi="Times New Roman" w:cs="Times New Roman"/>
          <w:i/>
          <w:iCs/>
        </w:rPr>
        <w:t>CIVIL. PROCESSUAL CIVIL. DECISÃO INTERLOCUTÓRIA PROFERIDA EM SEGUNDA FASE DE AÇÃO DE PRESTAÇÃO DE CONTAS. CONTEÚDO NÃO ABRANGIDO PELO ART. 1.015, INCISOS, DO CPC/15. ATIVIDADES JURISDICIONAIS DESENVOLVIDAS NAS DUAS FASES DA AÇÃO DE PRESTAÇÃO DE CONTAS. NATUREZA JURÍDICA COGNITIVA. FASE DE LIQUIDAÇÃO OU DE CUMPRIMENTO DE SENTENÇA QUE SOMENTE SE INICIA APÓS A PROLAÇÃO DA SENTENÇA PROFERIDA NA SEGUNDA FASE DA AÇÃO. NECESSIDADE DE</w:t>
      </w:r>
      <w:r w:rsidRPr="00B626E7">
        <w:rPr>
          <w:rFonts w:ascii="Times New Roman" w:hAnsi="Times New Roman" w:cs="Times New Roman"/>
          <w:i/>
          <w:iCs/>
        </w:rPr>
        <w:t xml:space="preserve"> </w:t>
      </w:r>
      <w:r w:rsidR="00FD5770" w:rsidRPr="00B626E7">
        <w:rPr>
          <w:rFonts w:ascii="Times New Roman" w:hAnsi="Times New Roman" w:cs="Times New Roman"/>
          <w:i/>
          <w:iCs/>
        </w:rPr>
        <w:t>PRÉVIO ACERTAMENTO DA RELAÇÃO JURÍDICA DE DIREITO MATERIAL, SEJA QUANTO AO DEVER DE PRESTAR OU DE EXIGIR CONTAS, SEJA QUANTO A APURAÇÃO DE CRÉDITO, DÉBITO E EXISTÊNCIA DE SALDO.</w:t>
      </w:r>
      <w:r w:rsidRPr="00B626E7">
        <w:rPr>
          <w:rFonts w:ascii="Times New Roman" w:hAnsi="Times New Roman" w:cs="Times New Roman"/>
          <w:i/>
          <w:iCs/>
        </w:rPr>
        <w:t xml:space="preserve"> </w:t>
      </w:r>
      <w:r w:rsidR="00FD5770" w:rsidRPr="00B626E7">
        <w:rPr>
          <w:rFonts w:ascii="Times New Roman" w:hAnsi="Times New Roman" w:cs="Times New Roman"/>
          <w:i/>
          <w:iCs/>
        </w:rPr>
        <w:t>INAPLICABILIDADE DO REGIME RECURSAL PREVISTO NO ART. 1.015, PARÁGRAFO ÚNICO, DO CPC/15. AUSÊNCIA DE PREVISÃO LEGAL PARA RECORRIBILIDADE DA DECISÃO INTERLOCUTÓRIA IMPUGNADA.</w:t>
      </w:r>
      <w:r w:rsidRPr="00B626E7">
        <w:rPr>
          <w:rFonts w:ascii="Times New Roman" w:hAnsi="Times New Roman" w:cs="Times New Roman"/>
          <w:i/>
          <w:iCs/>
        </w:rPr>
        <w:t xml:space="preserve"> </w:t>
      </w:r>
      <w:r w:rsidR="00FD5770" w:rsidRPr="00B626E7">
        <w:rPr>
          <w:rFonts w:ascii="Times New Roman" w:hAnsi="Times New Roman" w:cs="Times New Roman"/>
          <w:i/>
          <w:iCs/>
        </w:rPr>
        <w:t>INAPLICABILIDADE DA TESE DA TAXATIVIDADE MITIGADA.</w:t>
      </w:r>
      <w:r w:rsidRPr="00B626E7">
        <w:rPr>
          <w:rFonts w:ascii="Times New Roman" w:hAnsi="Times New Roman" w:cs="Times New Roman"/>
          <w:i/>
          <w:iCs/>
        </w:rPr>
        <w:t xml:space="preserve"> </w:t>
      </w:r>
      <w:r w:rsidR="00FD5770" w:rsidRPr="00B626E7">
        <w:rPr>
          <w:rFonts w:ascii="Times New Roman" w:hAnsi="Times New Roman" w:cs="Times New Roman"/>
          <w:i/>
          <w:iCs/>
        </w:rPr>
        <w:t>1- Recurso especial interposto em 05/09/2018 e atribuído à Relatora em18/07/2019.</w:t>
      </w:r>
      <w:r w:rsidRPr="00B626E7">
        <w:rPr>
          <w:rFonts w:ascii="Times New Roman" w:hAnsi="Times New Roman" w:cs="Times New Roman"/>
          <w:i/>
          <w:iCs/>
        </w:rPr>
        <w:t xml:space="preserve"> </w:t>
      </w:r>
      <w:r w:rsidR="00FD5770" w:rsidRPr="00B626E7">
        <w:rPr>
          <w:rFonts w:ascii="Times New Roman" w:hAnsi="Times New Roman" w:cs="Times New Roman"/>
          <w:i/>
          <w:iCs/>
        </w:rPr>
        <w:t>2- O propósito recursal é definir se a decisão interlocutória que, na segunda fase da ação de prestação de contas, defere a produção de prova pericial contábil, nomeia perito e defere prazo para apresentação de documentos, formulação de quesitos e nomeação de assistentes, é imediatamente recorrível por agravo de instrumento com fundamento no art. 1.015, parágrafo único, do CPC/15.</w:t>
      </w:r>
      <w:r w:rsidRPr="00B626E7">
        <w:rPr>
          <w:rFonts w:ascii="Times New Roman" w:hAnsi="Times New Roman" w:cs="Times New Roman"/>
          <w:i/>
          <w:iCs/>
        </w:rPr>
        <w:t xml:space="preserve"> </w:t>
      </w:r>
      <w:r w:rsidR="00FD5770" w:rsidRPr="00B626E7">
        <w:rPr>
          <w:rFonts w:ascii="Times New Roman" w:hAnsi="Times New Roman" w:cs="Times New Roman"/>
          <w:i/>
          <w:iCs/>
        </w:rPr>
        <w:t>3- A ação de prestação de contas é de rito especial e possui estrutura procedimental diferenciada, em que a primeira fase visa discutir a existência ou não do direito de exigir ou de prestar contas e a segunda fase julga a própria prestação das contas a partir das receitas, despesas e eventual saldo, de modo que a atividade jurisdicional desenvolvida em ambas as fases possui natureza jurídica cognitiva própria da fase de conhecimento, tendo em vista a necessidade de acertamento da relação jurídica de direito material que vincula as partes...</w:t>
      </w:r>
      <w:r w:rsidRPr="00B626E7">
        <w:rPr>
          <w:rFonts w:ascii="Times New Roman" w:hAnsi="Times New Roman" w:cs="Times New Roman"/>
          <w:i/>
          <w:iCs/>
        </w:rPr>
        <w:t xml:space="preserve"> </w:t>
      </w:r>
      <w:r w:rsidR="00FD5770" w:rsidRPr="00B626E7">
        <w:rPr>
          <w:rFonts w:ascii="Times New Roman" w:hAnsi="Times New Roman" w:cs="Times New Roman"/>
          <w:i/>
          <w:iCs/>
        </w:rPr>
        <w:t xml:space="preserve">5- Na hipótese, a decisão interlocutória que, na segunda fase da ação de prestação contas, defere a produção de prova pericial contábil, nomeia perito e defere prazo para apresentação de documentos, formulação de quesitos e nomeação de assistentes, não se submete ao regime recursal estabelecido para as fases de liquidação e cumprimento da sentença (art. 1.015, parágrafo único, do CPC/15), mas, sim, aplica-se o regime recursal aplicável à fase de conhecimento </w:t>
      </w:r>
      <w:r w:rsidR="00FD5770" w:rsidRPr="00B626E7">
        <w:rPr>
          <w:rFonts w:ascii="Times New Roman" w:hAnsi="Times New Roman" w:cs="Times New Roman"/>
          <w:i/>
          <w:iCs/>
        </w:rPr>
        <w:lastRenderedPageBreak/>
        <w:t>(art. 1.015, caput e incisos, CPC/15), que não admite a recorribilidade imediata da decisão interlocutória com o referido conteúdo, não se aplicando, ademais, a tese da taxatividade mitigada por se tratar de decisão interlocutória publicada anteriormente a publicação do acórdão que fixou a tese e modulou os seus efeitos.</w:t>
      </w:r>
      <w:r>
        <w:rPr>
          <w:rFonts w:ascii="Times New Roman" w:hAnsi="Times New Roman" w:cs="Times New Roman"/>
          <w:i/>
          <w:iCs/>
        </w:rPr>
        <w:t xml:space="preserve"> </w:t>
      </w:r>
      <w:r w:rsidR="00FD5770" w:rsidRPr="00B626E7">
        <w:rPr>
          <w:rFonts w:ascii="Times New Roman" w:hAnsi="Times New Roman" w:cs="Times New Roman"/>
          <w:i/>
          <w:iCs/>
        </w:rPr>
        <w:t>6- Recurso especial conhecido e desprovido</w:t>
      </w:r>
      <w:r w:rsidR="00FD5770" w:rsidRPr="00FD5770">
        <w:rPr>
          <w:rFonts w:ascii="Times New Roman" w:hAnsi="Times New Roman" w:cs="Times New Roman"/>
        </w:rPr>
        <w:t>.</w:t>
      </w:r>
      <w:r>
        <w:rPr>
          <w:rFonts w:ascii="Times New Roman" w:hAnsi="Times New Roman" w:cs="Times New Roman"/>
        </w:rPr>
        <w:t xml:space="preserve">” </w:t>
      </w:r>
      <w:r w:rsidR="00FD5770" w:rsidRPr="00FD5770">
        <w:rPr>
          <w:rFonts w:ascii="Times New Roman" w:hAnsi="Times New Roman" w:cs="Times New Roman"/>
        </w:rPr>
        <w:t>[doc.</w:t>
      </w:r>
      <w:r>
        <w:rPr>
          <w:rFonts w:ascii="Times New Roman" w:hAnsi="Times New Roman" w:cs="Times New Roman"/>
        </w:rPr>
        <w:t xml:space="preserve"> ...</w:t>
      </w:r>
      <w:r w:rsidR="00FD5770" w:rsidRPr="00FD5770">
        <w:rPr>
          <w:rFonts w:ascii="Times New Roman" w:hAnsi="Times New Roman" w:cs="Times New Roman"/>
        </w:rPr>
        <w:t>- Íntegra Acórdão STJ]</w:t>
      </w:r>
    </w:p>
    <w:p w14:paraId="708E2187"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A identidade entre o paradigma e o caso concreto é absoluta. Lá, como aqui: </w:t>
      </w:r>
    </w:p>
    <w:p w14:paraId="17A92A9C" w14:textId="3D589ACB" w:rsidR="00FD5770" w:rsidRPr="00FD5770" w:rsidRDefault="00B626E7" w:rsidP="00FD5770">
      <w:pPr>
        <w:ind w:right="-568"/>
        <w:jc w:val="both"/>
        <w:rPr>
          <w:rFonts w:ascii="Times New Roman" w:hAnsi="Times New Roman" w:cs="Times New Roman"/>
        </w:rPr>
      </w:pPr>
      <w:r>
        <w:rPr>
          <w:rFonts w:ascii="Times New Roman" w:hAnsi="Times New Roman" w:cs="Times New Roman"/>
        </w:rPr>
        <w:t xml:space="preserve">- </w:t>
      </w:r>
      <w:proofErr w:type="gramStart"/>
      <w:r w:rsidR="00FD5770" w:rsidRPr="00FD5770">
        <w:rPr>
          <w:rFonts w:ascii="Times New Roman" w:hAnsi="Times New Roman" w:cs="Times New Roman"/>
        </w:rPr>
        <w:t>a</w:t>
      </w:r>
      <w:proofErr w:type="gramEnd"/>
      <w:r w:rsidR="00FD5770" w:rsidRPr="00FD5770">
        <w:rPr>
          <w:rFonts w:ascii="Times New Roman" w:hAnsi="Times New Roman" w:cs="Times New Roman"/>
        </w:rPr>
        <w:t xml:space="preserve"> ação era de exigir contas; </w:t>
      </w:r>
    </w:p>
    <w:p w14:paraId="4FD4722C" w14:textId="57792E8B" w:rsidR="00FD5770" w:rsidRPr="00FD5770" w:rsidRDefault="00B626E7" w:rsidP="00FD5770">
      <w:pPr>
        <w:ind w:right="-568"/>
        <w:jc w:val="both"/>
        <w:rPr>
          <w:rFonts w:ascii="Times New Roman" w:hAnsi="Times New Roman" w:cs="Times New Roman"/>
        </w:rPr>
      </w:pPr>
      <w:r>
        <w:rPr>
          <w:rFonts w:ascii="Times New Roman" w:hAnsi="Times New Roman" w:cs="Times New Roman"/>
        </w:rPr>
        <w:t xml:space="preserve">- </w:t>
      </w:r>
      <w:proofErr w:type="gramStart"/>
      <w:r w:rsidR="00FD5770" w:rsidRPr="00FD5770">
        <w:rPr>
          <w:rFonts w:ascii="Times New Roman" w:hAnsi="Times New Roman" w:cs="Times New Roman"/>
        </w:rPr>
        <w:t>o</w:t>
      </w:r>
      <w:proofErr w:type="gramEnd"/>
      <w:r w:rsidR="00FD5770" w:rsidRPr="00FD5770">
        <w:rPr>
          <w:rFonts w:ascii="Times New Roman" w:hAnsi="Times New Roman" w:cs="Times New Roman"/>
        </w:rPr>
        <w:t xml:space="preserve"> processo se encontrava em sua segunda fase; </w:t>
      </w:r>
    </w:p>
    <w:p w14:paraId="242CD11C" w14:textId="17FC47E4" w:rsidR="00FD5770" w:rsidRPr="00FD5770" w:rsidRDefault="00B626E7" w:rsidP="00FD5770">
      <w:pPr>
        <w:ind w:right="-568"/>
        <w:jc w:val="both"/>
        <w:rPr>
          <w:rFonts w:ascii="Times New Roman" w:hAnsi="Times New Roman" w:cs="Times New Roman"/>
        </w:rPr>
      </w:pPr>
      <w:r>
        <w:rPr>
          <w:rFonts w:ascii="Times New Roman" w:hAnsi="Times New Roman" w:cs="Times New Roman"/>
        </w:rPr>
        <w:t xml:space="preserve">- </w:t>
      </w:r>
      <w:proofErr w:type="gramStart"/>
      <w:r w:rsidR="00FD5770" w:rsidRPr="00FD5770">
        <w:rPr>
          <w:rFonts w:ascii="Times New Roman" w:hAnsi="Times New Roman" w:cs="Times New Roman"/>
        </w:rPr>
        <w:t>o</w:t>
      </w:r>
      <w:proofErr w:type="gramEnd"/>
      <w:r w:rsidR="00FD5770" w:rsidRPr="00FD5770">
        <w:rPr>
          <w:rFonts w:ascii="Times New Roman" w:hAnsi="Times New Roman" w:cs="Times New Roman"/>
        </w:rPr>
        <w:t xml:space="preserve"> juízo deferiu prova pericial contábil; </w:t>
      </w:r>
    </w:p>
    <w:p w14:paraId="665EF1D1" w14:textId="268C777F" w:rsidR="00FD5770" w:rsidRPr="00FD5770" w:rsidRDefault="00B626E7" w:rsidP="00FD5770">
      <w:pPr>
        <w:ind w:right="-568"/>
        <w:jc w:val="both"/>
        <w:rPr>
          <w:rFonts w:ascii="Times New Roman" w:hAnsi="Times New Roman" w:cs="Times New Roman"/>
        </w:rPr>
      </w:pPr>
      <w:r>
        <w:rPr>
          <w:rFonts w:ascii="Times New Roman" w:hAnsi="Times New Roman" w:cs="Times New Roman"/>
        </w:rPr>
        <w:t xml:space="preserve">- </w:t>
      </w:r>
      <w:r w:rsidR="00FD5770" w:rsidRPr="00FD5770">
        <w:rPr>
          <w:rFonts w:ascii="Times New Roman" w:hAnsi="Times New Roman" w:cs="Times New Roman"/>
        </w:rPr>
        <w:t xml:space="preserve"> </w:t>
      </w:r>
      <w:proofErr w:type="gramStart"/>
      <w:r w:rsidR="00FD5770" w:rsidRPr="00FD5770">
        <w:rPr>
          <w:rFonts w:ascii="Times New Roman" w:hAnsi="Times New Roman" w:cs="Times New Roman"/>
        </w:rPr>
        <w:t>nomeou</w:t>
      </w:r>
      <w:proofErr w:type="gramEnd"/>
      <w:r w:rsidR="00FD5770" w:rsidRPr="00FD5770">
        <w:rPr>
          <w:rFonts w:ascii="Times New Roman" w:hAnsi="Times New Roman" w:cs="Times New Roman"/>
        </w:rPr>
        <w:t xml:space="preserve"> perito; e </w:t>
      </w:r>
    </w:p>
    <w:p w14:paraId="521291BA" w14:textId="32954EBC" w:rsidR="00FD5770" w:rsidRPr="00FD5770" w:rsidRDefault="00B626E7" w:rsidP="00FD5770">
      <w:pPr>
        <w:ind w:right="-568"/>
        <w:jc w:val="both"/>
        <w:rPr>
          <w:rFonts w:ascii="Times New Roman" w:hAnsi="Times New Roman" w:cs="Times New Roman"/>
        </w:rPr>
      </w:pPr>
      <w:r>
        <w:rPr>
          <w:rFonts w:ascii="Times New Roman" w:hAnsi="Times New Roman" w:cs="Times New Roman"/>
        </w:rPr>
        <w:t xml:space="preserve">- </w:t>
      </w:r>
      <w:proofErr w:type="gramStart"/>
      <w:r w:rsidR="00FD5770" w:rsidRPr="00FD5770">
        <w:rPr>
          <w:rFonts w:ascii="Times New Roman" w:hAnsi="Times New Roman" w:cs="Times New Roman"/>
        </w:rPr>
        <w:t>abriu</w:t>
      </w:r>
      <w:proofErr w:type="gramEnd"/>
      <w:r w:rsidR="00FD5770" w:rsidRPr="00FD5770">
        <w:rPr>
          <w:rFonts w:ascii="Times New Roman" w:hAnsi="Times New Roman" w:cs="Times New Roman"/>
        </w:rPr>
        <w:t xml:space="preserve"> prazo para quesitos e assistentes técnicos. </w:t>
      </w:r>
    </w:p>
    <w:p w14:paraId="579D0BB9" w14:textId="164E5240"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A r. decisão do evento </w:t>
      </w:r>
      <w:r w:rsidR="00B626E7">
        <w:rPr>
          <w:rFonts w:ascii="Times New Roman" w:hAnsi="Times New Roman" w:cs="Times New Roman"/>
        </w:rPr>
        <w:t>...</w:t>
      </w:r>
      <w:r w:rsidRPr="00FD5770">
        <w:rPr>
          <w:rFonts w:ascii="Times New Roman" w:hAnsi="Times New Roman" w:cs="Times New Roman"/>
        </w:rPr>
        <w:t xml:space="preserve"> reproduz, ponto por ponto, o conteúdo da decisão que o STJ reputou irrecorrível de imediato.</w:t>
      </w:r>
    </w:p>
    <w:p w14:paraId="3ED799C4"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O fundamento central do acórdão é decisivo para o caso. A segunda fase da ação de exigir contas desenvolve atividade cognitiva, voltada à apuração do saldo (</w:t>
      </w:r>
      <w:proofErr w:type="spellStart"/>
      <w:r w:rsidRPr="00FD5770">
        <w:rPr>
          <w:rFonts w:ascii="Times New Roman" w:hAnsi="Times New Roman" w:cs="Times New Roman"/>
        </w:rPr>
        <w:t>arts</w:t>
      </w:r>
      <w:proofErr w:type="spellEnd"/>
      <w:r w:rsidRPr="00FD5770">
        <w:rPr>
          <w:rFonts w:ascii="Times New Roman" w:hAnsi="Times New Roman" w:cs="Times New Roman"/>
        </w:rPr>
        <w:t xml:space="preserve">. 550, §§ 2º a 6º, e 552 do CPC), e culmina em sentença que constitui título executivo. </w:t>
      </w:r>
    </w:p>
    <w:p w14:paraId="4B7BE57A" w14:textId="55B62775"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Não se trata de liquidação nem de cumprimento de sentença. Por isso, não incide o parágrafo único do art. 1.015, que amplia a recorribilidade apenas nas fases de liquidação, cumprimento de sentença, execução e inventário. </w:t>
      </w:r>
    </w:p>
    <w:p w14:paraId="6B1F5B53"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As interlocutórias da segunda fase submetem-se ao regime comum da fase de conhecimento, isto é, ao rol do </w:t>
      </w:r>
      <w:r w:rsidRPr="00B626E7">
        <w:rPr>
          <w:rFonts w:ascii="Times New Roman" w:hAnsi="Times New Roman" w:cs="Times New Roman"/>
          <w:i/>
          <w:iCs/>
        </w:rPr>
        <w:t>caput</w:t>
      </w:r>
      <w:r w:rsidRPr="00FD5770">
        <w:rPr>
          <w:rFonts w:ascii="Times New Roman" w:hAnsi="Times New Roman" w:cs="Times New Roman"/>
        </w:rPr>
        <w:t>.</w:t>
      </w:r>
    </w:p>
    <w:p w14:paraId="450DE960" w14:textId="481494E9"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Note-se o contraste com a orientação, igualmente firme, de que é agravável a decisão que julga procedente a primeira fase da ação de exigir contas (v.g., STJ, REsp 2.105.946, 3ª Turma, Rel. Min. Nancy Andrighi, 2024). </w:t>
      </w:r>
    </w:p>
    <w:p w14:paraId="41BECF48"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Ali há pronunciamento de mérito parcial, enquadrável no art. 1.015, II. Aqui, ao contrário, a decisão agravada nada decidiu sobre o mérito: limitou-se a ordenar a instrução necessária para que o mérito possa ser decidido. A distinção confirma, e não infirma, o não cabimento. </w:t>
      </w:r>
    </w:p>
    <w:p w14:paraId="75CC4153" w14:textId="77777777" w:rsidR="00FD5770" w:rsidRPr="00B626E7" w:rsidRDefault="00FD5770" w:rsidP="00FD5770">
      <w:pPr>
        <w:ind w:right="-568"/>
        <w:jc w:val="both"/>
        <w:rPr>
          <w:rFonts w:ascii="Times New Roman" w:hAnsi="Times New Roman" w:cs="Times New Roman"/>
          <w:b/>
          <w:bCs/>
        </w:rPr>
      </w:pPr>
      <w:r w:rsidRPr="00B626E7">
        <w:rPr>
          <w:rFonts w:ascii="Times New Roman" w:hAnsi="Times New Roman" w:cs="Times New Roman"/>
          <w:b/>
          <w:bCs/>
        </w:rPr>
        <w:t>IV.3 - A taxatividade mitigada (Tema 988/STJ) não socorre o agravante</w:t>
      </w:r>
    </w:p>
    <w:p w14:paraId="37F30470"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O agravante invoca o Tema 988 do STJ. Sem razão. A tese firmada pela Corte Especial é restritiva e exige requisito específico:</w:t>
      </w:r>
    </w:p>
    <w:p w14:paraId="643DC194" w14:textId="58A18D94"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w:t>
      </w:r>
      <w:r w:rsidRPr="00B626E7">
        <w:rPr>
          <w:rFonts w:ascii="Times New Roman" w:hAnsi="Times New Roman" w:cs="Times New Roman"/>
          <w:i/>
          <w:iCs/>
        </w:rPr>
        <w:t>O rol do art. 1.015 do CPC é de taxatividade mitigada, por isso admite a interposição de agravo de instrumento quando verificada a urgência decorrente da inutilidade do julgamento da questão no recurso de apelação</w:t>
      </w:r>
      <w:r w:rsidRPr="00FD5770">
        <w:rPr>
          <w:rFonts w:ascii="Times New Roman" w:hAnsi="Times New Roman" w:cs="Times New Roman"/>
        </w:rPr>
        <w:t xml:space="preserve">.” (STJ, REsp 1.696.396/MT e REsp 1.704.520/MT, Corte Especial, Rel. Min. Nancy Andrighi, j. 05.12.2018, </w:t>
      </w:r>
      <w:proofErr w:type="spellStart"/>
      <w:r w:rsidRPr="00FD5770">
        <w:rPr>
          <w:rFonts w:ascii="Times New Roman" w:hAnsi="Times New Roman" w:cs="Times New Roman"/>
        </w:rPr>
        <w:t>DJe</w:t>
      </w:r>
      <w:proofErr w:type="spellEnd"/>
      <w:r w:rsidRPr="00FD5770">
        <w:rPr>
          <w:rFonts w:ascii="Times New Roman" w:hAnsi="Times New Roman" w:cs="Times New Roman"/>
        </w:rPr>
        <w:t xml:space="preserve"> 19.12.2018)</w:t>
      </w:r>
    </w:p>
    <w:p w14:paraId="30384889"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A urgência qualificada pela inutilidade do exame diferido não está presente. </w:t>
      </w:r>
    </w:p>
    <w:p w14:paraId="08798016" w14:textId="48C145ED"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lastRenderedPageBreak/>
        <w:t>Primeiro, porque a questão não preclui e poderá ser integralmente devolvida em preliminar de apelação (art. 1.009, § 1º). Segundo, porque o juiz não está adstrito ao laudo (art. 479 do CPC) e o agravante dispõe, desde já, de todos os instrumentos para participar da prova: indicar assistente técnico, formular quesitos, apresentar parecer divergente e requerer esclarecimentos (</w:t>
      </w:r>
      <w:proofErr w:type="spellStart"/>
      <w:r w:rsidRPr="00FD5770">
        <w:rPr>
          <w:rFonts w:ascii="Times New Roman" w:hAnsi="Times New Roman" w:cs="Times New Roman"/>
        </w:rPr>
        <w:t>arts</w:t>
      </w:r>
      <w:proofErr w:type="spellEnd"/>
      <w:r w:rsidRPr="00FD5770">
        <w:rPr>
          <w:rFonts w:ascii="Times New Roman" w:hAnsi="Times New Roman" w:cs="Times New Roman"/>
        </w:rPr>
        <w:t>. 465, § 1º, II e III, 469 e 477, §§ 1º a 3º). Terceiro, porque o único “</w:t>
      </w:r>
      <w:r w:rsidRPr="00B626E7">
        <w:rPr>
          <w:rFonts w:ascii="Times New Roman" w:hAnsi="Times New Roman" w:cs="Times New Roman"/>
          <w:i/>
          <w:iCs/>
        </w:rPr>
        <w:t>prejuízo</w:t>
      </w:r>
      <w:r w:rsidRPr="00FD5770">
        <w:rPr>
          <w:rFonts w:ascii="Times New Roman" w:hAnsi="Times New Roman" w:cs="Times New Roman"/>
        </w:rPr>
        <w:t>” apontado é o adiantamento de honorários periciais, dispêndio financeiro e plenamente reversível pela distribuição final dos ônus sucumbenciais (art. 82, § 2º, do CPC).</w:t>
      </w:r>
    </w:p>
    <w:p w14:paraId="383378E0"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Aliás, o próprio agravante revela, com franqueza, qual é o real propósito do recurso. Ao justificar por que não se dirigiu primeiro ao juízo de origem, afirma que, interposto o agravo, “</w:t>
      </w:r>
      <w:r w:rsidRPr="00B626E7">
        <w:rPr>
          <w:rFonts w:ascii="Times New Roman" w:hAnsi="Times New Roman" w:cs="Times New Roman"/>
          <w:i/>
          <w:iCs/>
        </w:rPr>
        <w:t>o case já se encontra na Instância superior, tendo-se, reconheça-se, ganho temporal saudável para todas as partes</w:t>
      </w:r>
      <w:r w:rsidRPr="00FD5770">
        <w:rPr>
          <w:rFonts w:ascii="Times New Roman" w:hAnsi="Times New Roman" w:cs="Times New Roman"/>
        </w:rPr>
        <w:t>”. A busca de “</w:t>
      </w:r>
      <w:r w:rsidRPr="00B626E7">
        <w:rPr>
          <w:rFonts w:ascii="Times New Roman" w:hAnsi="Times New Roman" w:cs="Times New Roman"/>
          <w:i/>
          <w:iCs/>
        </w:rPr>
        <w:t>ganho temporal</w:t>
      </w:r>
      <w:r w:rsidRPr="00FD5770">
        <w:rPr>
          <w:rFonts w:ascii="Times New Roman" w:hAnsi="Times New Roman" w:cs="Times New Roman"/>
        </w:rPr>
        <w:t>” é a antítese da urgência exigida pelo Tema 988, que pressupõe a inutilidade do exame diferido, e não a conveniência de antecipá-lo.</w:t>
      </w:r>
    </w:p>
    <w:p w14:paraId="3870E71A"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A mesma diretriz, a de que decisões sobre instrução probatória não são impugnáveis por agravo de instrumento, devendo o inconformismo ser veiculado na apelação, </w:t>
      </w:r>
      <w:proofErr w:type="spellStart"/>
      <w:r w:rsidRPr="00B626E7">
        <w:rPr>
          <w:rFonts w:ascii="Times New Roman" w:hAnsi="Times New Roman" w:cs="Times New Roman"/>
          <w:i/>
          <w:iCs/>
        </w:rPr>
        <w:t>ex-vi</w:t>
      </w:r>
      <w:proofErr w:type="spellEnd"/>
      <w:r w:rsidRPr="00FD5770">
        <w:rPr>
          <w:rFonts w:ascii="Times New Roman" w:hAnsi="Times New Roman" w:cs="Times New Roman"/>
        </w:rPr>
        <w:t xml:space="preserve"> RMS 65.943/SP, Rel. Min. Mauro Campbell Marques, </w:t>
      </w:r>
      <w:proofErr w:type="spellStart"/>
      <w:r w:rsidRPr="00FD5770">
        <w:rPr>
          <w:rFonts w:ascii="Times New Roman" w:hAnsi="Times New Roman" w:cs="Times New Roman"/>
        </w:rPr>
        <w:t>DJe</w:t>
      </w:r>
      <w:proofErr w:type="spellEnd"/>
      <w:r w:rsidRPr="00FD5770">
        <w:rPr>
          <w:rFonts w:ascii="Times New Roman" w:hAnsi="Times New Roman" w:cs="Times New Roman"/>
        </w:rPr>
        <w:t xml:space="preserve"> 09.11.2021:</w:t>
      </w:r>
    </w:p>
    <w:p w14:paraId="5E5E9F32"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Extrai-se do voto condutor: </w:t>
      </w:r>
    </w:p>
    <w:p w14:paraId="6F0E1754"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w:t>
      </w:r>
      <w:r w:rsidRPr="00B626E7">
        <w:rPr>
          <w:rFonts w:ascii="Times New Roman" w:hAnsi="Times New Roman" w:cs="Times New Roman"/>
          <w:i/>
          <w:iCs/>
        </w:rPr>
        <w:t>A taxatividade mitigada, segundo apreendo, incide nessa segunda espécie, de maneira que apesar de uma determinada controvérsia não estar ´prima facie´ sujeita à inquinação pela via do agravo de instrumento, o uso deste dependerá quando presentes (a) a urgência da medida e (b) o risco de inutilidade do proveito judicial decorrente do julgamento da questão apenas por ocasião da apelação. Assim, o exame do presente caso demanda que se examine primeiramente se era, de fato, caso de agravo de instrumento, mas a mim não parece haver subsunção à tese firmada no precedente. O caso concreto retrata uma hipótese que versa o direito à instrução probatória especificamente na ação de desapropriação por utilidade pública, a decisão de esclarecimentos adicionais partindo do próprio magistrado, destinatário dessas provas, entendendo ser necessário precaver-se para que não houvesse a liberação indevida de verba pública depositada em juízo. Decerto que tal matéria não está expressamente sujeita ao agravo de instrumento tanto por ausência do rol referido no art. 1.015 do CPC/15, quanto porque não se está diante de uma situação de urgência na medida em que as questões de direito probatório, uma vez excluídas do sistema de preclusões, podem ser debatidas por ocasião do julgamento da apelação. Assim, em linha de princípio as questões referentes ao direito probatório parecem excluídas das matérias sujeitas a impugnação pela via do agravo de instrumento</w:t>
      </w:r>
      <w:r w:rsidRPr="00FD5770">
        <w:rPr>
          <w:rFonts w:ascii="Times New Roman" w:hAnsi="Times New Roman" w:cs="Times New Roman"/>
        </w:rPr>
        <w:t>”.</w:t>
      </w:r>
    </w:p>
    <w:p w14:paraId="011C3918" w14:textId="77777777" w:rsidR="00FD5770" w:rsidRPr="00B626E7" w:rsidRDefault="00FD5770" w:rsidP="00FD5770">
      <w:pPr>
        <w:ind w:right="-568"/>
        <w:jc w:val="both"/>
        <w:rPr>
          <w:rFonts w:ascii="Times New Roman" w:hAnsi="Times New Roman" w:cs="Times New Roman"/>
          <w:b/>
          <w:bCs/>
        </w:rPr>
      </w:pPr>
      <w:r w:rsidRPr="00B626E7">
        <w:rPr>
          <w:rFonts w:ascii="Times New Roman" w:hAnsi="Times New Roman" w:cs="Times New Roman"/>
          <w:b/>
          <w:bCs/>
        </w:rPr>
        <w:t>IV.4 - O juízo provisório de admissibilidade não vincula o colegiado</w:t>
      </w:r>
    </w:p>
    <w:p w14:paraId="32C7108E"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O conhecimento do recurso na decisão liminar decorreu de juízo provisório, próprio da cognição sumária, e não impede que o colegiado, examinando a admissibilidade em caráter definitivo, reconheça a inadmissibilidade. </w:t>
      </w:r>
    </w:p>
    <w:p w14:paraId="19D2F254"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Os pressupostos recursais são matéria de ordem pública, cognoscível a qualquer tempo, e o art. 932, III, do CPC impõe o não conhecimento de recurso inadmissível.</w:t>
      </w:r>
    </w:p>
    <w:p w14:paraId="4CA73E38"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Impõe-se, pois, o não conhecimento do agravo de instrumento.</w:t>
      </w:r>
    </w:p>
    <w:p w14:paraId="470AC74B" w14:textId="77777777" w:rsidR="00FD5770" w:rsidRPr="00FD5770" w:rsidRDefault="00FD5770" w:rsidP="00FD5770">
      <w:pPr>
        <w:ind w:right="-568"/>
        <w:jc w:val="both"/>
        <w:rPr>
          <w:rFonts w:ascii="Times New Roman" w:hAnsi="Times New Roman" w:cs="Times New Roman"/>
        </w:rPr>
      </w:pPr>
    </w:p>
    <w:p w14:paraId="038C5B6C" w14:textId="77777777" w:rsidR="00FD5770" w:rsidRPr="00B626E7" w:rsidRDefault="00FD5770" w:rsidP="00FD5770">
      <w:pPr>
        <w:ind w:right="-568"/>
        <w:jc w:val="both"/>
        <w:rPr>
          <w:rFonts w:ascii="Times New Roman" w:hAnsi="Times New Roman" w:cs="Times New Roman"/>
          <w:b/>
          <w:bCs/>
        </w:rPr>
      </w:pPr>
      <w:r w:rsidRPr="00B626E7">
        <w:rPr>
          <w:rFonts w:ascii="Times New Roman" w:hAnsi="Times New Roman" w:cs="Times New Roman"/>
          <w:b/>
          <w:bCs/>
        </w:rPr>
        <w:t>V - PRELIMINAR SUBSIDIÁRIA: SUPRESSÃO DE INSTÂNCIA E PRECLUSÃO QUANTO À SUBSTITUIÇÃO DA PERITA</w:t>
      </w:r>
    </w:p>
    <w:p w14:paraId="0966FDE2" w14:textId="39A462CD"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Ainda que superada a preliminar anterior, o que se admite em respeito ao princípio da eventualidade, o pedido de substituição da perita não pode ser conhecido.</w:t>
      </w:r>
    </w:p>
    <w:p w14:paraId="113C5CD2" w14:textId="726F13CF"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A r. decisão agravada abriu expressamente às partes o prazo de 15 (quinze) dias para “</w:t>
      </w:r>
      <w:r w:rsidRPr="00B626E7">
        <w:rPr>
          <w:rFonts w:ascii="Times New Roman" w:hAnsi="Times New Roman" w:cs="Times New Roman"/>
          <w:i/>
          <w:iCs/>
        </w:rPr>
        <w:t xml:space="preserve">arguirem impedimento ou suspeição do profissional, se for o caso” </w:t>
      </w:r>
      <w:r w:rsidRPr="00FD5770">
        <w:rPr>
          <w:rFonts w:ascii="Times New Roman" w:hAnsi="Times New Roman" w:cs="Times New Roman"/>
        </w:rPr>
        <w:t xml:space="preserve">(art. 465, § 1º, I, do CPC). </w:t>
      </w:r>
    </w:p>
    <w:p w14:paraId="6F45E50D" w14:textId="06942585"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O Código disciplina minuciosamente o procedimento: a parte interessada deve arguir o impedimento ou a suspeição do auxiliar da justiça “</w:t>
      </w:r>
      <w:r w:rsidRPr="00B626E7">
        <w:rPr>
          <w:rFonts w:ascii="Times New Roman" w:hAnsi="Times New Roman" w:cs="Times New Roman"/>
          <w:i/>
          <w:iCs/>
        </w:rPr>
        <w:t xml:space="preserve">em petição específica dirigida ao juiz da causa, na </w:t>
      </w:r>
      <w:proofErr w:type="gramStart"/>
      <w:r w:rsidRPr="00B626E7">
        <w:rPr>
          <w:rFonts w:ascii="Times New Roman" w:hAnsi="Times New Roman" w:cs="Times New Roman"/>
          <w:i/>
          <w:iCs/>
        </w:rPr>
        <w:t>primeira  oportunidade</w:t>
      </w:r>
      <w:proofErr w:type="gramEnd"/>
      <w:r w:rsidRPr="00B626E7">
        <w:rPr>
          <w:rFonts w:ascii="Times New Roman" w:hAnsi="Times New Roman" w:cs="Times New Roman"/>
          <w:i/>
          <w:iCs/>
        </w:rPr>
        <w:t xml:space="preserve">  em</w:t>
      </w:r>
      <w:r w:rsidR="00B626E7" w:rsidRPr="00B626E7">
        <w:rPr>
          <w:rFonts w:ascii="Times New Roman" w:hAnsi="Times New Roman" w:cs="Times New Roman"/>
          <w:i/>
          <w:iCs/>
        </w:rPr>
        <w:t xml:space="preserve"> </w:t>
      </w:r>
      <w:r w:rsidRPr="00B626E7">
        <w:rPr>
          <w:rFonts w:ascii="Times New Roman" w:hAnsi="Times New Roman" w:cs="Times New Roman"/>
          <w:i/>
          <w:iCs/>
        </w:rPr>
        <w:t>que lhe couber falar nos autos</w:t>
      </w:r>
      <w:r w:rsidRPr="00FD5770">
        <w:rPr>
          <w:rFonts w:ascii="Times New Roman" w:hAnsi="Times New Roman" w:cs="Times New Roman"/>
        </w:rPr>
        <w:t>” (art. 148, §§ 1º e 2º, c/c art. 467); o incidente é processado em separado, com oitiva do arguido e produção de prova. A substituição do perito, por sua vez, pressupõe as hipóteses do art. 468, aferidas pelo juízo da causa.</w:t>
      </w:r>
    </w:p>
    <w:p w14:paraId="67712040"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O agravante não percorreu nenhum desses caminhos. E não o fez deliberadamente, como confessa no tópico VI de suas razões:</w:t>
      </w:r>
    </w:p>
    <w:p w14:paraId="79EF3341"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w:t>
      </w:r>
      <w:r w:rsidRPr="00B626E7">
        <w:rPr>
          <w:rFonts w:ascii="Times New Roman" w:hAnsi="Times New Roman" w:cs="Times New Roman"/>
          <w:i/>
          <w:iCs/>
        </w:rPr>
        <w:t xml:space="preserve">Pode vir a ser cogitado que a parte não se louvou do permissivo de oferecer impugnação à </w:t>
      </w:r>
      <w:proofErr w:type="spellStart"/>
      <w:r w:rsidRPr="00B626E7">
        <w:rPr>
          <w:rFonts w:ascii="Times New Roman" w:hAnsi="Times New Roman" w:cs="Times New Roman"/>
          <w:i/>
          <w:iCs/>
        </w:rPr>
        <w:t>re-nomeação</w:t>
      </w:r>
      <w:proofErr w:type="spellEnd"/>
      <w:r w:rsidRPr="00B626E7">
        <w:rPr>
          <w:rFonts w:ascii="Times New Roman" w:hAnsi="Times New Roman" w:cs="Times New Roman"/>
          <w:i/>
          <w:iCs/>
        </w:rPr>
        <w:t xml:space="preserve">, diretamente ao Juiz da causa. Justifica-se: Quatro décadas nas lides forenses bem mostraram que é extremamente raro magistrado de base quedar-se no reconhecimento de não se houve em perfeição em suas decisões. – A negativa da pretensão de afastamento da </w:t>
      </w:r>
      <w:proofErr w:type="spellStart"/>
      <w:r w:rsidRPr="00B626E7">
        <w:rPr>
          <w:rFonts w:ascii="Times New Roman" w:hAnsi="Times New Roman" w:cs="Times New Roman"/>
          <w:i/>
          <w:iCs/>
        </w:rPr>
        <w:t>re-nomeada</w:t>
      </w:r>
      <w:proofErr w:type="spellEnd"/>
      <w:r w:rsidRPr="00B626E7">
        <w:rPr>
          <w:rFonts w:ascii="Times New Roman" w:hAnsi="Times New Roman" w:cs="Times New Roman"/>
          <w:i/>
          <w:iCs/>
        </w:rPr>
        <w:t xml:space="preserve"> é evidente</w:t>
      </w:r>
      <w:r w:rsidRPr="00FD5770">
        <w:rPr>
          <w:rFonts w:ascii="Times New Roman" w:hAnsi="Times New Roman" w:cs="Times New Roman"/>
        </w:rPr>
        <w:t>.”</w:t>
      </w:r>
    </w:p>
    <w:p w14:paraId="32BC913A" w14:textId="7C7006BA"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A confissão encerra a questão. </w:t>
      </w:r>
    </w:p>
    <w:p w14:paraId="5DCDF784" w14:textId="70BEFC3D"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O Tribunal, em sede de agravo, revisa o que foi decidido; não decide originariamente o que jamais foi submetido ao juízo natural. A pretensão de substituição da perita nunca foi apreciada na origem, de modo que seu exame direto em segundo grau importaria supressão de instância e violação ao duplo grau de jurisdição. </w:t>
      </w:r>
    </w:p>
    <w:p w14:paraId="200B380B" w14:textId="69DF94F0"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A presunção de que o juízo indeferiria o pedido não autoriza saltar a instância. Com a devida vênia, tampouco é compatível com o dever de urbanidade (art. 78 do CPC) e com a cooperação processual (art. 6º) que se presuma, de antemão, a parcialidade da Magistrada de primeiro grau.</w:t>
      </w:r>
    </w:p>
    <w:p w14:paraId="6971C001" w14:textId="146F843D"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Há, ademais, preclusão. Os fatos que o agravante hoje invoca contra a perita, as respostas dadas aos quesitos em </w:t>
      </w:r>
      <w:r w:rsidR="00B626E7">
        <w:rPr>
          <w:rFonts w:ascii="Times New Roman" w:hAnsi="Times New Roman" w:cs="Times New Roman"/>
        </w:rPr>
        <w:t xml:space="preserve">... </w:t>
      </w:r>
      <w:r w:rsidRPr="00FD5770">
        <w:rPr>
          <w:rFonts w:ascii="Times New Roman" w:hAnsi="Times New Roman" w:cs="Times New Roman"/>
        </w:rPr>
        <w:t xml:space="preserve">e a complementação de </w:t>
      </w:r>
      <w:r w:rsidR="00B626E7">
        <w:rPr>
          <w:rFonts w:ascii="Times New Roman" w:hAnsi="Times New Roman" w:cs="Times New Roman"/>
        </w:rPr>
        <w:t>...</w:t>
      </w:r>
      <w:r w:rsidRPr="00FD5770">
        <w:rPr>
          <w:rFonts w:ascii="Times New Roman" w:hAnsi="Times New Roman" w:cs="Times New Roman"/>
        </w:rPr>
        <w:t>, são de seu conhecimento há mais de uma década. Se neles enxergava inaptidão ou, como insinua, parcialidade (“</w:t>
      </w:r>
      <w:r w:rsidRPr="00B626E7">
        <w:rPr>
          <w:rFonts w:ascii="Times New Roman" w:hAnsi="Times New Roman" w:cs="Times New Roman"/>
          <w:i/>
          <w:iCs/>
        </w:rPr>
        <w:t>culminou por sair em defesa da empresa</w:t>
      </w:r>
      <w:r w:rsidRPr="00FD5770">
        <w:rPr>
          <w:rFonts w:ascii="Times New Roman" w:hAnsi="Times New Roman" w:cs="Times New Roman"/>
        </w:rPr>
        <w:t xml:space="preserve">”), deveria tê-los arguido na primeira oportunidade, na forma do art. 148, § 1º. Não o fez em </w:t>
      </w:r>
      <w:r w:rsidR="00B626E7">
        <w:rPr>
          <w:rFonts w:ascii="Times New Roman" w:hAnsi="Times New Roman" w:cs="Times New Roman"/>
        </w:rPr>
        <w:t>...</w:t>
      </w:r>
      <w:r w:rsidRPr="00FD5770">
        <w:rPr>
          <w:rFonts w:ascii="Times New Roman" w:hAnsi="Times New Roman" w:cs="Times New Roman"/>
        </w:rPr>
        <w:t xml:space="preserve">, não o fez em </w:t>
      </w:r>
      <w:r w:rsidR="00B626E7">
        <w:rPr>
          <w:rFonts w:ascii="Times New Roman" w:hAnsi="Times New Roman" w:cs="Times New Roman"/>
        </w:rPr>
        <w:t>...</w:t>
      </w:r>
      <w:r w:rsidRPr="00FD5770">
        <w:rPr>
          <w:rFonts w:ascii="Times New Roman" w:hAnsi="Times New Roman" w:cs="Times New Roman"/>
        </w:rPr>
        <w:t xml:space="preserve"> e não o fez no prazo aberto pela decisão agravada. A insinuação de parcialidade sem arguição formal, ademais, não pode ser recebida como causa de substituição.</w:t>
      </w:r>
    </w:p>
    <w:p w14:paraId="67C278AA" w14:textId="0DF24784"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Com a palavra </w:t>
      </w:r>
      <w:proofErr w:type="spellStart"/>
      <w:r w:rsidRPr="00FD5770">
        <w:rPr>
          <w:rFonts w:ascii="Times New Roman" w:hAnsi="Times New Roman" w:cs="Times New Roman"/>
        </w:rPr>
        <w:t>e</w:t>
      </w:r>
      <w:r w:rsidR="00B626E7">
        <w:rPr>
          <w:rFonts w:ascii="Times New Roman" w:hAnsi="Times New Roman" w:cs="Times New Roman"/>
        </w:rPr>
        <w:t>o</w:t>
      </w:r>
      <w:proofErr w:type="spellEnd"/>
      <w:r w:rsidRPr="00FD5770">
        <w:rPr>
          <w:rFonts w:ascii="Times New Roman" w:hAnsi="Times New Roman" w:cs="Times New Roman"/>
        </w:rPr>
        <w:t xml:space="preserve"> d. TRIBUNAL DE JUSTIÇA DE SANTA CATARINA:</w:t>
      </w:r>
    </w:p>
    <w:p w14:paraId="3E111712" w14:textId="4A6DAFD4" w:rsidR="00FD5770" w:rsidRPr="00FD5770" w:rsidRDefault="00B626E7" w:rsidP="00FD5770">
      <w:pPr>
        <w:ind w:right="-568"/>
        <w:jc w:val="both"/>
        <w:rPr>
          <w:rFonts w:ascii="Times New Roman" w:hAnsi="Times New Roman" w:cs="Times New Roman"/>
        </w:rPr>
      </w:pPr>
      <w:r>
        <w:rPr>
          <w:rFonts w:ascii="Times New Roman" w:hAnsi="Times New Roman" w:cs="Times New Roman"/>
        </w:rPr>
        <w:t>“</w:t>
      </w:r>
      <w:r w:rsidR="00FD5770" w:rsidRPr="00B626E7">
        <w:rPr>
          <w:rFonts w:ascii="Times New Roman" w:hAnsi="Times New Roman" w:cs="Times New Roman"/>
          <w:i/>
          <w:iCs/>
        </w:rPr>
        <w:t xml:space="preserve">EMBARGOS DE DECLARAÇÃO EM AGRAVO DE INSTRUMENTO. AÇÃO DE CONSTITUIÇÃO DE SERVIDÃO ADMINISTRATIVA FUNDADA EM DECLARAÇÃO DE </w:t>
      </w:r>
      <w:r w:rsidR="00FD5770" w:rsidRPr="00B626E7">
        <w:rPr>
          <w:rFonts w:ascii="Times New Roman" w:hAnsi="Times New Roman" w:cs="Times New Roman"/>
          <w:i/>
          <w:iCs/>
        </w:rPr>
        <w:lastRenderedPageBreak/>
        <w:t>UTILIDADE PÚBLICA COM PEDIDO LIMINAR DE IMISSÃO NA POSSE. AVENTADA SUSPEIÇÃO DE PERITO. INOCORRÊNCIA. PRECLUSÃO CONFIGURADA. IMPOSSIBILIDADE DE RECONHECIMENTO DE OFÍCIO. ALEGAÇÃO DE OMISSÃO E CONTRADIÇÃO NO ACÓRDÃO. INSURGÊNCIA QUANTO A PONTOS DEVIDAMENTE COTEJADOS NO ACÓRDÃO EMBARGADO. INEXISTÊNCIA DE QUALQUER VÍCIO. INTUITO DE REDISCUTIR A MATÉRIA. INADMISSIBILIDADE. PREQUESTIONAMENTO. EMBARGOS REJEITADOS</w:t>
      </w:r>
      <w:r w:rsidR="00FD5770" w:rsidRPr="00FD5770">
        <w:rPr>
          <w:rFonts w:ascii="Times New Roman" w:hAnsi="Times New Roman" w:cs="Times New Roman"/>
        </w:rPr>
        <w:t>.</w:t>
      </w:r>
      <w:r>
        <w:rPr>
          <w:rFonts w:ascii="Times New Roman" w:hAnsi="Times New Roman" w:cs="Times New Roman"/>
        </w:rPr>
        <w:t xml:space="preserve">” </w:t>
      </w:r>
      <w:proofErr w:type="gramStart"/>
      <w:r w:rsidR="00FD5770" w:rsidRPr="00FD5770">
        <w:rPr>
          <w:rFonts w:ascii="Times New Roman" w:hAnsi="Times New Roman" w:cs="Times New Roman"/>
        </w:rPr>
        <w:t>[</w:t>
      </w:r>
      <w:proofErr w:type="gramEnd"/>
      <w:r w:rsidR="00FD5770" w:rsidRPr="00FD5770">
        <w:rPr>
          <w:rFonts w:ascii="Times New Roman" w:hAnsi="Times New Roman" w:cs="Times New Roman"/>
        </w:rPr>
        <w:t>TJSC, Agravo de Instrumento 50331090320258240000, Rel. Des. Jaime Ramos, Data de Julgamento: 05/08/2025, Terceira Câmara de Direito Público]</w:t>
      </w:r>
    </w:p>
    <w:p w14:paraId="0485C8FE" w14:textId="623F80A1" w:rsidR="00FD5770" w:rsidRPr="00B626E7" w:rsidRDefault="00B626E7" w:rsidP="00FD5770">
      <w:pPr>
        <w:ind w:right="-568"/>
        <w:jc w:val="both"/>
        <w:rPr>
          <w:rFonts w:ascii="Times New Roman" w:hAnsi="Times New Roman" w:cs="Times New Roman"/>
          <w:i/>
          <w:iCs/>
        </w:rPr>
      </w:pPr>
      <w:r>
        <w:rPr>
          <w:rFonts w:ascii="Times New Roman" w:hAnsi="Times New Roman" w:cs="Times New Roman"/>
        </w:rPr>
        <w:t>“</w:t>
      </w:r>
      <w:r w:rsidR="00FD5770" w:rsidRPr="00B626E7">
        <w:rPr>
          <w:rFonts w:ascii="Times New Roman" w:hAnsi="Times New Roman" w:cs="Times New Roman"/>
          <w:i/>
          <w:iCs/>
        </w:rPr>
        <w:t>PROCESSUAL CIVIL - AÇÃO DE COBRANÇA -SEGURO DE VIDA EM GRUPO - PERITO - ANTIGO VÍNCULO EMPREGATÍCIO - SUSPEIÇÃO NÃO VERIFICADA - AUSÊNCIA DE IMPUGNAÇÃO NO TEMPO DEVIDO - CPC, ART. 148, § 1º - PRECLUSÃO. O simples fato de o perito ter exercido, no passado, o cargo de médico do trabalho na empresa estipulante do seguro não é suficiente para configurar as hipóteses de suspeição previstas no art. 145 do Código de Processo Civil. Demais disso, o momento oportuno para arguir a suspeição é na primeira oportunidade em que couber à parte falar nos autos. Caso, nesse momento, a interessada permaneça silente, deixando de apresentar as provas necessárias para amparar a tese de suspeição, opera-se a preclusão, tornando incabível a discussão em sede recursal acerca do eventual interesse do expert no julgamento da causa</w:t>
      </w:r>
      <w:r w:rsidR="00FD5770" w:rsidRPr="00FD5770">
        <w:rPr>
          <w:rFonts w:ascii="Times New Roman" w:hAnsi="Times New Roman" w:cs="Times New Roman"/>
        </w:rPr>
        <w:t>.</w:t>
      </w:r>
      <w:r>
        <w:rPr>
          <w:rFonts w:ascii="Times New Roman" w:hAnsi="Times New Roman" w:cs="Times New Roman"/>
        </w:rPr>
        <w:t xml:space="preserve">” </w:t>
      </w:r>
      <w:proofErr w:type="gramStart"/>
      <w:r w:rsidR="00FD5770" w:rsidRPr="00FD5770">
        <w:rPr>
          <w:rFonts w:ascii="Times New Roman" w:hAnsi="Times New Roman" w:cs="Times New Roman"/>
        </w:rPr>
        <w:t>[</w:t>
      </w:r>
      <w:proofErr w:type="gramEnd"/>
      <w:r w:rsidR="00FD5770" w:rsidRPr="00FD5770">
        <w:rPr>
          <w:rFonts w:ascii="Times New Roman" w:hAnsi="Times New Roman" w:cs="Times New Roman"/>
        </w:rPr>
        <w:t>TJSC, Apelação 50361477920208240038, Rel. Des. Luiz Cézar Medeiros, Data de Julgamento: 08/10/2024, Quinta Câmara de Direito Civil, Data de Publicação: 09/10/2024]</w:t>
      </w:r>
    </w:p>
    <w:p w14:paraId="649D3A6E" w14:textId="2552A6A3" w:rsidR="00FD5770" w:rsidRPr="00FD5770" w:rsidRDefault="00B626E7" w:rsidP="00FD5770">
      <w:pPr>
        <w:ind w:right="-568"/>
        <w:jc w:val="both"/>
        <w:rPr>
          <w:rFonts w:ascii="Times New Roman" w:hAnsi="Times New Roman" w:cs="Times New Roman"/>
        </w:rPr>
      </w:pPr>
      <w:r>
        <w:rPr>
          <w:rFonts w:ascii="Times New Roman" w:hAnsi="Times New Roman" w:cs="Times New Roman"/>
        </w:rPr>
        <w:t>“</w:t>
      </w:r>
      <w:r w:rsidR="00FD5770" w:rsidRPr="00B626E7">
        <w:rPr>
          <w:rFonts w:ascii="Times New Roman" w:hAnsi="Times New Roman" w:cs="Times New Roman"/>
          <w:i/>
          <w:iCs/>
        </w:rPr>
        <w:t>AGRAVO DE INSTRUMENTO. AÇÃO DE SERVIDÃO ADMINISTRATIVA. DECISÃO QUE INDEFERIU O PEDIDO DE RECONHECIMENTO DE SUSPEIÇÃO DO PERITO JUDICIAL. ALEGAÇÃO DE PARCIALIDADE DECORRENTE DE ATUAÇÃO CONCOMITANTE COMO ASSISTENTE TÉCNICO EM OUTROS FEITOS ENVOLVENDO O MESMO EMPREENDIMENTO. PRECLUSÃO CONSTATADA. PARTE INTIMADA DA NOMEAÇÃO DO PERITO EM 2021, SEM MANIFESTAÇÃO OPORTUNA. INCIDENTE DE SUSPEIÇÃO SUSCITADO SOMENTE APÓS A ENTREGA DO LAUDO. CONFIGURAÇÃO DE NULIDADE RELATIVA QUE DEVERIA TER SIDO ARGUIDA NA PRIMEIRA OPORTUNIDADE, NOS TERMOS DO ART. 465, § 1º, I, DO CPC. IMPOSSIBILIDADE DE RECONHECIMENTO "EX OFFICIO". PRECEDENTES. DECISÃO AGRAVADA MANTIDA. RECURSO CONHECIDO E DESPROVIDO</w:t>
      </w:r>
      <w:r w:rsidR="00FD5770" w:rsidRPr="00FD5770">
        <w:rPr>
          <w:rFonts w:ascii="Times New Roman" w:hAnsi="Times New Roman" w:cs="Times New Roman"/>
        </w:rPr>
        <w:t>.</w:t>
      </w:r>
      <w:r>
        <w:rPr>
          <w:rFonts w:ascii="Times New Roman" w:hAnsi="Times New Roman" w:cs="Times New Roman"/>
        </w:rPr>
        <w:t xml:space="preserve">” </w:t>
      </w:r>
      <w:proofErr w:type="gramStart"/>
      <w:r w:rsidR="00FD5770" w:rsidRPr="00FD5770">
        <w:rPr>
          <w:rFonts w:ascii="Times New Roman" w:hAnsi="Times New Roman" w:cs="Times New Roman"/>
        </w:rPr>
        <w:t>[</w:t>
      </w:r>
      <w:proofErr w:type="gramEnd"/>
      <w:r w:rsidR="00FD5770" w:rsidRPr="00FD5770">
        <w:rPr>
          <w:rFonts w:ascii="Times New Roman" w:hAnsi="Times New Roman" w:cs="Times New Roman"/>
        </w:rPr>
        <w:t>TJSC, Agravo de Instrumento n. 5033109-03.2025.8.24.0000, Rel. Jaime Ramos, Terceira Câmara de Direito Público, j. 08-07-2025].</w:t>
      </w:r>
    </w:p>
    <w:p w14:paraId="2C67AA99"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Requer-se, subsidiariamente, o não conhecimento do recurso quanto ao pedido de substituição da perita (pedido “a”).</w:t>
      </w:r>
    </w:p>
    <w:p w14:paraId="00875D30" w14:textId="77777777" w:rsidR="00FD5770" w:rsidRPr="00B626E7" w:rsidRDefault="00FD5770" w:rsidP="00FD5770">
      <w:pPr>
        <w:ind w:right="-568"/>
        <w:jc w:val="both"/>
        <w:rPr>
          <w:rFonts w:ascii="Times New Roman" w:hAnsi="Times New Roman" w:cs="Times New Roman"/>
          <w:b/>
          <w:bCs/>
        </w:rPr>
      </w:pPr>
      <w:r w:rsidRPr="00B626E7">
        <w:rPr>
          <w:rFonts w:ascii="Times New Roman" w:hAnsi="Times New Roman" w:cs="Times New Roman"/>
          <w:b/>
          <w:bCs/>
        </w:rPr>
        <w:t>VI - PRELIMINAR SUBSIDIÁRIA: AUSÊNCIA DE INTERESSE RECURSAL QUANTO À APRESENTAÇÃO DE QUESITOS</w:t>
      </w:r>
    </w:p>
    <w:p w14:paraId="240FE637" w14:textId="6ECF76C8"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O pedido “c” do recurso --- que se “</w:t>
      </w:r>
      <w:r w:rsidRPr="00B626E7">
        <w:rPr>
          <w:rFonts w:ascii="Times New Roman" w:hAnsi="Times New Roman" w:cs="Times New Roman"/>
          <w:i/>
          <w:iCs/>
        </w:rPr>
        <w:t>oportunize às partes o depósito de quesitos específicos</w:t>
      </w:r>
      <w:r w:rsidRPr="00FD5770">
        <w:rPr>
          <w:rFonts w:ascii="Times New Roman" w:hAnsi="Times New Roman" w:cs="Times New Roman"/>
        </w:rPr>
        <w:t>” --- já foi atendido pela própria decisão agravada, que determinou a intimação das partes para, em 15 dias, “</w:t>
      </w:r>
      <w:r w:rsidRPr="00B626E7">
        <w:rPr>
          <w:rFonts w:ascii="Times New Roman" w:hAnsi="Times New Roman" w:cs="Times New Roman"/>
          <w:i/>
          <w:iCs/>
        </w:rPr>
        <w:t>indicarem assistente técnico e apresentarem quesitos (art. 465, § 1º, do CPC)</w:t>
      </w:r>
      <w:r w:rsidRPr="00FD5770">
        <w:rPr>
          <w:rFonts w:ascii="Times New Roman" w:hAnsi="Times New Roman" w:cs="Times New Roman"/>
        </w:rPr>
        <w:t>”.</w:t>
      </w:r>
    </w:p>
    <w:p w14:paraId="10FF90EB" w14:textId="280CC002"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lastRenderedPageBreak/>
        <w:t>E ressalvou ainda que a perita deverá responder aos quesitos do juízo “</w:t>
      </w:r>
      <w:r w:rsidRPr="00B626E7">
        <w:rPr>
          <w:rFonts w:ascii="Times New Roman" w:hAnsi="Times New Roman" w:cs="Times New Roman"/>
          <w:i/>
          <w:iCs/>
        </w:rPr>
        <w:t>sem prejuízo daqueles que vierem a ser apresentados pelas partes</w:t>
      </w:r>
      <w:r w:rsidRPr="00FD5770">
        <w:rPr>
          <w:rFonts w:ascii="Times New Roman" w:hAnsi="Times New Roman" w:cs="Times New Roman"/>
        </w:rPr>
        <w:t>”.</w:t>
      </w:r>
    </w:p>
    <w:p w14:paraId="37673F0B" w14:textId="7C3E93D5"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O mesmo se diga, em larga medida, do pedido “b”, na parte em que pretende “</w:t>
      </w:r>
      <w:r w:rsidRPr="00B626E7">
        <w:rPr>
          <w:rFonts w:ascii="Times New Roman" w:hAnsi="Times New Roman" w:cs="Times New Roman"/>
          <w:i/>
          <w:iCs/>
        </w:rPr>
        <w:t>balizar o objeto pericial</w:t>
      </w:r>
      <w:r w:rsidRPr="00FD5770">
        <w:rPr>
          <w:rFonts w:ascii="Times New Roman" w:hAnsi="Times New Roman" w:cs="Times New Roman"/>
        </w:rPr>
        <w:t xml:space="preserve">” pelas glosas e receitas indicadas no evento </w:t>
      </w:r>
      <w:r w:rsidR="00B626E7">
        <w:rPr>
          <w:rFonts w:ascii="Times New Roman" w:hAnsi="Times New Roman" w:cs="Times New Roman"/>
        </w:rPr>
        <w:t>..</w:t>
      </w:r>
      <w:r w:rsidRPr="00FD5770">
        <w:rPr>
          <w:rFonts w:ascii="Times New Roman" w:hAnsi="Times New Roman" w:cs="Times New Roman"/>
        </w:rPr>
        <w:t>. Nada impede que o agravante formule quesitos sobre cada um dos lançamentos que reputa irregulares. A pertinência desses quesitos será aferida pelo juízo de origem (art. 470, I, do CPC) no momento próprio. Pretender que o Tribunal fixe, de antemão, o objeto da perícia é, novamente, suprimir a instância.</w:t>
      </w:r>
    </w:p>
    <w:p w14:paraId="0EEA6144"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Não há sucumbência e, portanto, não há interesse recursal (art. 996 do CPC). Requer-se o não conhecimento do recurso quanto ao pedido “c” e, no ponto indicado, quanto ao pedido “b”.</w:t>
      </w:r>
    </w:p>
    <w:p w14:paraId="66016EBC" w14:textId="77777777" w:rsidR="00FD5770" w:rsidRPr="00B626E7" w:rsidRDefault="00FD5770" w:rsidP="00FD5770">
      <w:pPr>
        <w:ind w:right="-568"/>
        <w:jc w:val="both"/>
        <w:rPr>
          <w:rFonts w:ascii="Times New Roman" w:hAnsi="Times New Roman" w:cs="Times New Roman"/>
          <w:b/>
          <w:bCs/>
        </w:rPr>
      </w:pPr>
      <w:r w:rsidRPr="00B626E7">
        <w:rPr>
          <w:rFonts w:ascii="Times New Roman" w:hAnsi="Times New Roman" w:cs="Times New Roman"/>
          <w:b/>
          <w:bCs/>
        </w:rPr>
        <w:t>VII - MÉRITO: ACERTO DA DECISÃO AGRAVADA</w:t>
      </w:r>
    </w:p>
    <w:p w14:paraId="60020008" w14:textId="77777777" w:rsidR="00FD5770" w:rsidRPr="00B626E7" w:rsidRDefault="00FD5770" w:rsidP="00FD5770">
      <w:pPr>
        <w:ind w:right="-568"/>
        <w:jc w:val="both"/>
        <w:rPr>
          <w:rFonts w:ascii="Times New Roman" w:hAnsi="Times New Roman" w:cs="Times New Roman"/>
          <w:b/>
          <w:bCs/>
        </w:rPr>
      </w:pPr>
      <w:r w:rsidRPr="00B626E7">
        <w:rPr>
          <w:rFonts w:ascii="Times New Roman" w:hAnsi="Times New Roman" w:cs="Times New Roman"/>
          <w:b/>
          <w:bCs/>
        </w:rPr>
        <w:t>VII.1 - O juiz como destinatário da prova e a escolha do perito</w:t>
      </w:r>
    </w:p>
    <w:p w14:paraId="638BCAD3" w14:textId="07BA453F"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Compete ao juiz, de ofício ou a requerimento das partes, determinar as provas necessárias ao julgamento do mérito (art. 370 do CPC) e apreciá-las motivadamente (art. 371). O perito é auxiliar do juízo (art. 149), nomeado entre profissionais de sua confiança (</w:t>
      </w:r>
      <w:proofErr w:type="spellStart"/>
      <w:r w:rsidRPr="00FD5770">
        <w:rPr>
          <w:rFonts w:ascii="Times New Roman" w:hAnsi="Times New Roman" w:cs="Times New Roman"/>
        </w:rPr>
        <w:t>arts</w:t>
      </w:r>
      <w:proofErr w:type="spellEnd"/>
      <w:r w:rsidRPr="00FD5770">
        <w:rPr>
          <w:rFonts w:ascii="Times New Roman" w:hAnsi="Times New Roman" w:cs="Times New Roman"/>
        </w:rPr>
        <w:t>. 156 e 465), e não da conveniência das partes.</w:t>
      </w:r>
    </w:p>
    <w:p w14:paraId="04F0FB77" w14:textId="63423DDD"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Como bem registrou o eminente Relator, compete ao magistrado “</w:t>
      </w:r>
      <w:r w:rsidRPr="00B626E7">
        <w:rPr>
          <w:rFonts w:ascii="Times New Roman" w:hAnsi="Times New Roman" w:cs="Times New Roman"/>
          <w:i/>
          <w:iCs/>
        </w:rPr>
        <w:t>conduzir a instrução processual e inclusive nomear profissional habilitado de sua confiança, não se subordinando à conveniência ou à concordância das partes, sendo a substituição do profissional admitida apenas nas hipóteses previstas no art. 468 do referido diploma legal</w:t>
      </w:r>
      <w:r w:rsidRPr="00FD5770">
        <w:rPr>
          <w:rFonts w:ascii="Times New Roman" w:hAnsi="Times New Roman" w:cs="Times New Roman"/>
        </w:rPr>
        <w:t xml:space="preserve">” (evento </w:t>
      </w:r>
      <w:r w:rsidR="00B626E7">
        <w:rPr>
          <w:rFonts w:ascii="Times New Roman" w:hAnsi="Times New Roman" w:cs="Times New Roman"/>
        </w:rPr>
        <w:t>...</w:t>
      </w:r>
      <w:r w:rsidRPr="00FD5770">
        <w:rPr>
          <w:rFonts w:ascii="Times New Roman" w:hAnsi="Times New Roman" w:cs="Times New Roman"/>
        </w:rPr>
        <w:t xml:space="preserve">). No mesmo sentido, esse </w:t>
      </w:r>
      <w:proofErr w:type="spellStart"/>
      <w:r w:rsidRPr="00FD5770">
        <w:rPr>
          <w:rFonts w:ascii="Times New Roman" w:hAnsi="Times New Roman" w:cs="Times New Roman"/>
        </w:rPr>
        <w:t>eg</w:t>
      </w:r>
      <w:proofErr w:type="spellEnd"/>
      <w:r w:rsidRPr="00FD5770">
        <w:rPr>
          <w:rFonts w:ascii="Times New Roman" w:hAnsi="Times New Roman" w:cs="Times New Roman"/>
        </w:rPr>
        <w:t>. Tribunal já assentou que a substituição do perito é “</w:t>
      </w:r>
      <w:r w:rsidRPr="00B626E7">
        <w:rPr>
          <w:rFonts w:ascii="Times New Roman" w:hAnsi="Times New Roman" w:cs="Times New Roman"/>
          <w:i/>
          <w:iCs/>
        </w:rPr>
        <w:t>medida excepcional condicionada à demonstração objetiva de fato comprometedor da imparcialidade ou de descumprimento injustificado do encargo</w:t>
      </w:r>
      <w:r w:rsidRPr="00FD5770">
        <w:rPr>
          <w:rFonts w:ascii="Times New Roman" w:hAnsi="Times New Roman" w:cs="Times New Roman"/>
        </w:rPr>
        <w:t>” (TJSC, AI 5105267-56.2025.8.24.0000, 2ª Câmara de Direito Comercial, Rel. Des. Francisco José Rodrigues de Oliveira Neto, j. 02.06.2026).</w:t>
      </w:r>
    </w:p>
    <w:p w14:paraId="4297C947" w14:textId="77777777" w:rsidR="00FD5770" w:rsidRPr="00B626E7" w:rsidRDefault="00FD5770" w:rsidP="00FD5770">
      <w:pPr>
        <w:ind w:right="-568"/>
        <w:jc w:val="both"/>
        <w:rPr>
          <w:rFonts w:ascii="Times New Roman" w:hAnsi="Times New Roman" w:cs="Times New Roman"/>
          <w:b/>
          <w:bCs/>
        </w:rPr>
      </w:pPr>
      <w:r w:rsidRPr="00B626E7">
        <w:rPr>
          <w:rFonts w:ascii="Times New Roman" w:hAnsi="Times New Roman" w:cs="Times New Roman"/>
          <w:b/>
          <w:bCs/>
        </w:rPr>
        <w:t>VII.2 - Ausência das hipóteses taxativas do art. 468 do CPC</w:t>
      </w:r>
    </w:p>
    <w:p w14:paraId="54118BEC"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O art. 468 do CPC admite a substituição do perito em duas hipóteses apenas: (i) quando lhe faltar conhecimento técnico ou científico; ou (</w:t>
      </w:r>
      <w:proofErr w:type="spellStart"/>
      <w:r w:rsidRPr="00FD5770">
        <w:rPr>
          <w:rFonts w:ascii="Times New Roman" w:hAnsi="Times New Roman" w:cs="Times New Roman"/>
        </w:rPr>
        <w:t>ii</w:t>
      </w:r>
      <w:proofErr w:type="spellEnd"/>
      <w:r w:rsidRPr="00FD5770">
        <w:rPr>
          <w:rFonts w:ascii="Times New Roman" w:hAnsi="Times New Roman" w:cs="Times New Roman"/>
        </w:rPr>
        <w:t>) quando, sem motivo legítimo, deixar de cumprir o encargo no prazo assinado. Nenhuma delas foi demonstrada.</w:t>
      </w:r>
    </w:p>
    <w:p w14:paraId="051031E9" w14:textId="168E4C85"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Não há falta de conhecimento técnico. A perita é contadora regularmente inscrita no CRC/</w:t>
      </w:r>
      <w:r w:rsidR="00B626E7">
        <w:rPr>
          <w:rFonts w:ascii="Times New Roman" w:hAnsi="Times New Roman" w:cs="Times New Roman"/>
        </w:rPr>
        <w:t>...</w:t>
      </w:r>
      <w:r w:rsidRPr="00FD5770">
        <w:rPr>
          <w:rFonts w:ascii="Times New Roman" w:hAnsi="Times New Roman" w:cs="Times New Roman"/>
        </w:rPr>
        <w:t xml:space="preserve"> (n. </w:t>
      </w:r>
      <w:r w:rsidR="00B626E7">
        <w:rPr>
          <w:rFonts w:ascii="Times New Roman" w:hAnsi="Times New Roman" w:cs="Times New Roman"/>
        </w:rPr>
        <w:t>...</w:t>
      </w:r>
      <w:r w:rsidRPr="00FD5770">
        <w:rPr>
          <w:rFonts w:ascii="Times New Roman" w:hAnsi="Times New Roman" w:cs="Times New Roman"/>
        </w:rPr>
        <w:t>), atuou nestes autos por anos, entregou laudo e laudo complementar e conhece profundamente a escrituração da sociedade nos exercícios controvertidos. O objeto da nova perícia – confrontar o crédito satisfeito na ação de cobrança com os lucros apurados nestes autos, identificar critérios e apurar eventual saldo – é matéria contábil por excelência.</w:t>
      </w:r>
    </w:p>
    <w:p w14:paraId="0B254562" w14:textId="439F63A6"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As respostas “</w:t>
      </w:r>
      <w:r w:rsidRPr="00B626E7">
        <w:rPr>
          <w:rFonts w:ascii="Times New Roman" w:hAnsi="Times New Roman" w:cs="Times New Roman"/>
          <w:i/>
          <w:iCs/>
        </w:rPr>
        <w:t>prejudicadas</w:t>
      </w:r>
      <w:r w:rsidRPr="00FD5770">
        <w:rPr>
          <w:rFonts w:ascii="Times New Roman" w:hAnsi="Times New Roman" w:cs="Times New Roman"/>
        </w:rPr>
        <w:t xml:space="preserve">” decorreram da base documental, e não da perita. O agravante constrói toda a sua tese sobre o fato de a perita ter declarado prejudicados alguns quesitos. Omite, porém, a razão: os documentos não estavam disponíveis. Foi o que reconheceu a própria decisão de fl. </w:t>
      </w:r>
      <w:r w:rsidR="00B626E7">
        <w:rPr>
          <w:rFonts w:ascii="Times New Roman" w:hAnsi="Times New Roman" w:cs="Times New Roman"/>
        </w:rPr>
        <w:t>...</w:t>
      </w:r>
      <w:r w:rsidRPr="00FD5770">
        <w:rPr>
          <w:rFonts w:ascii="Times New Roman" w:hAnsi="Times New Roman" w:cs="Times New Roman"/>
        </w:rPr>
        <w:t>, transcrita pelo agravante, segundo a qual a perita deixou de responder “</w:t>
      </w:r>
      <w:r w:rsidRPr="00B626E7">
        <w:rPr>
          <w:rFonts w:ascii="Times New Roman" w:hAnsi="Times New Roman" w:cs="Times New Roman"/>
          <w:i/>
          <w:iCs/>
        </w:rPr>
        <w:t>uma vez que declarou inexistir o documento contábil respectivo para análise</w:t>
      </w:r>
      <w:r w:rsidRPr="00FD5770">
        <w:rPr>
          <w:rFonts w:ascii="Times New Roman" w:hAnsi="Times New Roman" w:cs="Times New Roman"/>
        </w:rPr>
        <w:t xml:space="preserve">”. A limitação, portanto, </w:t>
      </w:r>
      <w:r w:rsidRPr="00FD5770">
        <w:rPr>
          <w:rFonts w:ascii="Times New Roman" w:hAnsi="Times New Roman" w:cs="Times New Roman"/>
        </w:rPr>
        <w:lastRenderedPageBreak/>
        <w:t>era objetiva e documental. Trocar o perito não faz surgir documentos inexistentes. Qualquer outro profissional encontraria exatamente o mesmo acervo.</w:t>
      </w:r>
    </w:p>
    <w:p w14:paraId="2FE37D38" w14:textId="10693D3D"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Os quesitos tidos por “</w:t>
      </w:r>
      <w:r w:rsidRPr="00B626E7">
        <w:rPr>
          <w:rFonts w:ascii="Times New Roman" w:hAnsi="Times New Roman" w:cs="Times New Roman"/>
          <w:i/>
          <w:iCs/>
        </w:rPr>
        <w:t>impertinentes</w:t>
      </w:r>
      <w:r w:rsidRPr="00FD5770">
        <w:rPr>
          <w:rFonts w:ascii="Times New Roman" w:hAnsi="Times New Roman" w:cs="Times New Roman"/>
        </w:rPr>
        <w:t>” eram, de fato, estranhos à perícia contábil. O agravante pretendia que a perita colhesse de terceiro – antigo gerente do posto – estimativas sobre “</w:t>
      </w:r>
      <w:r w:rsidRPr="00B626E7">
        <w:rPr>
          <w:rFonts w:ascii="Times New Roman" w:hAnsi="Times New Roman" w:cs="Times New Roman"/>
          <w:i/>
          <w:iCs/>
        </w:rPr>
        <w:t xml:space="preserve">o lucro mensal que o Posto </w:t>
      </w:r>
      <w:r w:rsidR="00B626E7" w:rsidRPr="00B626E7">
        <w:rPr>
          <w:rFonts w:ascii="Times New Roman" w:hAnsi="Times New Roman" w:cs="Times New Roman"/>
          <w:i/>
          <w:iCs/>
        </w:rPr>
        <w:t>...</w:t>
      </w:r>
      <w:r w:rsidRPr="00B626E7">
        <w:rPr>
          <w:rFonts w:ascii="Times New Roman" w:hAnsi="Times New Roman" w:cs="Times New Roman"/>
          <w:i/>
          <w:iCs/>
        </w:rPr>
        <w:t xml:space="preserve"> pode ou pelo menos deveria propiciar</w:t>
      </w:r>
      <w:r w:rsidRPr="00FD5770">
        <w:rPr>
          <w:rFonts w:ascii="Times New Roman" w:hAnsi="Times New Roman" w:cs="Times New Roman"/>
        </w:rPr>
        <w:t>”, “</w:t>
      </w:r>
      <w:r w:rsidRPr="00B626E7">
        <w:rPr>
          <w:rFonts w:ascii="Times New Roman" w:hAnsi="Times New Roman" w:cs="Times New Roman"/>
          <w:i/>
          <w:iCs/>
        </w:rPr>
        <w:t>pela experiência própria</w:t>
      </w:r>
      <w:r w:rsidRPr="00FD5770">
        <w:rPr>
          <w:rFonts w:ascii="Times New Roman" w:hAnsi="Times New Roman" w:cs="Times New Roman"/>
        </w:rPr>
        <w:t>” e pelo “</w:t>
      </w:r>
      <w:r w:rsidRPr="00B626E7">
        <w:rPr>
          <w:rFonts w:ascii="Times New Roman" w:hAnsi="Times New Roman" w:cs="Times New Roman"/>
          <w:i/>
          <w:iCs/>
        </w:rPr>
        <w:t>pleno conhecimento do mercado</w:t>
      </w:r>
      <w:r w:rsidRPr="00FD5770">
        <w:rPr>
          <w:rFonts w:ascii="Times New Roman" w:hAnsi="Times New Roman" w:cs="Times New Roman"/>
        </w:rPr>
        <w:t xml:space="preserve">”. A perita recusou-se, corretamente, a transformar opinião de terceiro em prova técnica, invocando o dever de imparcialidade previsto nas normas profissionais (NBC PP 01). O quesito </w:t>
      </w:r>
      <w:r w:rsidR="00B626E7">
        <w:rPr>
          <w:rFonts w:ascii="Times New Roman" w:hAnsi="Times New Roman" w:cs="Times New Roman"/>
        </w:rPr>
        <w:t>...</w:t>
      </w:r>
      <w:r w:rsidRPr="00FD5770">
        <w:rPr>
          <w:rFonts w:ascii="Times New Roman" w:hAnsi="Times New Roman" w:cs="Times New Roman"/>
        </w:rPr>
        <w:t>, por sua vez, indagava sobre a prestação de serviços por pessoa física e a obtenção de benefício previdenciário – fatos que não dependem de conhecimento técnico contábil e se provam por outros meios (art. 464, § 1º, I, do CPC). Recusar quesitos que extrapolam a técnica não revela inaptidão: revela rigor e imparcialidade.</w:t>
      </w:r>
    </w:p>
    <w:p w14:paraId="3680FE1B"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Não houve descumprimento do encargo. O laudo e sua complementação foram entregues, e o agravante não aponta atraso injustificado.</w:t>
      </w:r>
    </w:p>
    <w:p w14:paraId="0DA1310C" w14:textId="789C732B"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O que o agravante chama de “</w:t>
      </w:r>
      <w:r w:rsidRPr="00B626E7">
        <w:rPr>
          <w:rFonts w:ascii="Times New Roman" w:hAnsi="Times New Roman" w:cs="Times New Roman"/>
          <w:i/>
          <w:iCs/>
        </w:rPr>
        <w:t>inaptidão</w:t>
      </w:r>
      <w:r w:rsidRPr="00FD5770">
        <w:rPr>
          <w:rFonts w:ascii="Times New Roman" w:hAnsi="Times New Roman" w:cs="Times New Roman"/>
        </w:rPr>
        <w:t>” é, em verdade, discordância quanto às conclusões e à metodologia do trabalho anterior. Como assentou o eminente Relator, “</w:t>
      </w:r>
      <w:r w:rsidRPr="00B626E7">
        <w:rPr>
          <w:rFonts w:ascii="Times New Roman" w:hAnsi="Times New Roman" w:cs="Times New Roman"/>
          <w:i/>
          <w:iCs/>
        </w:rPr>
        <w:t>a mera discordância quanto à metodologia empregada no laudo anterior ou à suficiência das respostas apresentadas não autoriza, por si só, a substituição da perita</w:t>
      </w:r>
      <w:r w:rsidRPr="00FD5770">
        <w:rPr>
          <w:rFonts w:ascii="Times New Roman" w:hAnsi="Times New Roman" w:cs="Times New Roman"/>
        </w:rPr>
        <w:t xml:space="preserve">” (evento </w:t>
      </w:r>
      <w:r w:rsidR="00B626E7">
        <w:rPr>
          <w:rFonts w:ascii="Times New Roman" w:hAnsi="Times New Roman" w:cs="Times New Roman"/>
        </w:rPr>
        <w:t>...</w:t>
      </w:r>
      <w:r w:rsidRPr="00FD5770">
        <w:rPr>
          <w:rFonts w:ascii="Times New Roman" w:hAnsi="Times New Roman" w:cs="Times New Roman"/>
        </w:rPr>
        <w:t>). A divergência técnica tem sede própria: o parecer do assistente técnico, os pedidos de esclarecimento e a livre valoração da prova pelo juiz (</w:t>
      </w:r>
      <w:proofErr w:type="spellStart"/>
      <w:r w:rsidRPr="00FD5770">
        <w:rPr>
          <w:rFonts w:ascii="Times New Roman" w:hAnsi="Times New Roman" w:cs="Times New Roman"/>
        </w:rPr>
        <w:t>arts</w:t>
      </w:r>
      <w:proofErr w:type="spellEnd"/>
      <w:r w:rsidRPr="00FD5770">
        <w:rPr>
          <w:rFonts w:ascii="Times New Roman" w:hAnsi="Times New Roman" w:cs="Times New Roman"/>
        </w:rPr>
        <w:t>. 477 e 479 do CPC).</w:t>
      </w:r>
    </w:p>
    <w:p w14:paraId="7BE347A9" w14:textId="0A4682E8"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Por fim, a escolha de profissional que “</w:t>
      </w:r>
      <w:r w:rsidRPr="00B626E7">
        <w:rPr>
          <w:rFonts w:ascii="Times New Roman" w:hAnsi="Times New Roman" w:cs="Times New Roman"/>
          <w:i/>
          <w:iCs/>
        </w:rPr>
        <w:t>já atuou nos autos e detém conhecimento da causa</w:t>
      </w:r>
      <w:r w:rsidRPr="00FD5770">
        <w:rPr>
          <w:rFonts w:ascii="Times New Roman" w:hAnsi="Times New Roman" w:cs="Times New Roman"/>
        </w:rPr>
        <w:t>” atende à duração razoável do processo e à eficiência (</w:t>
      </w:r>
      <w:proofErr w:type="spellStart"/>
      <w:r w:rsidRPr="00FD5770">
        <w:rPr>
          <w:rFonts w:ascii="Times New Roman" w:hAnsi="Times New Roman" w:cs="Times New Roman"/>
        </w:rPr>
        <w:t>arts</w:t>
      </w:r>
      <w:proofErr w:type="spellEnd"/>
      <w:r w:rsidRPr="00FD5770">
        <w:rPr>
          <w:rFonts w:ascii="Times New Roman" w:hAnsi="Times New Roman" w:cs="Times New Roman"/>
        </w:rPr>
        <w:t xml:space="preserve">. 4º, 8º e 139, II, do CPC). Em processo que tramita desde </w:t>
      </w:r>
      <w:r w:rsidR="00B626E7">
        <w:rPr>
          <w:rFonts w:ascii="Times New Roman" w:hAnsi="Times New Roman" w:cs="Times New Roman"/>
        </w:rPr>
        <w:t>...</w:t>
      </w:r>
      <w:r w:rsidRPr="00FD5770">
        <w:rPr>
          <w:rFonts w:ascii="Times New Roman" w:hAnsi="Times New Roman" w:cs="Times New Roman"/>
        </w:rPr>
        <w:t>, nomear perito sem nenhum conhecimento do acervo importaria retrabalho, maior custo e nova demora, justamente o que o agravante diz querer evitar.</w:t>
      </w:r>
    </w:p>
    <w:p w14:paraId="33B55484" w14:textId="77777777" w:rsidR="00FD5770" w:rsidRPr="00B626E7" w:rsidRDefault="00FD5770" w:rsidP="00FD5770">
      <w:pPr>
        <w:ind w:right="-568"/>
        <w:jc w:val="both"/>
        <w:rPr>
          <w:rFonts w:ascii="Times New Roman" w:hAnsi="Times New Roman" w:cs="Times New Roman"/>
          <w:b/>
          <w:bCs/>
        </w:rPr>
      </w:pPr>
      <w:r w:rsidRPr="00B626E7">
        <w:rPr>
          <w:rFonts w:ascii="Times New Roman" w:hAnsi="Times New Roman" w:cs="Times New Roman"/>
          <w:b/>
          <w:bCs/>
        </w:rPr>
        <w:t>VII.3 - A nova perícia tem objeto próprio e definido</w:t>
      </w:r>
    </w:p>
    <w:p w14:paraId="0A6786C9" w14:textId="4E18AED6"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O agravante qualifica a perícia determinada como “</w:t>
      </w:r>
      <w:r w:rsidRPr="00B626E7">
        <w:rPr>
          <w:rFonts w:ascii="Times New Roman" w:hAnsi="Times New Roman" w:cs="Times New Roman"/>
          <w:i/>
          <w:iCs/>
        </w:rPr>
        <w:t>genérica e cega</w:t>
      </w:r>
      <w:r w:rsidRPr="00FD5770">
        <w:rPr>
          <w:rFonts w:ascii="Times New Roman" w:hAnsi="Times New Roman" w:cs="Times New Roman"/>
        </w:rPr>
        <w:t>”. A leitura da decisão desmente a afirmação. A d. Magistrada explicitou que a perícia anterior, concluída há mais de uma década, não comportava mera complementação, “</w:t>
      </w:r>
      <w:r w:rsidRPr="00B626E7">
        <w:rPr>
          <w:rFonts w:ascii="Times New Roman" w:hAnsi="Times New Roman" w:cs="Times New Roman"/>
          <w:i/>
          <w:iCs/>
        </w:rPr>
        <w:t>seja em razão do lapso temporal transcorrido, seja porque o novo enfoque probatório, voltado especificamente à identidade entre o crédito satisfeito na ação de cobrança e o objeto destes autos, reclama análise técnica autônoma</w:t>
      </w:r>
      <w:r w:rsidRPr="00FD5770">
        <w:rPr>
          <w:rFonts w:ascii="Times New Roman" w:hAnsi="Times New Roman" w:cs="Times New Roman"/>
        </w:rPr>
        <w:t xml:space="preserve">”. </w:t>
      </w:r>
    </w:p>
    <w:p w14:paraId="40AA7601" w14:textId="727E2C82"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E formulou cinco quesitos objetivos: o valor dos lucros devidos ao autor nos exercícios de </w:t>
      </w:r>
      <w:r w:rsidR="00B626E7">
        <w:rPr>
          <w:rFonts w:ascii="Times New Roman" w:hAnsi="Times New Roman" w:cs="Times New Roman"/>
        </w:rPr>
        <w:t xml:space="preserve">... </w:t>
      </w:r>
      <w:r w:rsidRPr="00FD5770">
        <w:rPr>
          <w:rFonts w:ascii="Times New Roman" w:hAnsi="Times New Roman" w:cs="Times New Roman"/>
        </w:rPr>
        <w:t xml:space="preserve">a </w:t>
      </w:r>
      <w:r w:rsidR="00B626E7">
        <w:rPr>
          <w:rFonts w:ascii="Times New Roman" w:hAnsi="Times New Roman" w:cs="Times New Roman"/>
        </w:rPr>
        <w:t>...</w:t>
      </w:r>
      <w:r w:rsidRPr="00FD5770">
        <w:rPr>
          <w:rFonts w:ascii="Times New Roman" w:hAnsi="Times New Roman" w:cs="Times New Roman"/>
        </w:rPr>
        <w:t>; a identidade de objeto entre o crédito da ação de cobrança e o destes autos; o saldo remanescente após a dedução do valor recebido; os critérios contábeis e documentos utilizados; e o impacto de eventual divergência entre os critérios adotados nas duas ações.</w:t>
      </w:r>
    </w:p>
    <w:p w14:paraId="667DEBEA"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O objeto é, portanto, preciso e distinto do da perícia anterior. Trata-se de nova perícia determinada em razão de fato superveniente relevante (art. 493 do CPC), e não de “</w:t>
      </w:r>
      <w:r w:rsidRPr="00680FF9">
        <w:rPr>
          <w:rFonts w:ascii="Times New Roman" w:hAnsi="Times New Roman" w:cs="Times New Roman"/>
          <w:i/>
          <w:iCs/>
        </w:rPr>
        <w:t>segunda perícia</w:t>
      </w:r>
      <w:r w:rsidRPr="00FD5770">
        <w:rPr>
          <w:rFonts w:ascii="Times New Roman" w:hAnsi="Times New Roman" w:cs="Times New Roman"/>
        </w:rPr>
        <w:t>” destinada a corrigir omissões da primeira (art. 480, § 1º). Ainda que assim não fosse, o art. 480 não exige que a segunda perícia seja confiada a outro profissional, e o § 3º do mesmo dispositivo preserva a valoração conjunta de ambas pelo juiz.</w:t>
      </w:r>
    </w:p>
    <w:p w14:paraId="5CD619B1" w14:textId="5862A030"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lastRenderedPageBreak/>
        <w:t xml:space="preserve">Registre-se, ademais, que a nova perícia foi requerida pelos próprios agravados, em caráter eventual (evento </w:t>
      </w:r>
      <w:r w:rsidR="00680FF9">
        <w:rPr>
          <w:rFonts w:ascii="Times New Roman" w:hAnsi="Times New Roman" w:cs="Times New Roman"/>
        </w:rPr>
        <w:t>...</w:t>
      </w:r>
      <w:r w:rsidRPr="00FD5770">
        <w:rPr>
          <w:rFonts w:ascii="Times New Roman" w:hAnsi="Times New Roman" w:cs="Times New Roman"/>
        </w:rPr>
        <w:t>), e atende a fato extintivo por eles alegado: o pagamento do crédito na ação de cobrança. A decisão, longe de ser “</w:t>
      </w:r>
      <w:r w:rsidRPr="00680FF9">
        <w:rPr>
          <w:rFonts w:ascii="Times New Roman" w:hAnsi="Times New Roman" w:cs="Times New Roman"/>
          <w:i/>
          <w:iCs/>
        </w:rPr>
        <w:t>cega</w:t>
      </w:r>
      <w:r w:rsidRPr="00FD5770">
        <w:rPr>
          <w:rFonts w:ascii="Times New Roman" w:hAnsi="Times New Roman" w:cs="Times New Roman"/>
        </w:rPr>
        <w:t>”, enfrenta exatamente a questão que pode tornar inútil o prosseguimento do feito.</w:t>
      </w:r>
    </w:p>
    <w:p w14:paraId="1CA487B9" w14:textId="6B933A18" w:rsidR="00FD5770" w:rsidRPr="00680FF9" w:rsidRDefault="00FD5770" w:rsidP="00FD5770">
      <w:pPr>
        <w:ind w:right="-568"/>
        <w:jc w:val="both"/>
        <w:rPr>
          <w:rFonts w:ascii="Times New Roman" w:hAnsi="Times New Roman" w:cs="Times New Roman"/>
          <w:b/>
          <w:bCs/>
        </w:rPr>
      </w:pPr>
      <w:r w:rsidRPr="00680FF9">
        <w:rPr>
          <w:rFonts w:ascii="Times New Roman" w:hAnsi="Times New Roman" w:cs="Times New Roman"/>
          <w:b/>
          <w:bCs/>
        </w:rPr>
        <w:t xml:space="preserve">VII.4 - Inexistência de </w:t>
      </w:r>
      <w:proofErr w:type="spellStart"/>
      <w:r w:rsidRPr="00680FF9">
        <w:rPr>
          <w:rFonts w:ascii="Times New Roman" w:hAnsi="Times New Roman" w:cs="Times New Roman"/>
          <w:b/>
          <w:bCs/>
          <w:i/>
          <w:iCs/>
        </w:rPr>
        <w:t>error</w:t>
      </w:r>
      <w:proofErr w:type="spellEnd"/>
      <w:r w:rsidRPr="00680FF9">
        <w:rPr>
          <w:rFonts w:ascii="Times New Roman" w:hAnsi="Times New Roman" w:cs="Times New Roman"/>
          <w:b/>
          <w:bCs/>
          <w:i/>
          <w:iCs/>
        </w:rPr>
        <w:t xml:space="preserve"> in procedendo</w:t>
      </w:r>
      <w:r w:rsidRPr="00680FF9">
        <w:rPr>
          <w:rFonts w:ascii="Times New Roman" w:hAnsi="Times New Roman" w:cs="Times New Roman"/>
          <w:b/>
          <w:bCs/>
        </w:rPr>
        <w:t xml:space="preserve">: o rito fixado à fl. </w:t>
      </w:r>
      <w:r w:rsidR="00680FF9">
        <w:rPr>
          <w:rFonts w:ascii="Times New Roman" w:hAnsi="Times New Roman" w:cs="Times New Roman"/>
          <w:b/>
          <w:bCs/>
        </w:rPr>
        <w:t>...</w:t>
      </w:r>
      <w:r w:rsidRPr="00680FF9">
        <w:rPr>
          <w:rFonts w:ascii="Times New Roman" w:hAnsi="Times New Roman" w:cs="Times New Roman"/>
          <w:b/>
          <w:bCs/>
        </w:rPr>
        <w:t xml:space="preserve"> e reafirmado no evento </w:t>
      </w:r>
      <w:r w:rsidR="00680FF9">
        <w:rPr>
          <w:rFonts w:ascii="Times New Roman" w:hAnsi="Times New Roman" w:cs="Times New Roman"/>
          <w:b/>
          <w:bCs/>
        </w:rPr>
        <w:t>...</w:t>
      </w:r>
    </w:p>
    <w:p w14:paraId="4F8157AA" w14:textId="310BEE06"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O segundo eixo do recurso sustenta que o juízo teria “</w:t>
      </w:r>
      <w:r w:rsidRPr="00680FF9">
        <w:rPr>
          <w:rFonts w:ascii="Times New Roman" w:hAnsi="Times New Roman" w:cs="Times New Roman"/>
          <w:i/>
          <w:iCs/>
        </w:rPr>
        <w:t>saltado</w:t>
      </w:r>
      <w:r w:rsidRPr="00FD5770">
        <w:rPr>
          <w:rFonts w:ascii="Times New Roman" w:hAnsi="Times New Roman" w:cs="Times New Roman"/>
        </w:rPr>
        <w:t xml:space="preserve">” uma etapa obrigatória: as contas apresentadas pelo agravante no evento </w:t>
      </w:r>
      <w:r w:rsidR="00680FF9">
        <w:rPr>
          <w:rFonts w:ascii="Times New Roman" w:hAnsi="Times New Roman" w:cs="Times New Roman"/>
        </w:rPr>
        <w:t>...</w:t>
      </w:r>
      <w:r w:rsidRPr="00FD5770">
        <w:rPr>
          <w:rFonts w:ascii="Times New Roman" w:hAnsi="Times New Roman" w:cs="Times New Roman"/>
        </w:rPr>
        <w:t xml:space="preserve"> deveriam ter sido submetidas ao contraditório dos réus e à fixação de pontos controvertidos antes de qualquer perícia. A tese não resiste ao exame dos próprios autos.</w:t>
      </w:r>
    </w:p>
    <w:p w14:paraId="300CF079" w14:textId="274E995E"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Primeiro: o rito invocado pelo agravante não é o que foi fixado. A decisão de fl. </w:t>
      </w:r>
      <w:r w:rsidR="00680FF9">
        <w:rPr>
          <w:rFonts w:ascii="Times New Roman" w:hAnsi="Times New Roman" w:cs="Times New Roman"/>
        </w:rPr>
        <w:t>...</w:t>
      </w:r>
      <w:r w:rsidRPr="00FD5770">
        <w:rPr>
          <w:rFonts w:ascii="Times New Roman" w:hAnsi="Times New Roman" w:cs="Times New Roman"/>
        </w:rPr>
        <w:t>, que o agravante diz ter sido desrespeitada, dispôs:</w:t>
      </w:r>
    </w:p>
    <w:p w14:paraId="7B721204"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w:t>
      </w:r>
      <w:r w:rsidRPr="00680FF9">
        <w:rPr>
          <w:rFonts w:ascii="Times New Roman" w:hAnsi="Times New Roman" w:cs="Times New Roman"/>
          <w:i/>
          <w:iCs/>
        </w:rPr>
        <w:t>Após complementação da perícia, dê-se vista ao autor para que se manifeste, no prazo de 5 (cinco) dias, sobre as contas apresentadas e a complementação da perícia ou, caso a requerida não apresente as contas ou os documentos faltantes, apresente as suas contas naquilo que entende insuficiente, para análise por este juízo. [...] Após, retornem os autos conclusos para julgamento</w:t>
      </w:r>
      <w:r w:rsidRPr="00FD5770">
        <w:rPr>
          <w:rFonts w:ascii="Times New Roman" w:hAnsi="Times New Roman" w:cs="Times New Roman"/>
        </w:rPr>
        <w:t>.”</w:t>
      </w:r>
    </w:p>
    <w:p w14:paraId="622A2F44" w14:textId="3EA0568E"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O despacho do evento </w:t>
      </w:r>
      <w:r w:rsidR="00680FF9">
        <w:rPr>
          <w:rFonts w:ascii="Times New Roman" w:hAnsi="Times New Roman" w:cs="Times New Roman"/>
        </w:rPr>
        <w:t>...</w:t>
      </w:r>
      <w:r w:rsidRPr="00FD5770">
        <w:rPr>
          <w:rFonts w:ascii="Times New Roman" w:hAnsi="Times New Roman" w:cs="Times New Roman"/>
        </w:rPr>
        <w:t xml:space="preserve"> limitou-se a determinar o cumprimento da “</w:t>
      </w:r>
      <w:r w:rsidRPr="00680FF9">
        <w:rPr>
          <w:rFonts w:ascii="Times New Roman" w:hAnsi="Times New Roman" w:cs="Times New Roman"/>
          <w:i/>
          <w:iCs/>
        </w:rPr>
        <w:t xml:space="preserve">parte final da decisão de folha </w:t>
      </w:r>
      <w:r w:rsidR="00680FF9" w:rsidRPr="00680FF9">
        <w:rPr>
          <w:rFonts w:ascii="Times New Roman" w:hAnsi="Times New Roman" w:cs="Times New Roman"/>
          <w:i/>
          <w:iCs/>
        </w:rPr>
        <w:t>...</w:t>
      </w:r>
      <w:r w:rsidRPr="00FD5770">
        <w:rPr>
          <w:rFonts w:ascii="Times New Roman" w:hAnsi="Times New Roman" w:cs="Times New Roman"/>
        </w:rPr>
        <w:t xml:space="preserve">”. O itinerário traçado foi, portanto: contas do autor, análise pelo juízo e conclusão. Não se previu nenhuma etapa autônoma de contraditório dos réus seguida de fixação de pontos controvertidos como condição prévia de perícia. A d. Magistrada fez exatamente o que a fl. </w:t>
      </w:r>
      <w:r w:rsidR="00680FF9">
        <w:rPr>
          <w:rFonts w:ascii="Times New Roman" w:hAnsi="Times New Roman" w:cs="Times New Roman"/>
        </w:rPr>
        <w:t>...</w:t>
      </w:r>
      <w:r w:rsidRPr="00FD5770">
        <w:rPr>
          <w:rFonts w:ascii="Times New Roman" w:hAnsi="Times New Roman" w:cs="Times New Roman"/>
        </w:rPr>
        <w:t xml:space="preserve"> e o evento </w:t>
      </w:r>
      <w:r w:rsidR="00680FF9">
        <w:rPr>
          <w:rFonts w:ascii="Times New Roman" w:hAnsi="Times New Roman" w:cs="Times New Roman"/>
        </w:rPr>
        <w:t>...</w:t>
      </w:r>
      <w:r w:rsidRPr="00FD5770">
        <w:rPr>
          <w:rFonts w:ascii="Times New Roman" w:hAnsi="Times New Roman" w:cs="Times New Roman"/>
        </w:rPr>
        <w:t xml:space="preserve"> determinaram: analisou o estado do processo e concluiu que a apuração do saldo dependia de prova técnica. A decisão agravada não rompe o encadeamento processual; ela o cumpre.</w:t>
      </w:r>
    </w:p>
    <w:p w14:paraId="076441D0"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Segundo: a lei autoriza expressamente a perícia sobre as contas do autor. O art. 550, § 6º, do CPC, ao disciplinar justamente a hipótese de contas apresentadas pelo autor, prevê que o juiz pode “</w:t>
      </w:r>
      <w:r w:rsidRPr="00680FF9">
        <w:rPr>
          <w:rFonts w:ascii="Times New Roman" w:hAnsi="Times New Roman" w:cs="Times New Roman"/>
          <w:i/>
          <w:iCs/>
        </w:rPr>
        <w:t>determinar a realização de exame pericial, se necessário</w:t>
      </w:r>
      <w:r w:rsidRPr="00FD5770">
        <w:rPr>
          <w:rFonts w:ascii="Times New Roman" w:hAnsi="Times New Roman" w:cs="Times New Roman"/>
        </w:rPr>
        <w:t xml:space="preserve">”. </w:t>
      </w:r>
    </w:p>
    <w:p w14:paraId="2C3D7093"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Não há homologação automática das contas do autor; há, ao contrário, o poder-dever de conferência técnica. Foi o que assentou o eminente Relator: “</w:t>
      </w:r>
      <w:r w:rsidRPr="00680FF9">
        <w:rPr>
          <w:rFonts w:ascii="Times New Roman" w:hAnsi="Times New Roman" w:cs="Times New Roman"/>
          <w:i/>
          <w:iCs/>
        </w:rPr>
        <w:t>a falta de manifestação da demandada não conduz à automática homologação dos valores indicados pelo autor, subsistindo o poder-dever do juízo de promover a conferência técnica dos lançamentos mediante a produção da prova pericial</w:t>
      </w:r>
      <w:r w:rsidRPr="00FD5770">
        <w:rPr>
          <w:rFonts w:ascii="Times New Roman" w:hAnsi="Times New Roman" w:cs="Times New Roman"/>
        </w:rPr>
        <w:t xml:space="preserve">”. </w:t>
      </w:r>
    </w:p>
    <w:p w14:paraId="77EA88C5"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Registre-se que a sanção do art. 550, § 5º – impossibilidade de o réu impugnar as contas do autor – pressupõe que o réu não tenha prestado contas, o que não é o caso, pois as contas foram prestadas.</w:t>
      </w:r>
    </w:p>
    <w:p w14:paraId="7B8DE167" w14:textId="6AB3B8A1"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Terceiro: o despacho do evento </w:t>
      </w:r>
      <w:r w:rsidR="00680FF9">
        <w:rPr>
          <w:rFonts w:ascii="Times New Roman" w:hAnsi="Times New Roman" w:cs="Times New Roman"/>
        </w:rPr>
        <w:t>...</w:t>
      </w:r>
      <w:r w:rsidRPr="00FD5770">
        <w:rPr>
          <w:rFonts w:ascii="Times New Roman" w:hAnsi="Times New Roman" w:cs="Times New Roman"/>
        </w:rPr>
        <w:t xml:space="preserve"> não aprovou contas nem gerou preclusão. Trata-se de pronunciamento sem fundamentação, que não decidiu sobre o conteúdo do evento </w:t>
      </w:r>
      <w:r w:rsidR="00680FF9">
        <w:rPr>
          <w:rFonts w:ascii="Times New Roman" w:hAnsi="Times New Roman" w:cs="Times New Roman"/>
        </w:rPr>
        <w:t>..</w:t>
      </w:r>
      <w:r w:rsidRPr="00FD5770">
        <w:rPr>
          <w:rFonts w:ascii="Times New Roman" w:hAnsi="Times New Roman" w:cs="Times New Roman"/>
        </w:rPr>
        <w:t xml:space="preserve">. A preclusão </w:t>
      </w:r>
      <w:r w:rsidRPr="00680FF9">
        <w:rPr>
          <w:rFonts w:ascii="Times New Roman" w:hAnsi="Times New Roman" w:cs="Times New Roman"/>
          <w:i/>
          <w:iCs/>
        </w:rPr>
        <w:t xml:space="preserve">pro </w:t>
      </w:r>
      <w:proofErr w:type="spellStart"/>
      <w:r w:rsidRPr="00680FF9">
        <w:rPr>
          <w:rFonts w:ascii="Times New Roman" w:hAnsi="Times New Roman" w:cs="Times New Roman"/>
          <w:i/>
          <w:iCs/>
        </w:rPr>
        <w:t>judicato</w:t>
      </w:r>
      <w:proofErr w:type="spellEnd"/>
      <w:r w:rsidRPr="00FD5770">
        <w:rPr>
          <w:rFonts w:ascii="Times New Roman" w:hAnsi="Times New Roman" w:cs="Times New Roman"/>
        </w:rPr>
        <w:t xml:space="preserve"> alcança apenas questões efetivamente decididas (</w:t>
      </w:r>
      <w:proofErr w:type="spellStart"/>
      <w:r w:rsidRPr="00FD5770">
        <w:rPr>
          <w:rFonts w:ascii="Times New Roman" w:hAnsi="Times New Roman" w:cs="Times New Roman"/>
        </w:rPr>
        <w:t>arts</w:t>
      </w:r>
      <w:proofErr w:type="spellEnd"/>
      <w:r w:rsidRPr="00FD5770">
        <w:rPr>
          <w:rFonts w:ascii="Times New Roman" w:hAnsi="Times New Roman" w:cs="Times New Roman"/>
        </w:rPr>
        <w:t xml:space="preserve">. 505 e 507 do CPC), e em matéria probatória o juiz pode determinar, a qualquer tempo, as provas necessárias </w:t>
      </w:r>
      <w:r w:rsidRPr="00FD5770">
        <w:rPr>
          <w:rFonts w:ascii="Times New Roman" w:hAnsi="Times New Roman" w:cs="Times New Roman"/>
        </w:rPr>
        <w:lastRenderedPageBreak/>
        <w:t xml:space="preserve">ao julgamento (art. 370). Nada no evento </w:t>
      </w:r>
      <w:r w:rsidR="00680FF9">
        <w:rPr>
          <w:rFonts w:ascii="Times New Roman" w:hAnsi="Times New Roman" w:cs="Times New Roman"/>
        </w:rPr>
        <w:t>...</w:t>
      </w:r>
      <w:r w:rsidRPr="00FD5770">
        <w:rPr>
          <w:rFonts w:ascii="Times New Roman" w:hAnsi="Times New Roman" w:cs="Times New Roman"/>
        </w:rPr>
        <w:t xml:space="preserve"> impedia, onze anos depois, a determinação da prova técnica.</w:t>
      </w:r>
    </w:p>
    <w:p w14:paraId="0D0D25BB"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Quarto: o contraditório que o agravante reclama pertence aos agravados. A suposta “</w:t>
      </w:r>
      <w:r w:rsidRPr="00680FF9">
        <w:rPr>
          <w:rFonts w:ascii="Times New Roman" w:hAnsi="Times New Roman" w:cs="Times New Roman"/>
          <w:i/>
          <w:iCs/>
        </w:rPr>
        <w:t>etapa suprimida</w:t>
      </w:r>
      <w:r w:rsidRPr="00FD5770">
        <w:rPr>
          <w:rFonts w:ascii="Times New Roman" w:hAnsi="Times New Roman" w:cs="Times New Roman"/>
        </w:rPr>
        <w:t>” – manifestação dos réus sobre as contas do autor – é garantia instituída em favor dos réus, não do autor. Ninguém pode pleitear a nulidade de ato cuja falta, em tese, só prejudicaria a parte contrária, e não se decreta nulidade sem prejuízo para quem a alega (</w:t>
      </w:r>
      <w:proofErr w:type="spellStart"/>
      <w:r w:rsidRPr="00FD5770">
        <w:rPr>
          <w:rFonts w:ascii="Times New Roman" w:hAnsi="Times New Roman" w:cs="Times New Roman"/>
        </w:rPr>
        <w:t>arts</w:t>
      </w:r>
      <w:proofErr w:type="spellEnd"/>
      <w:r w:rsidRPr="00FD5770">
        <w:rPr>
          <w:rFonts w:ascii="Times New Roman" w:hAnsi="Times New Roman" w:cs="Times New Roman"/>
        </w:rPr>
        <w:t>. 276, 282, § 1º, e 283, parágrafo único, do CPC). O agravante não demonstra prejuízo algum. Ao contrário: poderá formular quesitos sobre cada um dos lançamentos que pretende glosar.</w:t>
      </w:r>
    </w:p>
    <w:p w14:paraId="4C6D2D68" w14:textId="669FA686"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Quinto: as contas do evento </w:t>
      </w:r>
      <w:r w:rsidR="00680FF9">
        <w:rPr>
          <w:rFonts w:ascii="Times New Roman" w:hAnsi="Times New Roman" w:cs="Times New Roman"/>
        </w:rPr>
        <w:t>...</w:t>
      </w:r>
      <w:r w:rsidRPr="00FD5770">
        <w:rPr>
          <w:rFonts w:ascii="Times New Roman" w:hAnsi="Times New Roman" w:cs="Times New Roman"/>
        </w:rPr>
        <w:t xml:space="preserve"> não estão na forma exigida pela lei. As contas devem ser apresentadas “</w:t>
      </w:r>
      <w:r w:rsidRPr="00680FF9">
        <w:rPr>
          <w:rFonts w:ascii="Times New Roman" w:hAnsi="Times New Roman" w:cs="Times New Roman"/>
          <w:i/>
          <w:iCs/>
        </w:rPr>
        <w:t>na forma adequada, já especificadas, com os documentos justificativos</w:t>
      </w:r>
      <w:r w:rsidRPr="00FD5770">
        <w:rPr>
          <w:rFonts w:ascii="Times New Roman" w:hAnsi="Times New Roman" w:cs="Times New Roman"/>
        </w:rPr>
        <w:t xml:space="preserve">” (art. 551, § 2º, do CPC). O evento </w:t>
      </w:r>
      <w:r w:rsidR="00680FF9">
        <w:rPr>
          <w:rFonts w:ascii="Times New Roman" w:hAnsi="Times New Roman" w:cs="Times New Roman"/>
        </w:rPr>
        <w:t>...</w:t>
      </w:r>
      <w:r w:rsidRPr="00FD5770">
        <w:rPr>
          <w:rFonts w:ascii="Times New Roman" w:hAnsi="Times New Roman" w:cs="Times New Roman"/>
        </w:rPr>
        <w:t xml:space="preserve"> não traz documento algum. As receitas ali “</w:t>
      </w:r>
      <w:r w:rsidRPr="00680FF9">
        <w:rPr>
          <w:rFonts w:ascii="Times New Roman" w:hAnsi="Times New Roman" w:cs="Times New Roman"/>
          <w:i/>
          <w:iCs/>
        </w:rPr>
        <w:t>incluídas</w:t>
      </w:r>
      <w:r w:rsidRPr="00FD5770">
        <w:rPr>
          <w:rFonts w:ascii="Times New Roman" w:hAnsi="Times New Roman" w:cs="Times New Roman"/>
        </w:rPr>
        <w:t xml:space="preserve">” são meras estimativas, como o próprio agravante deixa claro: a receita da lanchonete foi estimada em R$ </w:t>
      </w:r>
      <w:r w:rsidR="00680FF9">
        <w:rPr>
          <w:rFonts w:ascii="Times New Roman" w:hAnsi="Times New Roman" w:cs="Times New Roman"/>
        </w:rPr>
        <w:t>...</w:t>
      </w:r>
      <w:r w:rsidRPr="00FD5770">
        <w:rPr>
          <w:rFonts w:ascii="Times New Roman" w:hAnsi="Times New Roman" w:cs="Times New Roman"/>
        </w:rPr>
        <w:t xml:space="preserve"> anuais porque “</w:t>
      </w:r>
      <w:r w:rsidRPr="00680FF9">
        <w:rPr>
          <w:rFonts w:ascii="Times New Roman" w:hAnsi="Times New Roman" w:cs="Times New Roman"/>
          <w:i/>
          <w:iCs/>
        </w:rPr>
        <w:t xml:space="preserve">qualquer ‘boteco’ de bairro fatura R$ </w:t>
      </w:r>
      <w:r w:rsidR="00680FF9" w:rsidRPr="00680FF9">
        <w:rPr>
          <w:rFonts w:ascii="Times New Roman" w:hAnsi="Times New Roman" w:cs="Times New Roman"/>
          <w:i/>
          <w:iCs/>
        </w:rPr>
        <w:t>...</w:t>
      </w:r>
      <w:r w:rsidRPr="00680FF9">
        <w:rPr>
          <w:rFonts w:ascii="Times New Roman" w:hAnsi="Times New Roman" w:cs="Times New Roman"/>
          <w:i/>
          <w:iCs/>
        </w:rPr>
        <w:t xml:space="preserve"> por mês</w:t>
      </w:r>
      <w:r w:rsidRPr="00FD5770">
        <w:rPr>
          <w:rFonts w:ascii="Times New Roman" w:hAnsi="Times New Roman" w:cs="Times New Roman"/>
        </w:rPr>
        <w:t>”; as demais inclusões apoiam-se em expressões como “</w:t>
      </w:r>
      <w:r w:rsidRPr="00680FF9">
        <w:rPr>
          <w:rFonts w:ascii="Times New Roman" w:hAnsi="Times New Roman" w:cs="Times New Roman"/>
          <w:i/>
          <w:iCs/>
        </w:rPr>
        <w:t>sabe-se</w:t>
      </w:r>
      <w:r w:rsidRPr="00FD5770">
        <w:rPr>
          <w:rFonts w:ascii="Times New Roman" w:hAnsi="Times New Roman" w:cs="Times New Roman"/>
        </w:rPr>
        <w:t>” e “</w:t>
      </w:r>
      <w:r w:rsidRPr="00680FF9">
        <w:rPr>
          <w:rFonts w:ascii="Times New Roman" w:hAnsi="Times New Roman" w:cs="Times New Roman"/>
          <w:i/>
          <w:iCs/>
        </w:rPr>
        <w:t>disputadíssimas pelos estudantes, estando sempre todas alugadas</w:t>
      </w:r>
      <w:r w:rsidRPr="00FD5770">
        <w:rPr>
          <w:rFonts w:ascii="Times New Roman" w:hAnsi="Times New Roman" w:cs="Times New Roman"/>
        </w:rPr>
        <w:t xml:space="preserve">”. </w:t>
      </w:r>
    </w:p>
    <w:p w14:paraId="5C31E9F1"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Estimativas dessa natureza não constituem contas, e muito menos contas capazes de vincular o juízo ou de dispensar a prova técnica.</w:t>
      </w:r>
    </w:p>
    <w:p w14:paraId="01E89FC4" w14:textId="1B5FF1F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Sexto: o processo não pode retroagir onze anos. Desde </w:t>
      </w:r>
      <w:r w:rsidR="00680FF9">
        <w:rPr>
          <w:rFonts w:ascii="Times New Roman" w:hAnsi="Times New Roman" w:cs="Times New Roman"/>
        </w:rPr>
        <w:t>...</w:t>
      </w:r>
      <w:r w:rsidRPr="00FD5770">
        <w:rPr>
          <w:rFonts w:ascii="Times New Roman" w:hAnsi="Times New Roman" w:cs="Times New Roman"/>
        </w:rPr>
        <w:t xml:space="preserve"> sobrevieram sentença, recurso e acórdão desse </w:t>
      </w:r>
      <w:proofErr w:type="spellStart"/>
      <w:r w:rsidRPr="00FD5770">
        <w:rPr>
          <w:rFonts w:ascii="Times New Roman" w:hAnsi="Times New Roman" w:cs="Times New Roman"/>
        </w:rPr>
        <w:t>eg</w:t>
      </w:r>
      <w:proofErr w:type="spellEnd"/>
      <w:r w:rsidRPr="00FD5770">
        <w:rPr>
          <w:rFonts w:ascii="Times New Roman" w:hAnsi="Times New Roman" w:cs="Times New Roman"/>
        </w:rPr>
        <w:t xml:space="preserve">. Tribunal (evento </w:t>
      </w:r>
      <w:r w:rsidR="00680FF9">
        <w:rPr>
          <w:rFonts w:ascii="Times New Roman" w:hAnsi="Times New Roman" w:cs="Times New Roman"/>
        </w:rPr>
        <w:t>...</w:t>
      </w:r>
      <w:r w:rsidRPr="00FD5770">
        <w:rPr>
          <w:rFonts w:ascii="Times New Roman" w:hAnsi="Times New Roman" w:cs="Times New Roman"/>
        </w:rPr>
        <w:t>), que determinou “</w:t>
      </w:r>
      <w:r w:rsidRPr="00680FF9">
        <w:rPr>
          <w:rFonts w:ascii="Times New Roman" w:hAnsi="Times New Roman" w:cs="Times New Roman"/>
          <w:i/>
          <w:iCs/>
        </w:rPr>
        <w:t>o regular processamento do feito com início da segunda fase</w:t>
      </w:r>
      <w:r w:rsidRPr="00FD5770">
        <w:rPr>
          <w:rFonts w:ascii="Times New Roman" w:hAnsi="Times New Roman" w:cs="Times New Roman"/>
        </w:rPr>
        <w:t xml:space="preserve">”, além do fato superveniente noticiado no evento </w:t>
      </w:r>
      <w:r w:rsidR="00680FF9">
        <w:rPr>
          <w:rFonts w:ascii="Times New Roman" w:hAnsi="Times New Roman" w:cs="Times New Roman"/>
        </w:rPr>
        <w:t>...</w:t>
      </w:r>
      <w:r w:rsidRPr="00FD5770">
        <w:rPr>
          <w:rFonts w:ascii="Times New Roman" w:hAnsi="Times New Roman" w:cs="Times New Roman"/>
        </w:rPr>
        <w:t xml:space="preserve"> O pedido de “</w:t>
      </w:r>
      <w:r w:rsidRPr="00680FF9">
        <w:rPr>
          <w:rFonts w:ascii="Times New Roman" w:hAnsi="Times New Roman" w:cs="Times New Roman"/>
          <w:i/>
          <w:iCs/>
        </w:rPr>
        <w:t xml:space="preserve">retomada da marcha a partir do Evento </w:t>
      </w:r>
      <w:r w:rsidR="00680FF9" w:rsidRPr="00680FF9">
        <w:rPr>
          <w:rFonts w:ascii="Times New Roman" w:hAnsi="Times New Roman" w:cs="Times New Roman"/>
          <w:i/>
          <w:iCs/>
        </w:rPr>
        <w:t>..</w:t>
      </w:r>
      <w:r w:rsidR="00680FF9">
        <w:rPr>
          <w:rFonts w:ascii="Times New Roman" w:hAnsi="Times New Roman" w:cs="Times New Roman"/>
        </w:rPr>
        <w:t>.</w:t>
      </w:r>
      <w:r w:rsidRPr="00FD5770">
        <w:rPr>
          <w:rFonts w:ascii="Times New Roman" w:hAnsi="Times New Roman" w:cs="Times New Roman"/>
        </w:rPr>
        <w:t>” ignora tudo isso e pretende devolver o processo a um estado que já não existe.</w:t>
      </w:r>
    </w:p>
    <w:p w14:paraId="5445D42E" w14:textId="120C952B"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Acresça-se, apenas </w:t>
      </w:r>
      <w:r w:rsidRPr="00680FF9">
        <w:rPr>
          <w:rFonts w:ascii="Times New Roman" w:hAnsi="Times New Roman" w:cs="Times New Roman"/>
          <w:i/>
          <w:iCs/>
        </w:rPr>
        <w:t xml:space="preserve">ad </w:t>
      </w:r>
      <w:proofErr w:type="spellStart"/>
      <w:r w:rsidRPr="00680FF9">
        <w:rPr>
          <w:rFonts w:ascii="Times New Roman" w:hAnsi="Times New Roman" w:cs="Times New Roman"/>
          <w:i/>
          <w:iCs/>
        </w:rPr>
        <w:t>argumentandum</w:t>
      </w:r>
      <w:proofErr w:type="spellEnd"/>
      <w:r w:rsidRPr="00FD5770">
        <w:rPr>
          <w:rFonts w:ascii="Times New Roman" w:hAnsi="Times New Roman" w:cs="Times New Roman"/>
        </w:rPr>
        <w:t xml:space="preserve">, a observação do eminente Relator de que as contas do evento </w:t>
      </w:r>
      <w:r w:rsidR="00680FF9">
        <w:rPr>
          <w:rFonts w:ascii="Times New Roman" w:hAnsi="Times New Roman" w:cs="Times New Roman"/>
        </w:rPr>
        <w:t>...</w:t>
      </w:r>
      <w:r w:rsidRPr="00FD5770">
        <w:rPr>
          <w:rFonts w:ascii="Times New Roman" w:hAnsi="Times New Roman" w:cs="Times New Roman"/>
        </w:rPr>
        <w:t xml:space="preserve"> foram apresentadas após o prazo então assinado (eventos </w:t>
      </w:r>
      <w:r w:rsidR="00680FF9">
        <w:rPr>
          <w:rFonts w:ascii="Times New Roman" w:hAnsi="Times New Roman" w:cs="Times New Roman"/>
        </w:rPr>
        <w:t>...</w:t>
      </w:r>
      <w:r w:rsidRPr="00FD5770">
        <w:rPr>
          <w:rFonts w:ascii="Times New Roman" w:hAnsi="Times New Roman" w:cs="Times New Roman"/>
        </w:rPr>
        <w:t>). A questão sequer precisa ser dirimida: ainda que recebidas, as contas do autor não vinculam o juízo nem dispensam a perícia.</w:t>
      </w:r>
    </w:p>
    <w:p w14:paraId="15E9C879" w14:textId="77777777" w:rsidR="00FD5770" w:rsidRPr="00680FF9" w:rsidRDefault="00FD5770" w:rsidP="00FD5770">
      <w:pPr>
        <w:ind w:right="-568"/>
        <w:jc w:val="both"/>
        <w:rPr>
          <w:rFonts w:ascii="Times New Roman" w:hAnsi="Times New Roman" w:cs="Times New Roman"/>
          <w:b/>
          <w:bCs/>
        </w:rPr>
      </w:pPr>
      <w:r w:rsidRPr="00680FF9">
        <w:rPr>
          <w:rFonts w:ascii="Times New Roman" w:hAnsi="Times New Roman" w:cs="Times New Roman"/>
          <w:b/>
          <w:bCs/>
        </w:rPr>
        <w:t>VII.5 - Documentos estranhos ao objeto da lide</w:t>
      </w:r>
    </w:p>
    <w:p w14:paraId="44BC99AE" w14:textId="7882DFF1"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Para sustentar a tese de que os balanços de </w:t>
      </w:r>
      <w:r w:rsidR="00680FF9">
        <w:rPr>
          <w:rFonts w:ascii="Times New Roman" w:hAnsi="Times New Roman" w:cs="Times New Roman"/>
        </w:rPr>
        <w:t>...</w:t>
      </w:r>
      <w:r w:rsidRPr="00FD5770">
        <w:rPr>
          <w:rFonts w:ascii="Times New Roman" w:hAnsi="Times New Roman" w:cs="Times New Roman"/>
        </w:rPr>
        <w:t xml:space="preserve"> a </w:t>
      </w:r>
      <w:r w:rsidR="00680FF9">
        <w:rPr>
          <w:rFonts w:ascii="Times New Roman" w:hAnsi="Times New Roman" w:cs="Times New Roman"/>
        </w:rPr>
        <w:t>...</w:t>
      </w:r>
      <w:r w:rsidRPr="00FD5770">
        <w:rPr>
          <w:rFonts w:ascii="Times New Roman" w:hAnsi="Times New Roman" w:cs="Times New Roman"/>
        </w:rPr>
        <w:t xml:space="preserve"> teriam sido “</w:t>
      </w:r>
      <w:r w:rsidRPr="00680FF9">
        <w:rPr>
          <w:rFonts w:ascii="Times New Roman" w:hAnsi="Times New Roman" w:cs="Times New Roman"/>
          <w:i/>
          <w:iCs/>
        </w:rPr>
        <w:t>montados</w:t>
      </w:r>
      <w:r w:rsidRPr="00FD5770">
        <w:rPr>
          <w:rFonts w:ascii="Times New Roman" w:hAnsi="Times New Roman" w:cs="Times New Roman"/>
        </w:rPr>
        <w:t xml:space="preserve">”, </w:t>
      </w:r>
      <w:proofErr w:type="gramStart"/>
      <w:r w:rsidRPr="00FD5770">
        <w:rPr>
          <w:rFonts w:ascii="Times New Roman" w:hAnsi="Times New Roman" w:cs="Times New Roman"/>
        </w:rPr>
        <w:t xml:space="preserve">o agravante </w:t>
      </w:r>
      <w:r w:rsidR="00680FF9">
        <w:rPr>
          <w:rFonts w:ascii="Times New Roman" w:hAnsi="Times New Roman" w:cs="Times New Roman"/>
        </w:rPr>
        <w:t>j</w:t>
      </w:r>
      <w:r w:rsidRPr="00FD5770">
        <w:rPr>
          <w:rFonts w:ascii="Times New Roman" w:hAnsi="Times New Roman" w:cs="Times New Roman"/>
        </w:rPr>
        <w:t>unta</w:t>
      </w:r>
      <w:proofErr w:type="gramEnd"/>
      <w:r w:rsidRPr="00FD5770">
        <w:rPr>
          <w:rFonts w:ascii="Times New Roman" w:hAnsi="Times New Roman" w:cs="Times New Roman"/>
        </w:rPr>
        <w:t xml:space="preserve"> os anexos </w:t>
      </w:r>
      <w:r w:rsidR="00680FF9">
        <w:rPr>
          <w:rFonts w:ascii="Times New Roman" w:hAnsi="Times New Roman" w:cs="Times New Roman"/>
        </w:rPr>
        <w:t>...</w:t>
      </w:r>
      <w:r w:rsidRPr="00FD5770">
        <w:rPr>
          <w:rFonts w:ascii="Times New Roman" w:hAnsi="Times New Roman" w:cs="Times New Roman"/>
        </w:rPr>
        <w:t xml:space="preserve">, que não pertencem a estes autos. São quadros extraídos de outro processo (autos n. </w:t>
      </w:r>
      <w:r w:rsidR="00680FF9">
        <w:rPr>
          <w:rFonts w:ascii="Times New Roman" w:hAnsi="Times New Roman" w:cs="Times New Roman"/>
        </w:rPr>
        <w:t>...</w:t>
      </w:r>
      <w:r w:rsidRPr="00FD5770">
        <w:rPr>
          <w:rFonts w:ascii="Times New Roman" w:hAnsi="Times New Roman" w:cs="Times New Roman"/>
        </w:rPr>
        <w:t>), relativos a outros exercícios (</w:t>
      </w:r>
      <w:r w:rsidR="00680FF9">
        <w:rPr>
          <w:rFonts w:ascii="Times New Roman" w:hAnsi="Times New Roman" w:cs="Times New Roman"/>
        </w:rPr>
        <w:t>...</w:t>
      </w:r>
      <w:r w:rsidRPr="00FD5770">
        <w:rPr>
          <w:rFonts w:ascii="Times New Roman" w:hAnsi="Times New Roman" w:cs="Times New Roman"/>
        </w:rPr>
        <w:t xml:space="preserve">) e elaborados por outro perito. Invoca, ainda, sentença proferida em ação relativa aos exercícios de </w:t>
      </w:r>
      <w:r w:rsidR="00680FF9">
        <w:rPr>
          <w:rFonts w:ascii="Times New Roman" w:hAnsi="Times New Roman" w:cs="Times New Roman"/>
        </w:rPr>
        <w:t>...</w:t>
      </w:r>
    </w:p>
    <w:p w14:paraId="12608C3E" w14:textId="2921E726"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Cada exercício social é autônomo e tem sua própria escrituração. Conclusões alcançadas em outros processos, sobre outros períodos e por outros profissionais nada demonstram quanto aos exercícios de </w:t>
      </w:r>
      <w:r w:rsidR="00680FF9">
        <w:rPr>
          <w:rFonts w:ascii="Times New Roman" w:hAnsi="Times New Roman" w:cs="Times New Roman"/>
        </w:rPr>
        <w:t>..</w:t>
      </w:r>
      <w:r w:rsidRPr="00FD5770">
        <w:rPr>
          <w:rFonts w:ascii="Times New Roman" w:hAnsi="Times New Roman" w:cs="Times New Roman"/>
        </w:rPr>
        <w:t>. A generalização pretendida substitui a prova pela suspeita e reforça, se algo, a necessidade da perícia determinada.</w:t>
      </w:r>
    </w:p>
    <w:p w14:paraId="24EB896F" w14:textId="77777777" w:rsidR="00FD5770" w:rsidRPr="00680FF9" w:rsidRDefault="00FD5770" w:rsidP="00FD5770">
      <w:pPr>
        <w:ind w:right="-568"/>
        <w:jc w:val="both"/>
        <w:rPr>
          <w:rFonts w:ascii="Times New Roman" w:hAnsi="Times New Roman" w:cs="Times New Roman"/>
          <w:b/>
          <w:bCs/>
        </w:rPr>
      </w:pPr>
      <w:r w:rsidRPr="00680FF9">
        <w:rPr>
          <w:rFonts w:ascii="Times New Roman" w:hAnsi="Times New Roman" w:cs="Times New Roman"/>
          <w:b/>
          <w:bCs/>
        </w:rPr>
        <w:t>VII.6 - O verdadeiro alcance do recurso</w:t>
      </w:r>
    </w:p>
    <w:p w14:paraId="7B04207E" w14:textId="49E4303E"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Não é demais observar o que está em jogo. A r. decisão agravada determinou que se verifique tecnicamente se o crédito que o agravante recebeu na ação de cobrança corresponde ao objeto </w:t>
      </w:r>
      <w:r w:rsidRPr="00FD5770">
        <w:rPr>
          <w:rFonts w:ascii="Times New Roman" w:hAnsi="Times New Roman" w:cs="Times New Roman"/>
        </w:rPr>
        <w:lastRenderedPageBreak/>
        <w:t xml:space="preserve">desta ação. Os elementos dos autos indicam que sim: o laudo complementar de </w:t>
      </w:r>
      <w:r w:rsidR="00680FF9">
        <w:rPr>
          <w:rFonts w:ascii="Times New Roman" w:hAnsi="Times New Roman" w:cs="Times New Roman"/>
        </w:rPr>
        <w:t>...</w:t>
      </w:r>
      <w:r w:rsidRPr="00FD5770">
        <w:rPr>
          <w:rFonts w:ascii="Times New Roman" w:hAnsi="Times New Roman" w:cs="Times New Roman"/>
        </w:rPr>
        <w:t xml:space="preserve"> apurou lucros a distribuir de R$ </w:t>
      </w:r>
      <w:r w:rsidR="00680FF9">
        <w:rPr>
          <w:rFonts w:ascii="Times New Roman" w:hAnsi="Times New Roman" w:cs="Times New Roman"/>
        </w:rPr>
        <w:t>...</w:t>
      </w:r>
      <w:r w:rsidRPr="00FD5770">
        <w:rPr>
          <w:rFonts w:ascii="Times New Roman" w:hAnsi="Times New Roman" w:cs="Times New Roman"/>
        </w:rPr>
        <w:t>, que correspondem a 5% dos mesmos lucros líquidos dos mesmos exercícios que embasaram a condenação na ação de cobrança, crédito que o agravante executou, satisfez mediante arrematação de imóvel com o próprio crédito e depósito judicial, e em relação ao qual declarou, por escrito, “</w:t>
      </w:r>
      <w:r w:rsidRPr="00680FF9">
        <w:rPr>
          <w:rFonts w:ascii="Times New Roman" w:hAnsi="Times New Roman" w:cs="Times New Roman"/>
          <w:i/>
          <w:iCs/>
        </w:rPr>
        <w:t>dar-se por satisfeito</w:t>
      </w:r>
      <w:r w:rsidRPr="00FD5770">
        <w:rPr>
          <w:rFonts w:ascii="Times New Roman" w:hAnsi="Times New Roman" w:cs="Times New Roman"/>
        </w:rPr>
        <w:t>”.</w:t>
      </w:r>
    </w:p>
    <w:p w14:paraId="685F7250" w14:textId="48AF5330"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O recurso pretende, em última análise, desviar a perícia dessa questão, que pode conduzir à extinção do feito, para as estimativas do evento </w:t>
      </w:r>
      <w:r w:rsidR="00680FF9">
        <w:rPr>
          <w:rFonts w:ascii="Times New Roman" w:hAnsi="Times New Roman" w:cs="Times New Roman"/>
        </w:rPr>
        <w:t>...</w:t>
      </w:r>
      <w:r w:rsidRPr="00FD5770">
        <w:rPr>
          <w:rFonts w:ascii="Times New Roman" w:hAnsi="Times New Roman" w:cs="Times New Roman"/>
        </w:rPr>
        <w:t xml:space="preserve"> O inconformismo, contudo, não encontra amparo legal, e a definição do objeto da prova pertence ao juízo da causa.</w:t>
      </w:r>
    </w:p>
    <w:p w14:paraId="30B160AC" w14:textId="13193232"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Os agravados registram, por lealdade processual, que a defesa da r. decisão agravada não importa renúncia nem desistência da tese de perda superveniente do interesse de agir, deduzida no evento </w:t>
      </w:r>
      <w:r w:rsidR="00680FF9">
        <w:rPr>
          <w:rFonts w:ascii="Times New Roman" w:hAnsi="Times New Roman" w:cs="Times New Roman"/>
        </w:rPr>
        <w:t>...</w:t>
      </w:r>
      <w:r w:rsidRPr="00FD5770">
        <w:rPr>
          <w:rFonts w:ascii="Times New Roman" w:hAnsi="Times New Roman" w:cs="Times New Roman"/>
        </w:rPr>
        <w:t xml:space="preserve"> e ainda pendente de apreciação na origem.</w:t>
      </w:r>
    </w:p>
    <w:p w14:paraId="01E36EE4" w14:textId="77777777" w:rsidR="00FD5770" w:rsidRPr="00680FF9" w:rsidRDefault="00FD5770" w:rsidP="00FD5770">
      <w:pPr>
        <w:ind w:right="-568"/>
        <w:jc w:val="both"/>
        <w:rPr>
          <w:rFonts w:ascii="Times New Roman" w:hAnsi="Times New Roman" w:cs="Times New Roman"/>
          <w:b/>
          <w:bCs/>
        </w:rPr>
      </w:pPr>
      <w:r w:rsidRPr="00680FF9">
        <w:rPr>
          <w:rFonts w:ascii="Times New Roman" w:hAnsi="Times New Roman" w:cs="Times New Roman"/>
          <w:b/>
          <w:bCs/>
        </w:rPr>
        <w:t>VII.7 - Ausência de perigo de dano</w:t>
      </w:r>
    </w:p>
    <w:p w14:paraId="0D21CE17" w14:textId="77777777"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Por fim, inexiste risco de dano grave ou de difícil reparação. O único prejuízo invocado é o adiantamento de honorários periciais, dispêndio financeiro reversível pela distribuição final dos ônus sucumbenciais (art. 82, § 2º, do CPC). </w:t>
      </w:r>
    </w:p>
    <w:p w14:paraId="009F4C00" w14:textId="4834D3C9"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Eventual inconformismo com o valor dos honorários tem sede própria, com contraditório específico (art. 465, §§ 3º e 4º). A urgência alegada, ademais, não se concilia com a conduta do próprio agravante, que apresentou suas contas em </w:t>
      </w:r>
      <w:r w:rsidR="00680FF9">
        <w:rPr>
          <w:rFonts w:ascii="Times New Roman" w:hAnsi="Times New Roman" w:cs="Times New Roman"/>
        </w:rPr>
        <w:t>...</w:t>
      </w:r>
      <w:r w:rsidRPr="00FD5770">
        <w:rPr>
          <w:rFonts w:ascii="Times New Roman" w:hAnsi="Times New Roman" w:cs="Times New Roman"/>
        </w:rPr>
        <w:t xml:space="preserve"> e somente agora, onze anos depois, reclama da sequência dos atos. Correto, pois, o indeferimento do efeito suspensivo, que deve ser mantido até o julgamento final.</w:t>
      </w:r>
    </w:p>
    <w:p w14:paraId="7A33547E" w14:textId="77777777" w:rsidR="00FD5770" w:rsidRPr="00680FF9" w:rsidRDefault="00FD5770" w:rsidP="00FD5770">
      <w:pPr>
        <w:ind w:right="-568"/>
        <w:jc w:val="both"/>
        <w:rPr>
          <w:rFonts w:ascii="Times New Roman" w:hAnsi="Times New Roman" w:cs="Times New Roman"/>
          <w:b/>
          <w:bCs/>
        </w:rPr>
      </w:pPr>
      <w:r w:rsidRPr="00680FF9">
        <w:rPr>
          <w:rFonts w:ascii="Times New Roman" w:hAnsi="Times New Roman" w:cs="Times New Roman"/>
          <w:b/>
          <w:bCs/>
        </w:rPr>
        <w:t>VIII - PREQUESTIONAMENTO</w:t>
      </w:r>
    </w:p>
    <w:p w14:paraId="343EC7F4" w14:textId="2DAD9DD6"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Para fins de eventual interposição de recursos aos Tribunais Superiores, requer-se o expresso pronunciamento desse </w:t>
      </w:r>
      <w:proofErr w:type="spellStart"/>
      <w:r w:rsidRPr="00FD5770">
        <w:rPr>
          <w:rFonts w:ascii="Times New Roman" w:hAnsi="Times New Roman" w:cs="Times New Roman"/>
        </w:rPr>
        <w:t>eg</w:t>
      </w:r>
      <w:proofErr w:type="spellEnd"/>
      <w:r w:rsidRPr="00FD5770">
        <w:rPr>
          <w:rFonts w:ascii="Times New Roman" w:hAnsi="Times New Roman" w:cs="Times New Roman"/>
        </w:rPr>
        <w:t xml:space="preserve">. Tribunal sobre os </w:t>
      </w:r>
      <w:proofErr w:type="spellStart"/>
      <w:r w:rsidRPr="00FD5770">
        <w:rPr>
          <w:rFonts w:ascii="Times New Roman" w:hAnsi="Times New Roman" w:cs="Times New Roman"/>
        </w:rPr>
        <w:t>arts</w:t>
      </w:r>
      <w:proofErr w:type="spellEnd"/>
      <w:r w:rsidRPr="00FD5770">
        <w:rPr>
          <w:rFonts w:ascii="Times New Roman" w:hAnsi="Times New Roman" w:cs="Times New Roman"/>
        </w:rPr>
        <w:t>. 6º, 78, 148, §§ 1º e 2º, 276, 282, § 1º, 283, parágrafo único, 370, 371, 465, § 1º, 467, 468, 470, I, 479, 480, 550, §§ 5º e 6º, 551, § 2º, 932, III, 996, 1.009, § 1º, e 1.015 do Código de Processo Civil.</w:t>
      </w:r>
    </w:p>
    <w:p w14:paraId="6789A285" w14:textId="77777777" w:rsidR="00FD5770" w:rsidRPr="00680FF9" w:rsidRDefault="00FD5770" w:rsidP="00FD5770">
      <w:pPr>
        <w:ind w:right="-568"/>
        <w:jc w:val="both"/>
        <w:rPr>
          <w:rFonts w:ascii="Times New Roman" w:hAnsi="Times New Roman" w:cs="Times New Roman"/>
          <w:b/>
          <w:bCs/>
        </w:rPr>
      </w:pPr>
      <w:r w:rsidRPr="00680FF9">
        <w:rPr>
          <w:rFonts w:ascii="Times New Roman" w:hAnsi="Times New Roman" w:cs="Times New Roman"/>
          <w:b/>
          <w:bCs/>
        </w:rPr>
        <w:t>IX - PEDIDOS</w:t>
      </w:r>
    </w:p>
    <w:p w14:paraId="1E1E331D" w14:textId="77777777" w:rsidR="00FD5770" w:rsidRPr="00FD5770" w:rsidRDefault="00FD5770" w:rsidP="00FD5770">
      <w:pPr>
        <w:ind w:right="-568"/>
        <w:jc w:val="both"/>
        <w:rPr>
          <w:rFonts w:ascii="Times New Roman" w:hAnsi="Times New Roman" w:cs="Times New Roman"/>
        </w:rPr>
      </w:pPr>
      <w:proofErr w:type="spellStart"/>
      <w:r w:rsidRPr="00680FF9">
        <w:rPr>
          <w:rFonts w:ascii="Times New Roman" w:hAnsi="Times New Roman" w:cs="Times New Roman"/>
          <w:b/>
          <w:bCs/>
          <w:i/>
          <w:iCs/>
        </w:rPr>
        <w:t>Ex</w:t>
      </w:r>
      <w:proofErr w:type="spellEnd"/>
      <w:r w:rsidRPr="00680FF9">
        <w:rPr>
          <w:rFonts w:ascii="Times New Roman" w:hAnsi="Times New Roman" w:cs="Times New Roman"/>
          <w:b/>
          <w:bCs/>
          <w:i/>
          <w:iCs/>
        </w:rPr>
        <w:t xml:space="preserve"> positis</w:t>
      </w:r>
      <w:r w:rsidRPr="00FD5770">
        <w:rPr>
          <w:rFonts w:ascii="Times New Roman" w:hAnsi="Times New Roman" w:cs="Times New Roman"/>
        </w:rPr>
        <w:t>, os agravados requerem:</w:t>
      </w:r>
    </w:p>
    <w:p w14:paraId="60A92C8B" w14:textId="6AFEEE91" w:rsidR="00FD5770" w:rsidRPr="00FD5770" w:rsidRDefault="00680FF9" w:rsidP="00FD5770">
      <w:pPr>
        <w:ind w:right="-568"/>
        <w:jc w:val="both"/>
        <w:rPr>
          <w:rFonts w:ascii="Times New Roman" w:hAnsi="Times New Roman" w:cs="Times New Roman"/>
        </w:rPr>
      </w:pPr>
      <w:r w:rsidRPr="00680FF9">
        <w:rPr>
          <w:rFonts w:ascii="Times New Roman" w:hAnsi="Times New Roman" w:cs="Times New Roman"/>
        </w:rPr>
        <w:t>a)</w:t>
      </w:r>
      <w:r>
        <w:rPr>
          <w:rFonts w:ascii="Times New Roman" w:hAnsi="Times New Roman" w:cs="Times New Roman"/>
        </w:rPr>
        <w:t xml:space="preserve"> </w:t>
      </w:r>
      <w:r w:rsidR="00FD5770" w:rsidRPr="00680FF9">
        <w:rPr>
          <w:rFonts w:ascii="Times New Roman" w:hAnsi="Times New Roman" w:cs="Times New Roman"/>
        </w:rPr>
        <w:t>o NÃO CONHECIMENTO do agravo de instrumento, por ser incabível contra decisão que, na segunda fase da ação de exigir contas, defere prova pericial contábil e nomeia perito, nos termos do art. 1.015 do CPC e do REsp 1.821.793/RJ, não configurada a urgência exigida pelo Tema 988/STJ (art. 932, III, do CPC);</w:t>
      </w:r>
    </w:p>
    <w:p w14:paraId="551ECA41" w14:textId="661C3285"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b)</w:t>
      </w:r>
      <w:r w:rsidR="00680FF9">
        <w:rPr>
          <w:rFonts w:ascii="Times New Roman" w:hAnsi="Times New Roman" w:cs="Times New Roman"/>
        </w:rPr>
        <w:t xml:space="preserve"> </w:t>
      </w:r>
      <w:r w:rsidRPr="00FD5770">
        <w:rPr>
          <w:rFonts w:ascii="Times New Roman" w:hAnsi="Times New Roman" w:cs="Times New Roman"/>
        </w:rPr>
        <w:t>subsidiariamente, o não conhecimento parcial do recurso: (b.1) quanto ao pedido de substituição da perita, por supressão de instância e preclusão (</w:t>
      </w:r>
      <w:proofErr w:type="spellStart"/>
      <w:r w:rsidRPr="00FD5770">
        <w:rPr>
          <w:rFonts w:ascii="Times New Roman" w:hAnsi="Times New Roman" w:cs="Times New Roman"/>
        </w:rPr>
        <w:t>arts</w:t>
      </w:r>
      <w:proofErr w:type="spellEnd"/>
      <w:r w:rsidRPr="00FD5770">
        <w:rPr>
          <w:rFonts w:ascii="Times New Roman" w:hAnsi="Times New Roman" w:cs="Times New Roman"/>
        </w:rPr>
        <w:t>. 148, § 1º, 465, § 1º, I, e 467 do CPC); e (b.2) quanto ao pedido de abertura de prazo para quesitos e de delimitação do objeto pericial, por ausência de interesse recursal;</w:t>
      </w:r>
    </w:p>
    <w:p w14:paraId="1941FFD3" w14:textId="5EA1AAA6"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lastRenderedPageBreak/>
        <w:t>c)</w:t>
      </w:r>
      <w:r w:rsidR="00680FF9">
        <w:rPr>
          <w:rFonts w:ascii="Times New Roman" w:hAnsi="Times New Roman" w:cs="Times New Roman"/>
        </w:rPr>
        <w:t xml:space="preserve"> </w:t>
      </w:r>
      <w:r w:rsidRPr="00FD5770">
        <w:rPr>
          <w:rFonts w:ascii="Times New Roman" w:hAnsi="Times New Roman" w:cs="Times New Roman"/>
        </w:rPr>
        <w:t xml:space="preserve">no mérito, caso conhecido, o DESPROVIMENTO do recurso, mantendo-se integralmente a r. decisão agravada (evento </w:t>
      </w:r>
      <w:r w:rsidR="00680FF9">
        <w:rPr>
          <w:rFonts w:ascii="Times New Roman" w:hAnsi="Times New Roman" w:cs="Times New Roman"/>
        </w:rPr>
        <w:t>...</w:t>
      </w:r>
      <w:r w:rsidRPr="00FD5770">
        <w:rPr>
          <w:rFonts w:ascii="Times New Roman" w:hAnsi="Times New Roman" w:cs="Times New Roman"/>
        </w:rPr>
        <w:t xml:space="preserve">) e confirmando-se o indeferimento do efeito suspensivo (evento </w:t>
      </w:r>
      <w:r w:rsidR="00680FF9">
        <w:rPr>
          <w:rFonts w:ascii="Times New Roman" w:hAnsi="Times New Roman" w:cs="Times New Roman"/>
        </w:rPr>
        <w:t>...</w:t>
      </w:r>
      <w:r w:rsidRPr="00FD5770">
        <w:rPr>
          <w:rFonts w:ascii="Times New Roman" w:hAnsi="Times New Roman" w:cs="Times New Roman"/>
        </w:rPr>
        <w:t>);</w:t>
      </w:r>
    </w:p>
    <w:p w14:paraId="13FFFDD3" w14:textId="7A5B71B9"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d)</w:t>
      </w:r>
      <w:r w:rsidR="00680FF9">
        <w:rPr>
          <w:rFonts w:ascii="Times New Roman" w:hAnsi="Times New Roman" w:cs="Times New Roman"/>
        </w:rPr>
        <w:t xml:space="preserve"> </w:t>
      </w:r>
      <w:r w:rsidRPr="00FD5770">
        <w:rPr>
          <w:rFonts w:ascii="Times New Roman" w:hAnsi="Times New Roman" w:cs="Times New Roman"/>
        </w:rPr>
        <w:t xml:space="preserve">o registro de que a defesa da decisão agravada não importa renúncia à tese de perda superveniente do interesse de agir, pendente de apreciação na origem (evento </w:t>
      </w:r>
      <w:r w:rsidR="00680FF9">
        <w:rPr>
          <w:rFonts w:ascii="Times New Roman" w:hAnsi="Times New Roman" w:cs="Times New Roman"/>
        </w:rPr>
        <w:t>...</w:t>
      </w:r>
      <w:r w:rsidRPr="00FD5770">
        <w:rPr>
          <w:rFonts w:ascii="Times New Roman" w:hAnsi="Times New Roman" w:cs="Times New Roman"/>
        </w:rPr>
        <w:t>).</w:t>
      </w:r>
    </w:p>
    <w:p w14:paraId="5EB935A8" w14:textId="11E0EB8E" w:rsidR="00FD5770" w:rsidRPr="00FD5770" w:rsidRDefault="00FD5770" w:rsidP="00FD5770">
      <w:pPr>
        <w:ind w:right="-568"/>
        <w:jc w:val="both"/>
        <w:rPr>
          <w:rFonts w:ascii="Times New Roman" w:hAnsi="Times New Roman" w:cs="Times New Roman"/>
        </w:rPr>
      </w:pPr>
      <w:r w:rsidRPr="00FD5770">
        <w:rPr>
          <w:rFonts w:ascii="Times New Roman" w:hAnsi="Times New Roman" w:cs="Times New Roman"/>
        </w:rPr>
        <w:t xml:space="preserve">Junta-se o doc. </w:t>
      </w:r>
      <w:r w:rsidR="00680FF9">
        <w:rPr>
          <w:rFonts w:ascii="Times New Roman" w:hAnsi="Times New Roman" w:cs="Times New Roman"/>
        </w:rPr>
        <w:t>...</w:t>
      </w:r>
      <w:r w:rsidRPr="00FD5770">
        <w:rPr>
          <w:rFonts w:ascii="Times New Roman" w:hAnsi="Times New Roman" w:cs="Times New Roman"/>
        </w:rPr>
        <w:t>– inteiro teor do acórdão proferido no REsp 1.821.793/RJ.</w:t>
      </w:r>
    </w:p>
    <w:p w14:paraId="024C5C1B" w14:textId="6F0073BC" w:rsidR="00FD5770" w:rsidRPr="00FD5770" w:rsidRDefault="00FD5770" w:rsidP="00680FF9">
      <w:pPr>
        <w:spacing w:after="0" w:line="240" w:lineRule="auto"/>
        <w:ind w:right="-567"/>
        <w:jc w:val="center"/>
        <w:rPr>
          <w:rFonts w:ascii="Times New Roman" w:hAnsi="Times New Roman" w:cs="Times New Roman"/>
        </w:rPr>
      </w:pPr>
      <w:r w:rsidRPr="00FD5770">
        <w:rPr>
          <w:rFonts w:ascii="Times New Roman" w:hAnsi="Times New Roman" w:cs="Times New Roman"/>
        </w:rPr>
        <w:t>P</w:t>
      </w:r>
      <w:r w:rsidR="00680FF9">
        <w:rPr>
          <w:rFonts w:ascii="Times New Roman" w:hAnsi="Times New Roman" w:cs="Times New Roman"/>
        </w:rPr>
        <w:t>ede</w:t>
      </w:r>
      <w:r w:rsidRPr="00FD5770">
        <w:rPr>
          <w:rFonts w:ascii="Times New Roman" w:hAnsi="Times New Roman" w:cs="Times New Roman"/>
        </w:rPr>
        <w:t xml:space="preserve"> Deferimento.</w:t>
      </w:r>
    </w:p>
    <w:p w14:paraId="3BDFB520" w14:textId="780DA017" w:rsidR="00FD5770" w:rsidRDefault="00680FF9" w:rsidP="00680FF9">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11F733D7" w14:textId="0A73E44B" w:rsidR="00680FF9" w:rsidRPr="00FD5770" w:rsidRDefault="00680FF9" w:rsidP="00680FF9">
      <w:pPr>
        <w:spacing w:after="0" w:line="240" w:lineRule="auto"/>
        <w:ind w:right="-567"/>
        <w:jc w:val="center"/>
        <w:rPr>
          <w:rFonts w:ascii="Times New Roman" w:hAnsi="Times New Roman" w:cs="Times New Roman"/>
        </w:rPr>
      </w:pPr>
      <w:r>
        <w:rPr>
          <w:rFonts w:ascii="Times New Roman" w:hAnsi="Times New Roman" w:cs="Times New Roman"/>
        </w:rPr>
        <w:t>(Assinatura e OAB do Advogado)</w:t>
      </w:r>
    </w:p>
    <w:sectPr w:rsidR="00680FF9" w:rsidRPr="00FD577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E7A1C"/>
    <w:multiLevelType w:val="hybridMultilevel"/>
    <w:tmpl w:val="156877D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66867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770"/>
    <w:rsid w:val="004521DB"/>
    <w:rsid w:val="00680FF9"/>
    <w:rsid w:val="00B626E7"/>
    <w:rsid w:val="00FD577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22765"/>
  <w15:chartTrackingRefBased/>
  <w15:docId w15:val="{3229D6C6-BC7B-4641-9177-905EAC784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FD577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FD577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FD577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FD577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FD577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FD577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FD577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FD577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FD5770"/>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D5770"/>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FD5770"/>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FD5770"/>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FD5770"/>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FD5770"/>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FD5770"/>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D5770"/>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D5770"/>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D5770"/>
    <w:rPr>
      <w:rFonts w:eastAsiaTheme="majorEastAsia" w:cstheme="majorBidi"/>
      <w:color w:val="272727" w:themeColor="text1" w:themeTint="D8"/>
    </w:rPr>
  </w:style>
  <w:style w:type="paragraph" w:styleId="Ttulo">
    <w:name w:val="Title"/>
    <w:basedOn w:val="Normal"/>
    <w:next w:val="Normal"/>
    <w:link w:val="TtuloChar"/>
    <w:uiPriority w:val="10"/>
    <w:qFormat/>
    <w:rsid w:val="00FD57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D577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D5770"/>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D5770"/>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D5770"/>
    <w:pPr>
      <w:spacing w:before="160"/>
      <w:jc w:val="center"/>
    </w:pPr>
    <w:rPr>
      <w:i/>
      <w:iCs/>
      <w:color w:val="404040" w:themeColor="text1" w:themeTint="BF"/>
    </w:rPr>
  </w:style>
  <w:style w:type="character" w:customStyle="1" w:styleId="CitaoChar">
    <w:name w:val="Citação Char"/>
    <w:basedOn w:val="Fontepargpadro"/>
    <w:link w:val="Citao"/>
    <w:uiPriority w:val="29"/>
    <w:rsid w:val="00FD5770"/>
    <w:rPr>
      <w:i/>
      <w:iCs/>
      <w:color w:val="404040" w:themeColor="text1" w:themeTint="BF"/>
    </w:rPr>
  </w:style>
  <w:style w:type="paragraph" w:styleId="PargrafodaLista">
    <w:name w:val="List Paragraph"/>
    <w:basedOn w:val="Normal"/>
    <w:uiPriority w:val="34"/>
    <w:qFormat/>
    <w:rsid w:val="00FD5770"/>
    <w:pPr>
      <w:ind w:left="720"/>
      <w:contextualSpacing/>
    </w:pPr>
  </w:style>
  <w:style w:type="character" w:styleId="nfaseIntensa">
    <w:name w:val="Intense Emphasis"/>
    <w:basedOn w:val="Fontepargpadro"/>
    <w:uiPriority w:val="21"/>
    <w:qFormat/>
    <w:rsid w:val="00FD5770"/>
    <w:rPr>
      <w:i/>
      <w:iCs/>
      <w:color w:val="2F5496" w:themeColor="accent1" w:themeShade="BF"/>
    </w:rPr>
  </w:style>
  <w:style w:type="paragraph" w:styleId="CitaoIntensa">
    <w:name w:val="Intense Quote"/>
    <w:basedOn w:val="Normal"/>
    <w:next w:val="Normal"/>
    <w:link w:val="CitaoIntensaChar"/>
    <w:uiPriority w:val="30"/>
    <w:qFormat/>
    <w:rsid w:val="00FD57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FD5770"/>
    <w:rPr>
      <w:i/>
      <w:iCs/>
      <w:color w:val="2F5496" w:themeColor="accent1" w:themeShade="BF"/>
    </w:rPr>
  </w:style>
  <w:style w:type="character" w:styleId="RefernciaIntensa">
    <w:name w:val="Intense Reference"/>
    <w:basedOn w:val="Fontepargpadro"/>
    <w:uiPriority w:val="32"/>
    <w:qFormat/>
    <w:rsid w:val="00FD577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15</Pages>
  <Words>6058</Words>
  <Characters>32719</Characters>
  <Application>Microsoft Office Word</Application>
  <DocSecurity>0</DocSecurity>
  <Lines>272</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2026-10-05T21:02:00Z</dcterms:created>
  <dcterms:modified xsi:type="dcterms:W3CDTF">2026-10-05T21:30:00Z</dcterms:modified>
</cp:coreProperties>
</file>