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343D4" w14:textId="77777777" w:rsidR="00101E96" w:rsidRPr="00101E96" w:rsidRDefault="00101E96" w:rsidP="00101E96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101E96">
        <w:rPr>
          <w:rFonts w:ascii="Arial Black" w:hAnsi="Arial Black" w:cs="Times New Roman"/>
        </w:rPr>
        <w:t>MODELO DE PETIÇÃO</w:t>
      </w:r>
    </w:p>
    <w:p w14:paraId="466DF302" w14:textId="77777777" w:rsidR="00101E96" w:rsidRPr="00101E96" w:rsidRDefault="00101E96" w:rsidP="00101E96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101E96">
        <w:rPr>
          <w:rFonts w:ascii="Arial Black" w:hAnsi="Arial Black" w:cs="Times New Roman"/>
        </w:rPr>
        <w:t>AÇÃO DE EXIGIR CONTAS. CONTAS MAL PRESTADAS.</w:t>
      </w:r>
    </w:p>
    <w:p w14:paraId="03106926" w14:textId="77777777" w:rsidR="00101E96" w:rsidRPr="00101E96" w:rsidRDefault="00101E96" w:rsidP="00101E96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101E96">
        <w:rPr>
          <w:rFonts w:ascii="Arial Black" w:hAnsi="Arial Black" w:cs="Times New Roman"/>
        </w:rPr>
        <w:t>PERÍCIA. PEDIDO DE CONDENAÇÃO DEMANDADO.</w:t>
      </w:r>
    </w:p>
    <w:p w14:paraId="279E8CFB" w14:textId="77777777" w:rsidR="00101E96" w:rsidRPr="00101E96" w:rsidRDefault="00101E96" w:rsidP="00101E96">
      <w:pPr>
        <w:spacing w:after="0" w:line="240" w:lineRule="auto"/>
        <w:ind w:right="-567"/>
        <w:jc w:val="center"/>
        <w:rPr>
          <w:rFonts w:ascii="Arial Black" w:hAnsi="Arial Black" w:cs="Times New Roman"/>
        </w:rPr>
      </w:pPr>
      <w:r w:rsidRPr="00101E96">
        <w:rPr>
          <w:rFonts w:ascii="Arial Black" w:hAnsi="Arial Black" w:cs="Times New Roman"/>
        </w:rPr>
        <w:t>CORREÇÃO MONETÁRIA E JUROS MORATÓRIOS. PETIÇÃO</w:t>
      </w:r>
    </w:p>
    <w:p w14:paraId="0893392E" w14:textId="77777777" w:rsidR="00101E96" w:rsidRPr="00101E96" w:rsidRDefault="00101E96" w:rsidP="00101E96">
      <w:pPr>
        <w:spacing w:after="0" w:line="240" w:lineRule="auto"/>
        <w:ind w:right="-567"/>
        <w:jc w:val="right"/>
        <w:rPr>
          <w:rFonts w:ascii="Arial Black" w:hAnsi="Arial Black" w:cs="Times New Roman"/>
        </w:rPr>
      </w:pPr>
      <w:proofErr w:type="spellStart"/>
      <w:r w:rsidRPr="00101E96">
        <w:rPr>
          <w:rFonts w:ascii="Arial Black" w:hAnsi="Arial Black" w:cs="Times New Roman"/>
        </w:rPr>
        <w:t>Rénan</w:t>
      </w:r>
      <w:proofErr w:type="spellEnd"/>
      <w:r w:rsidRPr="00101E96">
        <w:rPr>
          <w:rFonts w:ascii="Arial Black" w:hAnsi="Arial Black" w:cs="Times New Roman"/>
        </w:rPr>
        <w:t xml:space="preserve"> </w:t>
      </w:r>
      <w:proofErr w:type="spellStart"/>
      <w:r w:rsidRPr="00101E96">
        <w:rPr>
          <w:rFonts w:ascii="Arial Black" w:hAnsi="Arial Black" w:cs="Times New Roman"/>
        </w:rPr>
        <w:t>Kfuri</w:t>
      </w:r>
      <w:proofErr w:type="spellEnd"/>
      <w:r w:rsidRPr="00101E96">
        <w:rPr>
          <w:rFonts w:ascii="Arial Black" w:hAnsi="Arial Black" w:cs="Times New Roman"/>
        </w:rPr>
        <w:t xml:space="preserve"> Lopes</w:t>
      </w:r>
    </w:p>
    <w:p w14:paraId="4BD3EE9A" w14:textId="77777777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</w:p>
    <w:p w14:paraId="4C23EFDF" w14:textId="77777777" w:rsid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xmo. Sr. Juiz de Direito da ... Vara Cível da Comarca de ...</w:t>
      </w:r>
    </w:p>
    <w:p w14:paraId="666FBA56" w14:textId="5F5B52F1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101E96">
        <w:rPr>
          <w:rFonts w:ascii="Times New Roman" w:hAnsi="Times New Roman" w:cs="Times New Roman"/>
        </w:rPr>
        <w:t>ePROC</w:t>
      </w:r>
      <w:proofErr w:type="spellEnd"/>
      <w:r w:rsidRPr="00101E9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...</w:t>
      </w:r>
    </w:p>
    <w:p w14:paraId="231DFE7F" w14:textId="7C9C1198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(nome)</w:t>
      </w:r>
      <w:r w:rsidRPr="00101E96">
        <w:rPr>
          <w:rFonts w:ascii="Times New Roman" w:hAnsi="Times New Roman" w:cs="Times New Roman"/>
        </w:rPr>
        <w:t xml:space="preserve"> e </w:t>
      </w:r>
      <w:r>
        <w:rPr>
          <w:rFonts w:ascii="Times New Roman" w:hAnsi="Times New Roman" w:cs="Times New Roman"/>
        </w:rPr>
        <w:t>(nome)</w:t>
      </w:r>
      <w:r w:rsidRPr="00101E96">
        <w:rPr>
          <w:rFonts w:ascii="Times New Roman" w:hAnsi="Times New Roman" w:cs="Times New Roman"/>
        </w:rPr>
        <w:t xml:space="preserve">, autoras, pelos advogados </w:t>
      </w:r>
      <w:r w:rsidRPr="00101E96">
        <w:rPr>
          <w:rFonts w:ascii="Times New Roman" w:hAnsi="Times New Roman" w:cs="Times New Roman"/>
          <w:i/>
          <w:iCs/>
        </w:rPr>
        <w:t>in fine</w:t>
      </w:r>
      <w:r w:rsidRPr="00101E96">
        <w:rPr>
          <w:rFonts w:ascii="Times New Roman" w:hAnsi="Times New Roman" w:cs="Times New Roman"/>
        </w:rPr>
        <w:t xml:space="preserve"> assinados, nos autos epigrafados da ação de exigir contas que contendem contra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, réu, vêm, respeitosamente, atendendo ao r. ato ordinatório do Evento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, manifestar sobre o Laudo Pericial do Evento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>, pelo que passam a aduzir:</w:t>
      </w:r>
    </w:p>
    <w:p w14:paraId="50B91FE2" w14:textId="6E5EE9AD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>I-</w:t>
      </w:r>
      <w:r>
        <w:rPr>
          <w:rFonts w:ascii="Times New Roman" w:hAnsi="Times New Roman" w:cs="Times New Roman"/>
        </w:rPr>
        <w:t xml:space="preserve"> </w:t>
      </w:r>
      <w:r w:rsidRPr="00101E96">
        <w:rPr>
          <w:rFonts w:ascii="Times New Roman" w:hAnsi="Times New Roman" w:cs="Times New Roman"/>
        </w:rPr>
        <w:t xml:space="preserve">O LAUDO PERICIAL </w:t>
      </w:r>
    </w:p>
    <w:p w14:paraId="1989D5F9" w14:textId="4ED4FBAE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 xml:space="preserve">Na espécie vertente, consoante se deflui da leitura do caderno processual, através do r. interlocutório do Evento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 foi determinada por este d. juízo a produção de prova pericial </w:t>
      </w:r>
      <w:proofErr w:type="gramStart"/>
      <w:r w:rsidRPr="00101E96">
        <w:rPr>
          <w:rFonts w:ascii="Times New Roman" w:hAnsi="Times New Roman" w:cs="Times New Roman"/>
        </w:rPr>
        <w:t>contábil ,</w:t>
      </w:r>
      <w:proofErr w:type="gramEnd"/>
      <w:r w:rsidRPr="00101E96">
        <w:rPr>
          <w:rFonts w:ascii="Times New Roman" w:hAnsi="Times New Roman" w:cs="Times New Roman"/>
        </w:rPr>
        <w:t xml:space="preserve"> mediante nomeação do expert Dr.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>, Perito Contábil inscrito no CRC/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 n.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 e CNPC n.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>, que procedeu à inspeção detalhada da documentação apresentada pelos integrantes da relação processual.</w:t>
      </w:r>
    </w:p>
    <w:p w14:paraId="26F8ABF3" w14:textId="4AE45B55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 xml:space="preserve">O escopo da prova pericial consistiu em verificar a regularidade das movimentações financeiras, a procedência dos lançamentos contábeis, a conformidade da escrituração com a legislação vigente e com as normas técnicas contábeis aplicáveis e a legalidade dos atos societários praticados pelo réu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 enquanto administrador da sociedade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. [anterior nome social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>].</w:t>
      </w:r>
    </w:p>
    <w:p w14:paraId="78D9A737" w14:textId="6B025D36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 xml:space="preserve">O ilustre Perito Judicial apresentou seu Laudo Pericial Contábil e seus indissociáveis Apêndices [1 a 5] no Evento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, demonstrando tecnicamente, de forma clara, objetiva e metodologicamente fundamentada, as evidências necessárias e suficientes para demonstrar com exatidão que as contas apresentadas pelo ex-administrador/réu não atendem aos requisitos norteadores exigidos pelo digesto instrumental civil e regulamentação técnica-contábil, </w:t>
      </w:r>
      <w:r w:rsidRPr="00101E96">
        <w:rPr>
          <w:rFonts w:ascii="Times New Roman" w:hAnsi="Times New Roman" w:cs="Times New Roman"/>
          <w:i/>
          <w:iCs/>
        </w:rPr>
        <w:t>ad litteris</w:t>
      </w:r>
      <w:r w:rsidRPr="00101E96">
        <w:rPr>
          <w:rFonts w:ascii="Times New Roman" w:hAnsi="Times New Roman" w:cs="Times New Roman"/>
        </w:rPr>
        <w:t>:</w:t>
      </w:r>
    </w:p>
    <w:p w14:paraId="44C7067A" w14:textId="709A544E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>“</w:t>
      </w:r>
      <w:r w:rsidRPr="00101E96">
        <w:rPr>
          <w:rFonts w:ascii="Times New Roman" w:hAnsi="Times New Roman" w:cs="Times New Roman"/>
          <w:i/>
          <w:iCs/>
        </w:rPr>
        <w:t>Embora o réu tenha trazido um conjunto de documentos que, supostamente, justificariam a movimentação financeira e contábil realizada no período na empresa, de outro lado, a perícia identificou que nem todos os lançamentos encontram guarida aos interesses da entidade empresarial, ou seja, uma parte significativa não respeita a autonomia patrimonial, importando em confusão entre a pessoa física e a pessoa jurídica, ou ainda, em outras vezes, guardam movimentação incoerente e capaz de ensejar suspeitas sobre o desvio de finalidade</w:t>
      </w:r>
      <w:r w:rsidRPr="00101E96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 </w:t>
      </w:r>
      <w:r w:rsidRPr="00101E96">
        <w:rPr>
          <w:rFonts w:ascii="Times New Roman" w:hAnsi="Times New Roman" w:cs="Times New Roman"/>
        </w:rPr>
        <w:t xml:space="preserve">[Evento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>]</w:t>
      </w:r>
    </w:p>
    <w:p w14:paraId="5CE29DFD" w14:textId="6D3DBD29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>De forma bastante objetiva, a perícia contábil identificou diversas movimentações financeiras e contábeis “</w:t>
      </w:r>
      <w:r w:rsidRPr="00101E96">
        <w:rPr>
          <w:rFonts w:ascii="Times New Roman" w:hAnsi="Times New Roman" w:cs="Times New Roman"/>
          <w:i/>
          <w:iCs/>
        </w:rPr>
        <w:t>NÃO COMPROVADAS</w:t>
      </w:r>
      <w:r w:rsidRPr="00101E96">
        <w:rPr>
          <w:rFonts w:ascii="Times New Roman" w:hAnsi="Times New Roman" w:cs="Times New Roman"/>
        </w:rPr>
        <w:t>” e “</w:t>
      </w:r>
      <w:r w:rsidRPr="00101E96">
        <w:rPr>
          <w:rFonts w:ascii="Times New Roman" w:hAnsi="Times New Roman" w:cs="Times New Roman"/>
          <w:i/>
          <w:iCs/>
        </w:rPr>
        <w:t>SUSPEITAS</w:t>
      </w:r>
      <w:r w:rsidRPr="00101E96">
        <w:rPr>
          <w:rFonts w:ascii="Times New Roman" w:hAnsi="Times New Roman" w:cs="Times New Roman"/>
        </w:rPr>
        <w:t xml:space="preserve">”, conforme esmiuçado nos Apêndices 1 a 5 que acompanham o Laudo Pericial do Evento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, v.g. saques na boca do caixa e transferências bancárias sem elucidação de seus destinos, pagamentos de despesas estranhas e </w:t>
      </w:r>
      <w:r w:rsidRPr="00101E96">
        <w:rPr>
          <w:rFonts w:ascii="Times New Roman" w:hAnsi="Times New Roman" w:cs="Times New Roman"/>
        </w:rPr>
        <w:lastRenderedPageBreak/>
        <w:t>movimentações insólitas em favor da advogada Dra.</w:t>
      </w:r>
      <w:proofErr w:type="gramStart"/>
      <w:r w:rsidRPr="00101E9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</w:t>
      </w:r>
      <w:proofErr w:type="gramEnd"/>
      <w:r w:rsidRPr="00101E96">
        <w:rPr>
          <w:rFonts w:ascii="Times New Roman" w:hAnsi="Times New Roman" w:cs="Times New Roman"/>
        </w:rPr>
        <w:t xml:space="preserve"> absolutamente desprovidas de coerência financeira, econômica ou operacional.</w:t>
      </w:r>
    </w:p>
    <w:p w14:paraId="63B63B2E" w14:textId="324A7B4F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 xml:space="preserve">Essas circunstâncias pormenorizadas pelo ilustre Perito Judicial reforçam o quadro de confusão patrimonial e de gestão temerária do referido ex-administrador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, ora réu, causando prejuízo direto à sociedade e, via de consequência, aos seus sócios de R$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>], numerário constituído pelo somatório dos lançamentos “</w:t>
      </w:r>
      <w:r w:rsidRPr="00101E96">
        <w:rPr>
          <w:rFonts w:ascii="Times New Roman" w:hAnsi="Times New Roman" w:cs="Times New Roman"/>
          <w:i/>
          <w:iCs/>
        </w:rPr>
        <w:t>NÃO COMPROVADOS</w:t>
      </w:r>
      <w:r w:rsidRPr="00101E96">
        <w:rPr>
          <w:rFonts w:ascii="Times New Roman" w:hAnsi="Times New Roman" w:cs="Times New Roman"/>
        </w:rPr>
        <w:t xml:space="preserve">” [R$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>] e “</w:t>
      </w:r>
      <w:r w:rsidRPr="00101E96">
        <w:rPr>
          <w:rFonts w:ascii="Times New Roman" w:hAnsi="Times New Roman" w:cs="Times New Roman"/>
          <w:i/>
          <w:iCs/>
        </w:rPr>
        <w:t>SUSPEITOS</w:t>
      </w:r>
      <w:r w:rsidRPr="00101E96">
        <w:rPr>
          <w:rFonts w:ascii="Times New Roman" w:hAnsi="Times New Roman" w:cs="Times New Roman"/>
        </w:rPr>
        <w:t xml:space="preserve">” [R$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] relativos ao período de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 a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, objeto da perícia </w:t>
      </w:r>
      <w:r w:rsidRPr="00101E96">
        <w:rPr>
          <w:rFonts w:ascii="Times New Roman" w:hAnsi="Times New Roman" w:cs="Times New Roman"/>
          <w:i/>
          <w:iCs/>
        </w:rPr>
        <w:t>sub examine</w:t>
      </w:r>
      <w:r w:rsidRPr="00101E96">
        <w:rPr>
          <w:rFonts w:ascii="Times New Roman" w:hAnsi="Times New Roman" w:cs="Times New Roman"/>
        </w:rPr>
        <w:t>.</w:t>
      </w:r>
    </w:p>
    <w:p w14:paraId="077A1118" w14:textId="6E69466F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>Vale ressaltar que a qualificação pericial das contas como “</w:t>
      </w:r>
      <w:r w:rsidRPr="00101E96">
        <w:rPr>
          <w:rFonts w:ascii="Times New Roman" w:hAnsi="Times New Roman" w:cs="Times New Roman"/>
          <w:i/>
          <w:iCs/>
        </w:rPr>
        <w:t>suspeitas</w:t>
      </w:r>
      <w:r w:rsidRPr="00101E96">
        <w:rPr>
          <w:rFonts w:ascii="Times New Roman" w:hAnsi="Times New Roman" w:cs="Times New Roman"/>
        </w:rPr>
        <w:t xml:space="preserve">” não constitui juízo neutro ou inconclusivo, mas sim reprovação técnica inequívoca, suficiente para caracterizar má gestão e gestão temerária, nos termos da legislação civil e processual aplicável. </w:t>
      </w:r>
    </w:p>
    <w:p w14:paraId="0C9F37A9" w14:textId="57C00E21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>Contas apresentadas sem observância da técnica contábil, desacompanhadas de documentos comprobatórios essenciais e desprovidas de lastro contratual violam frontalmente o regime jurídico da administração societária e da prestação jurisdicional de contas.</w:t>
      </w:r>
    </w:p>
    <w:p w14:paraId="1C3D25A4" w14:textId="7DEAE0ED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 xml:space="preserve">Nos termos do art. 1.011 do Código Civil, o administrador deve empregar, no exercício de suas funções, o cuidado e a diligência que todo homem ativo e probo costuma empregar na administração de seus próprios negócios. </w:t>
      </w:r>
    </w:p>
    <w:p w14:paraId="6D680C62" w14:textId="36C3D53E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>A apresentação de demonstrativos obscuros, inconsistentes e documentalmente vazios revela conduta diametralmente oposta a tal dever legal, evidenciando gestão negligente e irresponsável. Mais ainda, o art. 1.016 do Código Civil estabelece que o administrador responde solidariamente pelos prejuízos que causar quando agir com culpa no desempenho de suas funções, o que se verifica quando inviabiliza o controle e a fiscalização da gestão mediante contas tecnicamente imprestáveis.</w:t>
      </w:r>
    </w:p>
    <w:p w14:paraId="3857D6E6" w14:textId="11D869CB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 xml:space="preserve">A má gestão se consuma na incapacidade de demonstrar, de forma clara e verificável, os atos praticados, enquanto a gestão temerária se evidencia na adoção de práticas administrativas sem respaldo documental mínimo, expondo o patrimônio social a riscos injustificados e impossibilitando a reconstrução fidedigna da movimentação financeira. </w:t>
      </w:r>
    </w:p>
    <w:p w14:paraId="404792E0" w14:textId="365F420D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>Clara e alva que a conduta do réu afrontou, ainda, o dever de lealdade e transparência inerente à função administrativa, constituindo verdadeiro desvio do encargo de confiança que lhe foi atribuído.</w:t>
      </w:r>
    </w:p>
    <w:p w14:paraId="7B14CB5C" w14:textId="7F75B420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 xml:space="preserve">No plano processual, a ação de prestação de contas, regulada pelos </w:t>
      </w:r>
      <w:proofErr w:type="spellStart"/>
      <w:r w:rsidRPr="00101E96">
        <w:rPr>
          <w:rFonts w:ascii="Times New Roman" w:hAnsi="Times New Roman" w:cs="Times New Roman"/>
        </w:rPr>
        <w:t>arts</w:t>
      </w:r>
      <w:proofErr w:type="spellEnd"/>
      <w:r w:rsidRPr="00101E96">
        <w:rPr>
          <w:rFonts w:ascii="Times New Roman" w:hAnsi="Times New Roman" w:cs="Times New Roman"/>
        </w:rPr>
        <w:t>. 550 a 553 do Código de Processo Civil, impõe ao réu o ônus de prestar contas de forma regular, clara e instruída, apta a permitir o efetivo exame judicial. O art. 550, §5º, do CPC é expresso ao autorizar o julgamento desfavorável quando as contas apresentadas não atendem aos requisitos legais, hipótese em que devem ser rejeitadas. Contas “</w:t>
      </w:r>
      <w:r w:rsidRPr="00101E96">
        <w:rPr>
          <w:rFonts w:ascii="Times New Roman" w:hAnsi="Times New Roman" w:cs="Times New Roman"/>
          <w:i/>
          <w:iCs/>
        </w:rPr>
        <w:t>suspeitas</w:t>
      </w:r>
      <w:r w:rsidRPr="00101E96">
        <w:rPr>
          <w:rFonts w:ascii="Times New Roman" w:hAnsi="Times New Roman" w:cs="Times New Roman"/>
        </w:rPr>
        <w:t>”, conforme atestado pela perícia judicial, são, por definição, contas rejeitáveis, pois não cumprem sua finalidade jurídica.</w:t>
      </w:r>
    </w:p>
    <w:p w14:paraId="29659A8E" w14:textId="5AAC02D5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 xml:space="preserve">Assim, ao evidenciar inconsistências relevantes, ausência de documentos indispensáveis e desconformidade com os princípios contábeis aplicáveis, o laudo pericial não apenas reprova a prestação apresentada, como comprova o descumprimento substancial do dever legal de prestar contas, caracterizando má gestão e gestão temerária. Nesse cenário, a consequência jurídica é </w:t>
      </w:r>
      <w:r w:rsidRPr="00101E96">
        <w:rPr>
          <w:rFonts w:ascii="Times New Roman" w:hAnsi="Times New Roman" w:cs="Times New Roman"/>
        </w:rPr>
        <w:lastRenderedPageBreak/>
        <w:t>necessária e inafastável: o julgamento desfavorável da prestação de contas, com a prolação de sentença condenatória, apurando-se o saldo em desfavor do administrador, sem prejuízo de sua responsabilização civil pelos danos decorrentes de sua conduta.</w:t>
      </w:r>
    </w:p>
    <w:p w14:paraId="6BF606E9" w14:textId="4DD0657D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101E96">
        <w:rPr>
          <w:rFonts w:ascii="Times New Roman" w:hAnsi="Times New Roman" w:cs="Times New Roman"/>
          <w:b/>
          <w:bCs/>
        </w:rPr>
        <w:t xml:space="preserve"> II-PEDIDOS</w:t>
      </w:r>
    </w:p>
    <w:p w14:paraId="58741A58" w14:textId="77777777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  <w:b/>
          <w:bCs/>
        </w:rPr>
      </w:pPr>
      <w:r w:rsidRPr="00101E96">
        <w:rPr>
          <w:rFonts w:ascii="Times New Roman" w:hAnsi="Times New Roman" w:cs="Times New Roman"/>
          <w:b/>
          <w:bCs/>
        </w:rPr>
        <w:t>DOS PEDIDOS (SEGUNDA FASE DA AÇÃO DE EXIGIR CONTAS) – MÁ GESTÃO E GESTÃO TEMERÁRIA COMPROVADAS</w:t>
      </w:r>
    </w:p>
    <w:p w14:paraId="63BE69EF" w14:textId="4ED23D55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proofErr w:type="spellStart"/>
      <w:r w:rsidRPr="00101E96">
        <w:rPr>
          <w:rFonts w:ascii="Times New Roman" w:hAnsi="Times New Roman" w:cs="Times New Roman"/>
          <w:b/>
          <w:bCs/>
          <w:i/>
          <w:iCs/>
        </w:rPr>
        <w:t>Ex</w:t>
      </w:r>
      <w:proofErr w:type="spellEnd"/>
      <w:r w:rsidRPr="00101E96">
        <w:rPr>
          <w:rFonts w:ascii="Times New Roman" w:hAnsi="Times New Roman" w:cs="Times New Roman"/>
          <w:b/>
          <w:bCs/>
          <w:i/>
          <w:iCs/>
        </w:rPr>
        <w:t xml:space="preserve"> positis</w:t>
      </w:r>
      <w:r w:rsidRPr="00101E96">
        <w:rPr>
          <w:rFonts w:ascii="Times New Roman" w:hAnsi="Times New Roman" w:cs="Times New Roman"/>
        </w:rPr>
        <w:t>, diante do Laudo Pericial Contábil Judicial, prova técnica imparcial produzida sob o crivo do contraditório, que desnudou a conduta absolutamente irregular, negligente e temerária do Demandado no exercício da administração que lhe foi confiada, as autoras requerem:</w:t>
      </w:r>
    </w:p>
    <w:p w14:paraId="0233FF70" w14:textId="7287C64F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>a) sejam declaradas MAL PRESTADAS as contas apresentadas pelo Demandado, nos termos do art. 550, §5º, do Código de Processo Civil, porquanto inidôneas, incompletas e materialmente imprestáveis, marcadas pela ausência de documentos essenciais, inexistência de contratos, falta de lastro contábil e flagrante violação às normas técnicas de contabilidade, circunstâncias que, por si sós, impedem qualquer aprovação ou convalidação judicial;</w:t>
      </w:r>
    </w:p>
    <w:p w14:paraId="31A0FE74" w14:textId="5DCFBC22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 xml:space="preserve">b) seja expressamente reconhecido que a conduta do Demandado configura MÁ GESTÃO E GESTÃO TEMERÁRIA, caracterizada pela administração irresponsável de recursos alheios, pela movimentação financeira sem respaldo documental e pela total inobservância dos deveres legais de diligência, lealdade, transparência e boa-fé objetiva, em frontal violação aos </w:t>
      </w:r>
      <w:proofErr w:type="spellStart"/>
      <w:r w:rsidRPr="00101E96">
        <w:rPr>
          <w:rFonts w:ascii="Times New Roman" w:hAnsi="Times New Roman" w:cs="Times New Roman"/>
        </w:rPr>
        <w:t>arts</w:t>
      </w:r>
      <w:proofErr w:type="spellEnd"/>
      <w:r w:rsidRPr="00101E96">
        <w:rPr>
          <w:rFonts w:ascii="Times New Roman" w:hAnsi="Times New Roman" w:cs="Times New Roman"/>
        </w:rPr>
        <w:t>. 113, 187, 421, 422, 927 e 1.011 do Código Civil, bem como ao dever de prestar contas de forma regular, clara e justificada;</w:t>
      </w:r>
    </w:p>
    <w:p w14:paraId="46842FDD" w14:textId="38ECF971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 xml:space="preserve">c) em decorrência direta da má gestão e da gestão temerária comprovadas, seja o Demandado CONDENADO ao pagamento da quantia de R$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 [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>], valor este apurado pelo Perito Judicial como correspondente a verbas não prestadas, não justificadas e classificadas como “</w:t>
      </w:r>
      <w:r w:rsidRPr="00101E96">
        <w:rPr>
          <w:rFonts w:ascii="Times New Roman" w:hAnsi="Times New Roman" w:cs="Times New Roman"/>
          <w:i/>
          <w:iCs/>
        </w:rPr>
        <w:t>contas não prestadas</w:t>
      </w:r>
      <w:r w:rsidRPr="00101E96">
        <w:rPr>
          <w:rFonts w:ascii="Times New Roman" w:hAnsi="Times New Roman" w:cs="Times New Roman"/>
        </w:rPr>
        <w:t>” e “</w:t>
      </w:r>
      <w:r w:rsidRPr="00101E96">
        <w:rPr>
          <w:rFonts w:ascii="Times New Roman" w:hAnsi="Times New Roman" w:cs="Times New Roman"/>
          <w:i/>
          <w:iCs/>
        </w:rPr>
        <w:t>contas suspeitas</w:t>
      </w:r>
      <w:r w:rsidRPr="00101E96">
        <w:rPr>
          <w:rFonts w:ascii="Times New Roman" w:hAnsi="Times New Roman" w:cs="Times New Roman"/>
        </w:rPr>
        <w:t>”, devendo o resultado da prestação de contas reverter integralmente em desfavor daquele que tinha o dever legal de prestá-las, conforme autoriza expressamente o art. 550, §5º, do CPC;</w:t>
      </w:r>
    </w:p>
    <w:p w14:paraId="54E52737" w14:textId="762A3DD0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 xml:space="preserve">d) que o montante da condenação seja corrigido monetariamente desde a data de cada desembolso indevido, sob pena de legitimar o enriquecimento ilícito do demandado, em estrita observância ao princípio da reparação integral do dano, nos termos dos </w:t>
      </w:r>
      <w:proofErr w:type="spellStart"/>
      <w:r w:rsidRPr="00101E96">
        <w:rPr>
          <w:rFonts w:ascii="Times New Roman" w:hAnsi="Times New Roman" w:cs="Times New Roman"/>
        </w:rPr>
        <w:t>arts</w:t>
      </w:r>
      <w:proofErr w:type="spellEnd"/>
      <w:r w:rsidRPr="00101E96">
        <w:rPr>
          <w:rFonts w:ascii="Times New Roman" w:hAnsi="Times New Roman" w:cs="Times New Roman"/>
        </w:rPr>
        <w:t>. 389, 395, 404 e 944 do Código Civil;</w:t>
      </w:r>
    </w:p>
    <w:p w14:paraId="5C1A3B40" w14:textId="4D9245A1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>e) que sobre o valor devido incidam juros moratórios a partir da citação, nos termos do art. 405 do Código Civil, c/c art. 240 do Código de Processo Civil, tendo em vista que o Demandado, uma vez citado, permaneceu deliberadamente em mora, resistindo injustificadamente à recomposição do prejuízo causado;</w:t>
      </w:r>
    </w:p>
    <w:p w14:paraId="0DDD245D" w14:textId="77777777" w:rsid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>f) seja o Demandado condenado, ainda, ao pagamento das custas processuais e honorários advocatícios sucumbenciais, nos termos do art. 85, caput e §§ 2º e 8º, do Código de Processo Civil, em percentual a ser fixado por Vossa Excelência sobre o valor integral da condenação, como consectário lógico da sua conduta processual e material reprovável;</w:t>
      </w:r>
    </w:p>
    <w:p w14:paraId="347586FD" w14:textId="77C8BE60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lastRenderedPageBreak/>
        <w:t>g) que o Laudo Pericial Contábil Judicial seja integralmente acolhido como fundamento da sentença, reconhecendo-se que as irregularidades apuradas não se tratam de meras falhas formais, mas de grave desvio do padrão mínimo de legalidade exigido de quem administra bens e interesses alheios, revelando gestão temerária, prejuízo patrimonial concreto e violação direta do ordenamento jurídico, impondo-se, por conseguinte, a procedência integral dos pedidos nesta segunda fase da ação;</w:t>
      </w:r>
    </w:p>
    <w:p w14:paraId="72F76D79" w14:textId="2A5F3449" w:rsidR="00101E96" w:rsidRPr="00101E96" w:rsidRDefault="00101E96" w:rsidP="00101E96">
      <w:pPr>
        <w:ind w:right="-568"/>
        <w:jc w:val="both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>h)</w:t>
      </w:r>
      <w:r>
        <w:rPr>
          <w:rFonts w:ascii="Times New Roman" w:hAnsi="Times New Roman" w:cs="Times New Roman"/>
        </w:rPr>
        <w:t xml:space="preserve"> </w:t>
      </w:r>
      <w:r w:rsidRPr="00101E96">
        <w:rPr>
          <w:rFonts w:ascii="Times New Roman" w:hAnsi="Times New Roman" w:cs="Times New Roman"/>
        </w:rPr>
        <w:t xml:space="preserve">por fim, seja juntado aos autos o Parecer do Assistente Técnico/Dr.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 indicado anteriormente no Evento </w:t>
      </w:r>
      <w:r>
        <w:rPr>
          <w:rFonts w:ascii="Times New Roman" w:hAnsi="Times New Roman" w:cs="Times New Roman"/>
        </w:rPr>
        <w:t>...</w:t>
      </w:r>
      <w:r w:rsidRPr="00101E96">
        <w:rPr>
          <w:rFonts w:ascii="Times New Roman" w:hAnsi="Times New Roman" w:cs="Times New Roman"/>
        </w:rPr>
        <w:t xml:space="preserve"> [doc.</w:t>
      </w:r>
      <w:r>
        <w:rPr>
          <w:rFonts w:ascii="Times New Roman" w:hAnsi="Times New Roman" w:cs="Times New Roman"/>
        </w:rPr>
        <w:t xml:space="preserve"> n. ...</w:t>
      </w:r>
      <w:r w:rsidRPr="00101E96">
        <w:rPr>
          <w:rFonts w:ascii="Times New Roman" w:hAnsi="Times New Roman" w:cs="Times New Roman"/>
        </w:rPr>
        <w:t>].</w:t>
      </w:r>
    </w:p>
    <w:p w14:paraId="192FA848" w14:textId="6F7433F2" w:rsidR="00101E96" w:rsidRPr="00101E96" w:rsidRDefault="00101E96" w:rsidP="00101E96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 w:rsidRPr="00101E96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ede</w:t>
      </w:r>
      <w:r w:rsidRPr="00101E96">
        <w:rPr>
          <w:rFonts w:ascii="Times New Roman" w:hAnsi="Times New Roman" w:cs="Times New Roman"/>
        </w:rPr>
        <w:t xml:space="preserve"> Deferimento.</w:t>
      </w:r>
    </w:p>
    <w:p w14:paraId="21E4379B" w14:textId="7B50B8C8" w:rsidR="00101E96" w:rsidRDefault="00101E96" w:rsidP="00101E96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(Local e data)</w:t>
      </w:r>
    </w:p>
    <w:p w14:paraId="0E70470D" w14:textId="75FCD5AD" w:rsidR="00101E96" w:rsidRPr="00101E96" w:rsidRDefault="00101E96" w:rsidP="00101E96">
      <w:pPr>
        <w:spacing w:after="0" w:line="240" w:lineRule="auto"/>
        <w:ind w:righ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(Assinatura e OAB do Advogado)</w:t>
      </w:r>
    </w:p>
    <w:sectPr w:rsidR="00101E96" w:rsidRPr="00101E9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0515C" w14:textId="77777777" w:rsidR="00D83571" w:rsidRDefault="00D83571" w:rsidP="00101E96">
      <w:pPr>
        <w:spacing w:after="0" w:line="240" w:lineRule="auto"/>
      </w:pPr>
      <w:r>
        <w:separator/>
      </w:r>
    </w:p>
  </w:endnote>
  <w:endnote w:type="continuationSeparator" w:id="0">
    <w:p w14:paraId="4DC90F64" w14:textId="77777777" w:rsidR="00D83571" w:rsidRDefault="00D83571" w:rsidP="00101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4CE10" w14:textId="77777777" w:rsidR="00D83571" w:rsidRDefault="00D83571" w:rsidP="00101E96">
      <w:pPr>
        <w:spacing w:after="0" w:line="240" w:lineRule="auto"/>
      </w:pPr>
      <w:r>
        <w:separator/>
      </w:r>
    </w:p>
  </w:footnote>
  <w:footnote w:type="continuationSeparator" w:id="0">
    <w:p w14:paraId="40B5EF91" w14:textId="77777777" w:rsidR="00D83571" w:rsidRDefault="00D83571" w:rsidP="00101E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14DC5"/>
    <w:multiLevelType w:val="hybridMultilevel"/>
    <w:tmpl w:val="BBD2E41C"/>
    <w:lvl w:ilvl="0" w:tplc="EFE848A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235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E96"/>
    <w:rsid w:val="00101E96"/>
    <w:rsid w:val="00785CB6"/>
    <w:rsid w:val="00D83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61A37"/>
  <w15:chartTrackingRefBased/>
  <w15:docId w15:val="{EEB73B4B-78DB-4E02-B792-2B789D697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01E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01E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01E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01E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01E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01E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01E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01E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01E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01E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01E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01E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01E9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01E9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01E9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01E9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01E9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01E9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01E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01E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01E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01E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01E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01E9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01E9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01E9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01E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01E9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01E9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1494</Words>
  <Characters>8069</Characters>
  <Application>Microsoft Office Word</Application>
  <DocSecurity>0</DocSecurity>
  <Lines>67</Lines>
  <Paragraphs>19</Paragraphs>
  <ScaleCrop>false</ScaleCrop>
  <Company/>
  <LinksUpToDate>false</LinksUpToDate>
  <CharactersWithSpaces>9544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Gieseke</dc:creator>
  <cp:keywords/>
  <dc:description/>
  <cp:lastModifiedBy>Christiane Gieseke</cp:lastModifiedBy>
  <cp:revision>1</cp:revision>
  <dcterms:created xsi:type="dcterms:W3CDTF">2026-01-20T19:04:00Z</dcterms:created>
  <dcterms:modified xsi:type="dcterms:W3CDTF">2026-01-20T19:13:00Z</dcterms:modified>
</cp:coreProperties>
</file>