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E8E2" w14:textId="77777777" w:rsidR="00F522FA" w:rsidRPr="00F522FA" w:rsidRDefault="00F522FA" w:rsidP="00F522FA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F522FA">
        <w:rPr>
          <w:rFonts w:ascii="Arial Black" w:hAnsi="Arial Black"/>
          <w:b/>
          <w:bCs/>
        </w:rPr>
        <w:t>MODELO DE PETIÇÃO</w:t>
      </w:r>
    </w:p>
    <w:p w14:paraId="515A1837" w14:textId="7E2B5F82" w:rsidR="00F12689" w:rsidRDefault="001767AB" w:rsidP="00F522FA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F12689" w:rsidRPr="00F522FA">
        <w:rPr>
          <w:rFonts w:ascii="Arial Black" w:hAnsi="Arial Black"/>
          <w:b/>
          <w:bCs/>
        </w:rPr>
        <w:t>UNIFORMIZAÇÃO DE JURISPRUDÊNCIA</w:t>
      </w:r>
      <w:r w:rsidR="00CC70CB" w:rsidRPr="00F522FA">
        <w:rPr>
          <w:rFonts w:ascii="Arial Black" w:hAnsi="Arial Black"/>
          <w:b/>
          <w:bCs/>
        </w:rPr>
        <w:t>. INCIDENTAL. INICIAL</w:t>
      </w:r>
    </w:p>
    <w:p w14:paraId="085FE866" w14:textId="77777777" w:rsidR="00F522FA" w:rsidRPr="006066B9" w:rsidRDefault="00F522FA" w:rsidP="00F522FA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6263528A" w14:textId="77777777" w:rsidR="00CC70CB" w:rsidRPr="004C7863" w:rsidRDefault="00CC70CB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7626EE6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CC70CB">
        <w:rPr>
          <w:caps/>
          <w:color w:val="000000"/>
          <w:u w:val="single" w:color="000000"/>
        </w:rPr>
        <w:t>Comentários</w:t>
      </w:r>
      <w:r w:rsidR="00CC70CB">
        <w:rPr>
          <w:caps/>
          <w:color w:val="000000"/>
          <w:u w:color="000000"/>
        </w:rPr>
        <w:t>:</w:t>
      </w:r>
    </w:p>
    <w:p w14:paraId="36451D36" w14:textId="77777777" w:rsidR="00F12689" w:rsidRPr="004C7863" w:rsidRDefault="00F12689" w:rsidP="00F522F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- Expor o que está sendo objeto de discussão no recurso. </w:t>
      </w:r>
    </w:p>
    <w:p w14:paraId="147E682D" w14:textId="77777777" w:rsidR="00F12689" w:rsidRPr="004C7863" w:rsidRDefault="00F12689" w:rsidP="00F522F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A uniformização da jurisprudência tem o fito de criar uma unidade de entendimento interna de determinado tribunal, quando há julgamentos conflitantes a respeito de uma mesma tese jurídica entre as Câmaras ou Turmas do próprio pretório.</w:t>
      </w:r>
    </w:p>
    <w:p w14:paraId="506F4BBB" w14:textId="77777777" w:rsidR="00F12689" w:rsidRDefault="00F12689" w:rsidP="00F522F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O juiz, ao dar o voto na turma, câmara ou grupo de câmaras, poderá solicitar “previamente” um pronunciamento do tribunal acerca da interpretação do direito. Esse julgamento ficará sobrestado até que o plenário resolva o incidente de uniformização. Depois de fixada a tese jurídica pelo Tribunal Pleno, esse resultado será aplicado àquele caso concreto que originou o incidente de uniformização.</w:t>
      </w:r>
    </w:p>
    <w:p w14:paraId="58B9266A" w14:textId="77777777" w:rsidR="009269E2" w:rsidRDefault="00867A2E" w:rsidP="00F522F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 xml:space="preserve">- </w:t>
      </w:r>
      <w:r w:rsidR="00E050DE">
        <w:rPr>
          <w:color w:val="000000"/>
        </w:rPr>
        <w:t>Diferente do CPC/73, o</w:t>
      </w:r>
      <w:r>
        <w:rPr>
          <w:color w:val="000000"/>
        </w:rPr>
        <w:t xml:space="preserve"> novo Código de Processo Civil não trouxe</w:t>
      </w:r>
      <w:r w:rsidR="00E050DE">
        <w:rPr>
          <w:color w:val="000000"/>
        </w:rPr>
        <w:t xml:space="preserve"> a regulamentação </w:t>
      </w:r>
      <w:r w:rsidR="009269E2">
        <w:rPr>
          <w:color w:val="000000"/>
        </w:rPr>
        <w:t xml:space="preserve">processual </w:t>
      </w:r>
      <w:r w:rsidR="00E050DE">
        <w:rPr>
          <w:color w:val="000000"/>
        </w:rPr>
        <w:t>do incidente de uniformização de jurisprudência</w:t>
      </w:r>
      <w:r w:rsidR="009269E2">
        <w:rPr>
          <w:color w:val="000000"/>
        </w:rPr>
        <w:t>, mas</w:t>
      </w:r>
      <w:r w:rsidR="009269E2" w:rsidRPr="009269E2">
        <w:rPr>
          <w:color w:val="000000"/>
        </w:rPr>
        <w:t xml:space="preserve"> estabelece de forma expressa que “os tribunais devem uniformizar sua jurisprudência e mantê-la estável, íntegra e coerente” (art. 926). Ou seja, os tribunais não devem permitir divergências internas sobre questões jurídicas idênticas, como se cada juiz, desembargador ou turma julgadora não fizesse parte de um sistema.</w:t>
      </w:r>
    </w:p>
    <w:p w14:paraId="52039669" w14:textId="77777777" w:rsidR="009269E2" w:rsidRPr="004C7863" w:rsidRDefault="009269E2" w:rsidP="00F522FA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- Deve-se observar o Regimento Interno dos Tribunais e verificar o procedimento adequado.</w:t>
      </w:r>
    </w:p>
    <w:p w14:paraId="6EAE152E" w14:textId="77777777" w:rsidR="00CC70CB" w:rsidRDefault="00CC70CB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76F7A27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Desembargador (ou Juiz) Relator da Apelação Cível ... da Comarca de ...</w:t>
      </w:r>
    </w:p>
    <w:p w14:paraId="7AADE821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7CAF4281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  <w:spacing w:val="2"/>
        </w:rPr>
      </w:pPr>
      <w:r w:rsidRPr="004C7863">
        <w:rPr>
          <w:color w:val="000000"/>
        </w:rPr>
        <w:t xml:space="preserve">(nome),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nos autos da apelação cível em apreço, que tramita por este Egrégio Tribunal, figurando como apelante (ou apelado) ..., vem, respeit</w:t>
      </w:r>
      <w:r w:rsidR="00752A45">
        <w:rPr>
          <w:color w:val="000000"/>
        </w:rPr>
        <w:t>osamente, com fulcro no art. 926</w:t>
      </w:r>
      <w:r w:rsidRPr="004C7863">
        <w:rPr>
          <w:color w:val="000000"/>
        </w:rPr>
        <w:t xml:space="preserve"> do Código de Processo Civil</w:t>
      </w:r>
      <w:r w:rsidRPr="004C7863">
        <w:rPr>
          <w:color w:val="000000"/>
          <w:vertAlign w:val="superscript"/>
        </w:rPr>
        <w:footnoteReference w:id="1"/>
      </w:r>
      <w:r w:rsidR="00752A45">
        <w:rPr>
          <w:color w:val="000000"/>
        </w:rPr>
        <w:t xml:space="preserve"> e art. 522 do Regimento Interno do Tribunal de Justiça de Minas Gerais</w:t>
      </w:r>
      <w:r w:rsidR="00752A45">
        <w:rPr>
          <w:rStyle w:val="Refdenotaderodap"/>
          <w:color w:val="000000"/>
        </w:rPr>
        <w:footnoteReference w:id="2"/>
      </w:r>
      <w:r w:rsidRPr="004C7863">
        <w:rPr>
          <w:color w:val="000000"/>
        </w:rPr>
        <w:t>, requerer suscitar o presente INCIDENTE DE UNIFORMIZAÇÃO DE JURISPRUDÊNCIA, a fim de que o julgamento a ser proferido por esta Egrégia Câmara obedeça ao que venha a ser estabelecido por esse d. pretório.</w:t>
      </w:r>
    </w:p>
    <w:p w14:paraId="6A974D44" w14:textId="77777777" w:rsidR="00F12689" w:rsidRPr="004C7863" w:rsidRDefault="00F12689" w:rsidP="00F522FA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97C1407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O ponto controvertido em debate na apelação apensada é exclusivamente de direito, sustentando o suplicante.</w:t>
      </w:r>
    </w:p>
    <w:p w14:paraId="381920B8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708F3F5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Ocorre que a Egrégia ... Câmara Cível (ou Criminal) deste Tribunal, por ocasião do julgamento da Ap. Cív. n. ..., entendeu de uma forma e a ... Câmara deste Tribunal, por ocasião do julgamento da Ap. Cív. n. ..., entendeu de outra forma, ensejando, pois, posições contraditórias acerca do mesmo tema. A singela leitura dos acórdãos confrontantes, transitados em julgado, conforme certidões expedidas pelas respectivas secretarias, por si só esclarece a divergência.</w:t>
      </w:r>
    </w:p>
    <w:p w14:paraId="6D83D1EC" w14:textId="77777777" w:rsidR="00F12689" w:rsidRPr="004C7863" w:rsidRDefault="00F12689" w:rsidP="00F522FA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519355B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3.</w:t>
      </w:r>
      <w:r w:rsidR="00F522FA">
        <w:rPr>
          <w:color w:val="000000"/>
        </w:rPr>
        <w:t xml:space="preserve"> </w:t>
      </w:r>
      <w:r w:rsidRPr="004C7863">
        <w:rPr>
          <w:color w:val="000000"/>
        </w:rPr>
        <w:t>Ante o exposto,</w:t>
      </w:r>
      <w:r w:rsidR="00F522FA">
        <w:rPr>
          <w:color w:val="000000"/>
        </w:rPr>
        <w:t xml:space="preserve"> </w:t>
      </w:r>
      <w:r w:rsidRPr="004C7863">
        <w:rPr>
          <w:color w:val="000000"/>
        </w:rPr>
        <w:t>verificada a dissidência interna entre as colendas ...e ... Câmaras Cíveis, o suplicante requer:</w:t>
      </w:r>
    </w:p>
    <w:p w14:paraId="6320D02E" w14:textId="77777777" w:rsidR="00F12689" w:rsidRPr="004C7863" w:rsidRDefault="00F12689" w:rsidP="00F522FA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CDF52BE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a) preliminarmente, que a eg. Câmara reconheça essa divergência, proferindo julgamento nesse sentido, contendo no acórdão, de forma expressa e abrangente, </w:t>
      </w:r>
      <w:r w:rsidR="00752A45">
        <w:rPr>
          <w:color w:val="000000"/>
        </w:rPr>
        <w:t>as teses num sentido e em outro;</w:t>
      </w:r>
    </w:p>
    <w:p w14:paraId="1E7641A8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9C17C9C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b) posteriormente, sejam os presentes autos remetidos ao d. Desembargador Presidente deste Tribunal de Justiça de ...., para designar uma sessão especial de julgamento com participação dos ilustres Magistrados integrantes desse pretório, a fim de que a maioria absoluta julgue procedente a uniformização da jurisprudência numa das teses, criando súmula sobre o</w:t>
      </w:r>
      <w:r w:rsidR="00650FE3">
        <w:rPr>
          <w:color w:val="000000"/>
        </w:rPr>
        <w:t xml:space="preserve"> tema, obediente à ritualística </w:t>
      </w:r>
      <w:r w:rsidRPr="004C7863">
        <w:rPr>
          <w:color w:val="000000"/>
        </w:rPr>
        <w:t>r</w:t>
      </w:r>
      <w:r w:rsidR="00650FE3">
        <w:rPr>
          <w:color w:val="000000"/>
        </w:rPr>
        <w:t xml:space="preserve">egimental </w:t>
      </w:r>
      <w:r w:rsidRPr="004C7863">
        <w:rPr>
          <w:color w:val="000000"/>
        </w:rPr>
        <w:t>.</w:t>
      </w:r>
    </w:p>
    <w:p w14:paraId="4ED63773" w14:textId="77777777" w:rsidR="00F12689" w:rsidRPr="004C7863" w:rsidRDefault="00F12689" w:rsidP="00F522FA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B1A1B42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4.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provando-se por certidão (ou xérox autenticadas), as mencionadas divergências, espera-se o acolhimento do presente pedido, para ser reconhecida a divergência, observando-se as demais formalidades legais;</w:t>
      </w:r>
    </w:p>
    <w:p w14:paraId="03947CB6" w14:textId="77777777" w:rsidR="00F12689" w:rsidRPr="004C7863" w:rsidRDefault="00F12689" w:rsidP="00F522FA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7280FB66" w14:textId="77777777" w:rsidR="00F12689" w:rsidRPr="004C7863" w:rsidRDefault="00F12689" w:rsidP="00F522FA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  <w:spacing w:val="-2"/>
        </w:rPr>
        <w:t xml:space="preserve">c) a indispensável intimação do Ilustre </w:t>
      </w:r>
      <w:r w:rsidR="00650FE3">
        <w:rPr>
          <w:color w:val="000000"/>
          <w:spacing w:val="-2"/>
        </w:rPr>
        <w:t>Procurador Geral de Justiça (RITJMG</w:t>
      </w:r>
      <w:r w:rsidRPr="004C7863">
        <w:rPr>
          <w:color w:val="000000"/>
          <w:spacing w:val="-2"/>
        </w:rPr>
        <w:t xml:space="preserve">, art. </w:t>
      </w:r>
      <w:r w:rsidR="00650FE3">
        <w:rPr>
          <w:color w:val="000000"/>
          <w:spacing w:val="-2"/>
        </w:rPr>
        <w:t>526</w:t>
      </w:r>
      <w:r w:rsidRPr="004C7863">
        <w:rPr>
          <w:color w:val="000000"/>
          <w:spacing w:val="-2"/>
        </w:rPr>
        <w:t>, parágrafo único</w:t>
      </w:r>
      <w:r w:rsidR="00650FE3">
        <w:rPr>
          <w:rStyle w:val="Refdenotaderodap"/>
          <w:color w:val="000000"/>
          <w:spacing w:val="-2"/>
        </w:rPr>
        <w:footnoteReference w:id="3"/>
      </w:r>
      <w:r w:rsidRPr="004C7863">
        <w:rPr>
          <w:color w:val="000000"/>
          <w:spacing w:val="-2"/>
        </w:rPr>
        <w:t>).</w:t>
      </w:r>
    </w:p>
    <w:p w14:paraId="59397B7A" w14:textId="77777777" w:rsidR="00650FE3" w:rsidRDefault="00650FE3" w:rsidP="00F522F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</w:p>
    <w:p w14:paraId="0D42E83E" w14:textId="77777777" w:rsidR="008D2B28" w:rsidRDefault="00F12689" w:rsidP="00F522F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</w:t>
      </w:r>
      <w:r w:rsidR="00FB61BC">
        <w:rPr>
          <w:rFonts w:ascii="Times New Roman" w:hAnsi="Times New Roman" w:cs="Times New Roman"/>
          <w:sz w:val="24"/>
          <w:szCs w:val="24"/>
        </w:rPr>
        <w:t>o.</w:t>
      </w:r>
    </w:p>
    <w:p w14:paraId="5AD43BBC" w14:textId="77777777" w:rsidR="00F12689" w:rsidRPr="004C7863" w:rsidRDefault="00F12689" w:rsidP="00F522F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1B047164" w14:textId="77777777" w:rsidR="00F12689" w:rsidRPr="004C7863" w:rsidRDefault="00F12689" w:rsidP="00F522FA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47ED7DB" w14:textId="77777777" w:rsidR="001B23D8" w:rsidRDefault="001B23D8" w:rsidP="00F522FA">
      <w:pPr>
        <w:ind w:left="0" w:right="-568"/>
      </w:pPr>
    </w:p>
    <w:sectPr w:rsidR="001B23D8" w:rsidSect="00273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CAA1E" w14:textId="77777777" w:rsidR="00B94288" w:rsidRDefault="00B94288" w:rsidP="00F12689">
      <w:r>
        <w:separator/>
      </w:r>
    </w:p>
  </w:endnote>
  <w:endnote w:type="continuationSeparator" w:id="0">
    <w:p w14:paraId="2011B8BB" w14:textId="77777777" w:rsidR="00B94288" w:rsidRDefault="00B94288" w:rsidP="00F1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5909" w14:textId="77777777" w:rsidR="00B94288" w:rsidRDefault="00B94288" w:rsidP="00F12689">
      <w:r>
        <w:separator/>
      </w:r>
    </w:p>
  </w:footnote>
  <w:footnote w:type="continuationSeparator" w:id="0">
    <w:p w14:paraId="00F42545" w14:textId="77777777" w:rsidR="00B94288" w:rsidRDefault="00B94288" w:rsidP="00F12689">
      <w:r>
        <w:continuationSeparator/>
      </w:r>
    </w:p>
  </w:footnote>
  <w:footnote w:id="1">
    <w:p w14:paraId="2A12F6CC" w14:textId="77777777" w:rsidR="00F12689" w:rsidRPr="004C7863" w:rsidRDefault="00F12689" w:rsidP="00F522FA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752A45" w:rsidRPr="00752A45">
        <w:rPr>
          <w:b/>
          <w:bCs/>
          <w:sz w:val="20"/>
          <w:szCs w:val="20"/>
        </w:rPr>
        <w:t>Art. 926.  </w:t>
      </w:r>
      <w:r w:rsidR="00752A45" w:rsidRPr="00752A45">
        <w:rPr>
          <w:bCs/>
          <w:sz w:val="20"/>
          <w:szCs w:val="20"/>
        </w:rPr>
        <w:t>Os tribunais devem uniformizar sua jurisprudência e mantê-la estável, íntegra e coerente.</w:t>
      </w:r>
      <w:bookmarkStart w:id="0" w:name="art926§1"/>
      <w:bookmarkEnd w:id="0"/>
      <w:r w:rsidR="00752A45" w:rsidRPr="00752A45">
        <w:rPr>
          <w:b/>
          <w:bCs/>
          <w:sz w:val="20"/>
          <w:szCs w:val="20"/>
        </w:rPr>
        <w:t>§ 1</w:t>
      </w:r>
      <w:r w:rsidR="00752A45" w:rsidRPr="00752A45">
        <w:rPr>
          <w:b/>
          <w:bCs/>
          <w:sz w:val="20"/>
          <w:szCs w:val="20"/>
          <w:u w:val="single"/>
          <w:vertAlign w:val="superscript"/>
        </w:rPr>
        <w:t>o</w:t>
      </w:r>
      <w:r w:rsidR="00752A45" w:rsidRPr="00752A45">
        <w:rPr>
          <w:b/>
          <w:bCs/>
          <w:sz w:val="20"/>
          <w:szCs w:val="20"/>
        </w:rPr>
        <w:t> </w:t>
      </w:r>
      <w:r w:rsidR="00752A45" w:rsidRPr="00752A45">
        <w:rPr>
          <w:bCs/>
          <w:sz w:val="20"/>
          <w:szCs w:val="20"/>
        </w:rPr>
        <w:t>Na forma estabelecida e segundo os pressupostos fixados no regimento interno, os tribunais editarão enunciados de súmula correspondentes a sua jurisprudência dominante.</w:t>
      </w:r>
      <w:bookmarkStart w:id="1" w:name="art926§2"/>
      <w:bookmarkEnd w:id="1"/>
      <w:r w:rsidR="00752A45" w:rsidRPr="00752A45">
        <w:rPr>
          <w:b/>
          <w:bCs/>
          <w:sz w:val="20"/>
          <w:szCs w:val="20"/>
        </w:rPr>
        <w:t>§ 2</w:t>
      </w:r>
      <w:r w:rsidR="00752A45" w:rsidRPr="00752A45">
        <w:rPr>
          <w:b/>
          <w:bCs/>
          <w:sz w:val="20"/>
          <w:szCs w:val="20"/>
          <w:u w:val="single"/>
          <w:vertAlign w:val="superscript"/>
        </w:rPr>
        <w:t>o</w:t>
      </w:r>
      <w:r w:rsidR="00752A45" w:rsidRPr="00752A45">
        <w:rPr>
          <w:b/>
          <w:bCs/>
          <w:sz w:val="20"/>
          <w:szCs w:val="20"/>
        </w:rPr>
        <w:t> </w:t>
      </w:r>
      <w:r w:rsidR="00752A45" w:rsidRPr="00752A45">
        <w:rPr>
          <w:bCs/>
          <w:sz w:val="20"/>
          <w:szCs w:val="20"/>
        </w:rPr>
        <w:t>Ao editar enunciados de súmula, os tribunais devem ater-se às circunstâncias fáticas dos precedentes que motivaram sua criação.</w:t>
      </w:r>
    </w:p>
  </w:footnote>
  <w:footnote w:id="2">
    <w:p w14:paraId="3492B8F1" w14:textId="77777777" w:rsidR="00752A45" w:rsidRPr="00752A45" w:rsidRDefault="00752A45" w:rsidP="00F522FA">
      <w:pPr>
        <w:pStyle w:val="Textodenotaderodap"/>
        <w:tabs>
          <w:tab w:val="right" w:pos="9072"/>
        </w:tabs>
        <w:ind w:left="0" w:right="-568"/>
      </w:pPr>
      <w:r>
        <w:rPr>
          <w:rStyle w:val="Refdenotaderodap"/>
        </w:rPr>
        <w:footnoteRef/>
      </w:r>
      <w:r w:rsidRPr="00752A45">
        <w:rPr>
          <w:b/>
        </w:rPr>
        <w:t>Art. 522</w:t>
      </w:r>
      <w:r w:rsidRPr="00752A45">
        <w:t>. O incidente de uniformização de jurisprudência deverá ser suscitado perante o Órgão Especial, as câmaras cíveis e criminais por ocasião do julgamento do feito de sua competência originária, de recurso ou de matéria submetida ao duplo grau de jurisdição por força de lei.</w:t>
      </w:r>
      <w:r w:rsidRPr="00752A45">
        <w:rPr>
          <w:b/>
        </w:rPr>
        <w:t>§ 1º</w:t>
      </w:r>
      <w:r w:rsidRPr="00752A45">
        <w:t xml:space="preserve"> A suscitação do incidente tem por objeto o pronunciamento prévio do Órgão Especial ou das câmaras de</w:t>
      </w:r>
      <w:r w:rsidR="00F522FA">
        <w:t xml:space="preserve"> </w:t>
      </w:r>
      <w:r w:rsidRPr="00752A45">
        <w:t>uniformização de jurisprudência sobre a interpretação de regra relevante para o julgamento em curso,</w:t>
      </w:r>
      <w:r w:rsidR="00F522FA">
        <w:t xml:space="preserve"> </w:t>
      </w:r>
      <w:r w:rsidRPr="00752A45">
        <w:t>quando:</w:t>
      </w:r>
      <w:r w:rsidR="00F522FA">
        <w:t xml:space="preserve"> </w:t>
      </w:r>
      <w:r w:rsidRPr="00752A45">
        <w:rPr>
          <w:b/>
        </w:rPr>
        <w:t>I -</w:t>
      </w:r>
      <w:r w:rsidRPr="00752A45">
        <w:t xml:space="preserve"> verificada a ocorrência de divergência a seu respeito no Órgão Especial ou nas câmaras;</w:t>
      </w:r>
      <w:r w:rsidR="00F522FA">
        <w:t xml:space="preserve"> </w:t>
      </w:r>
      <w:r w:rsidRPr="00752A45">
        <w:rPr>
          <w:b/>
        </w:rPr>
        <w:t>II -</w:t>
      </w:r>
      <w:r w:rsidRPr="00752A45">
        <w:t xml:space="preserve"> no julgamento da decisão objeto do recurso, a interpretação for diversa da que lhe haja dado por</w:t>
      </w:r>
      <w:r w:rsidR="00F522FA">
        <w:t xml:space="preserve"> </w:t>
      </w:r>
      <w:r w:rsidRPr="00752A45">
        <w:t>quaisquer dos órgãos mencionados no inciso anterior.</w:t>
      </w:r>
      <w:r w:rsidRPr="00752A45">
        <w:rPr>
          <w:b/>
        </w:rPr>
        <w:t>§ 2º</w:t>
      </w:r>
      <w:r w:rsidRPr="00752A45">
        <w:t xml:space="preserve"> A suscitação do incidente indicará o acórdão ou os acórdãos, com trânsito em julgado, nos quais haja</w:t>
      </w:r>
      <w:r w:rsidR="00F522FA">
        <w:t xml:space="preserve"> </w:t>
      </w:r>
      <w:r w:rsidRPr="00752A45">
        <w:t>divergência de interpretação, comprovada por certidão ou cópia autenticada, ou mediante indicação do</w:t>
      </w:r>
      <w:r w:rsidR="00F522FA">
        <w:t xml:space="preserve"> </w:t>
      </w:r>
      <w:r w:rsidRPr="00752A45">
        <w:t>repositório de jurisprudência oficial autorizado que fez publicação.</w:t>
      </w:r>
      <w:r w:rsidRPr="00752A45">
        <w:rPr>
          <w:b/>
        </w:rPr>
        <w:t>§ 3º</w:t>
      </w:r>
      <w:r w:rsidRPr="00752A45">
        <w:t xml:space="preserve"> Tem legitimidade para suscitar o incidente:</w:t>
      </w:r>
      <w:r w:rsidR="00F522FA">
        <w:t xml:space="preserve"> </w:t>
      </w:r>
      <w:r w:rsidRPr="00752A45">
        <w:rPr>
          <w:b/>
        </w:rPr>
        <w:t>I -</w:t>
      </w:r>
      <w:r w:rsidRPr="00752A45">
        <w:t xml:space="preserve"> o desembargador que participar do julgamento;</w:t>
      </w:r>
      <w:r w:rsidR="00F522FA">
        <w:t xml:space="preserve"> </w:t>
      </w:r>
      <w:r w:rsidRPr="00752A45">
        <w:rPr>
          <w:b/>
        </w:rPr>
        <w:t>II -</w:t>
      </w:r>
      <w:r w:rsidRPr="00752A45">
        <w:t xml:space="preserve"> aquele que for parte na causa de competência originária;</w:t>
      </w:r>
      <w:r w:rsidR="00F522FA">
        <w:t xml:space="preserve"> </w:t>
      </w:r>
      <w:r w:rsidRPr="00752A45">
        <w:rPr>
          <w:b/>
        </w:rPr>
        <w:t>III -</w:t>
      </w:r>
      <w:r w:rsidRPr="00752A45">
        <w:t xml:space="preserve"> recorrente ou recorrido, no recurso interposto.</w:t>
      </w:r>
    </w:p>
    <w:p w14:paraId="7BCDBE4E" w14:textId="77777777" w:rsidR="00752A45" w:rsidRDefault="00752A45" w:rsidP="00F522FA">
      <w:pPr>
        <w:pStyle w:val="Textodenotaderodap"/>
        <w:tabs>
          <w:tab w:val="right" w:pos="9072"/>
        </w:tabs>
        <w:ind w:left="0" w:right="-568"/>
      </w:pPr>
    </w:p>
  </w:footnote>
  <w:footnote w:id="3">
    <w:p w14:paraId="1F0A9E7D" w14:textId="77777777" w:rsidR="00650FE3" w:rsidRDefault="00650FE3" w:rsidP="00F522FA">
      <w:pPr>
        <w:pStyle w:val="Textodenotaderodap"/>
        <w:tabs>
          <w:tab w:val="right" w:pos="9072"/>
        </w:tabs>
        <w:ind w:left="0" w:right="-568"/>
      </w:pPr>
      <w:r>
        <w:rPr>
          <w:rStyle w:val="Refdenotaderodap"/>
        </w:rPr>
        <w:footnoteRef/>
      </w:r>
      <w:r w:rsidRPr="00650FE3">
        <w:rPr>
          <w:b/>
        </w:rPr>
        <w:t>Art. 526.</w:t>
      </w:r>
      <w:r>
        <w:t xml:space="preserve"> Reconhecida a divergência, lavrado o acórdão, será o feito remetido ao presidente do Órgão Especial ou da câmara competente, que determinará a distribuição a relator dentre os respectivos integrantes, bem como o processamento do incidente. </w:t>
      </w:r>
      <w:r w:rsidRPr="00650FE3">
        <w:rPr>
          <w:b/>
        </w:rPr>
        <w:t>Parágrafo único.</w:t>
      </w:r>
      <w:r>
        <w:t xml:space="preserve"> Instruído o incidente de uniformização de jurisprudência, o relator determinará a oitiva do</w:t>
      </w:r>
    </w:p>
    <w:p w14:paraId="756EE777" w14:textId="77777777" w:rsidR="00650FE3" w:rsidRDefault="00650FE3" w:rsidP="00F522FA">
      <w:pPr>
        <w:pStyle w:val="Textodenotaderodap"/>
        <w:tabs>
          <w:tab w:val="right" w:pos="9072"/>
        </w:tabs>
        <w:ind w:left="0" w:right="-568"/>
      </w:pPr>
      <w:r>
        <w:t>Procurador-Geral de Justiça, para emissão de parecer, no prazo de dez dias.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89"/>
    <w:rsid w:val="000318CE"/>
    <w:rsid w:val="001767AB"/>
    <w:rsid w:val="001B23D8"/>
    <w:rsid w:val="00273A06"/>
    <w:rsid w:val="0029367C"/>
    <w:rsid w:val="002E573B"/>
    <w:rsid w:val="003B5E27"/>
    <w:rsid w:val="003C7C1E"/>
    <w:rsid w:val="00415371"/>
    <w:rsid w:val="004D0FC1"/>
    <w:rsid w:val="00627B4D"/>
    <w:rsid w:val="0064600C"/>
    <w:rsid w:val="00650FE3"/>
    <w:rsid w:val="00752A45"/>
    <w:rsid w:val="00867A2E"/>
    <w:rsid w:val="008D2B28"/>
    <w:rsid w:val="009269E2"/>
    <w:rsid w:val="00B94288"/>
    <w:rsid w:val="00CC70CB"/>
    <w:rsid w:val="00D222AD"/>
    <w:rsid w:val="00D46750"/>
    <w:rsid w:val="00DB1EBC"/>
    <w:rsid w:val="00DD7003"/>
    <w:rsid w:val="00E01359"/>
    <w:rsid w:val="00E050DE"/>
    <w:rsid w:val="00ED3A84"/>
    <w:rsid w:val="00F12689"/>
    <w:rsid w:val="00F522FA"/>
    <w:rsid w:val="00F904D6"/>
    <w:rsid w:val="00FB1153"/>
    <w:rsid w:val="00FB61BC"/>
    <w:rsid w:val="00FE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2E11"/>
  <w15:docId w15:val="{4ACF1678-DBEB-4F5C-9682-0F324DFB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89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26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6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F12689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2A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2A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52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2D54-EF0C-43F6-A8F4-F87A3308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2020-07-20T20:16:00Z</dcterms:created>
  <dcterms:modified xsi:type="dcterms:W3CDTF">2020-08-28T02:21:00Z</dcterms:modified>
</cp:coreProperties>
</file>