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5F44" w14:textId="77777777" w:rsidR="00737354" w:rsidRPr="00737354" w:rsidRDefault="00737354" w:rsidP="0073735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37354">
        <w:rPr>
          <w:rFonts w:ascii="Arial Black" w:hAnsi="Arial Black" w:cs="Times New Roman"/>
          <w:sz w:val="24"/>
          <w:szCs w:val="24"/>
        </w:rPr>
        <w:t>MODELO DE PETIÇÃO</w:t>
      </w:r>
    </w:p>
    <w:p w14:paraId="19756ACD" w14:textId="3B345001" w:rsidR="00737354" w:rsidRPr="00737354" w:rsidRDefault="00737354" w:rsidP="0073735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37354">
        <w:rPr>
          <w:rFonts w:ascii="Arial Black" w:hAnsi="Arial Black" w:cs="Times New Roman"/>
          <w:sz w:val="24"/>
          <w:szCs w:val="24"/>
        </w:rPr>
        <w:t>SOCIEDADE LIMITADA. ADMINISTRADOR.  VENDA DE IMÓVEIS. ATIVIDADE ESTRANHA. PODERES NÃO CONFERIDOS ADMINISTRADOR.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737354">
        <w:rPr>
          <w:rFonts w:ascii="Arial Black" w:hAnsi="Arial Black" w:cs="Times New Roman"/>
          <w:sz w:val="24"/>
          <w:szCs w:val="24"/>
        </w:rPr>
        <w:t>ART. 1.015 CÓDIGO CIVIL. ESCRITURA PÚBLICA DE DAÇÃO EM PAGAMENTO. NULIDADE. NOTIFICAÇÃO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737354">
        <w:rPr>
          <w:rFonts w:ascii="Arial Black" w:hAnsi="Arial Black" w:cs="Times New Roman"/>
          <w:sz w:val="24"/>
          <w:szCs w:val="24"/>
        </w:rPr>
        <w:t>EXTRAJUDICIAL</w:t>
      </w:r>
    </w:p>
    <w:p w14:paraId="428EE692" w14:textId="04629096" w:rsidR="00737354" w:rsidRPr="00737354" w:rsidRDefault="00737354" w:rsidP="0073735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737354">
        <w:rPr>
          <w:rFonts w:ascii="Arial Black" w:hAnsi="Arial Black" w:cs="Times New Roman"/>
          <w:sz w:val="24"/>
          <w:szCs w:val="24"/>
        </w:rPr>
        <w:t>Rénan Kfuri Lopes</w:t>
      </w:r>
    </w:p>
    <w:p w14:paraId="488F03C1" w14:textId="77777777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18FCF51" w14:textId="77777777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7762789" w14:textId="133FF297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3B5902B" w14:textId="174A41EE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354">
        <w:rPr>
          <w:rFonts w:ascii="Times New Roman" w:hAnsi="Times New Roman" w:cs="Times New Roman"/>
          <w:sz w:val="24"/>
          <w:szCs w:val="24"/>
        </w:rPr>
        <w:t>NOTIFICAÇÃO  EXTRAJUDICIAL</w:t>
      </w:r>
      <w:proofErr w:type="gramEnd"/>
    </w:p>
    <w:p w14:paraId="7CB1DF88" w14:textId="5E6648E2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CPF, RG e e-mail)</w:t>
      </w:r>
      <w:r w:rsidRPr="0073735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(nome, qualificação, endereço, CPF, RG e e-mail)</w:t>
      </w:r>
      <w:r w:rsidRPr="00737354">
        <w:rPr>
          <w:rFonts w:ascii="Times New Roman" w:hAnsi="Times New Roman" w:cs="Times New Roman"/>
          <w:sz w:val="24"/>
          <w:szCs w:val="24"/>
        </w:rPr>
        <w:t>, doravante denominadas NOTIFICANTES,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54">
        <w:rPr>
          <w:rFonts w:ascii="Times New Roman" w:hAnsi="Times New Roman" w:cs="Times New Roman"/>
          <w:sz w:val="24"/>
          <w:szCs w:val="24"/>
        </w:rPr>
        <w:t>promovem a presente notificação extrajudicial contra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endereço, CPF, RG e e-mail)</w:t>
      </w:r>
      <w:r w:rsidRPr="00737354">
        <w:rPr>
          <w:rFonts w:ascii="Times New Roman" w:hAnsi="Times New Roman" w:cs="Times New Roman"/>
          <w:sz w:val="24"/>
          <w:szCs w:val="24"/>
        </w:rPr>
        <w:t xml:space="preserve">, aqui chamado de </w:t>
      </w:r>
      <w:proofErr w:type="gramStart"/>
      <w:r w:rsidRPr="00737354">
        <w:rPr>
          <w:rFonts w:ascii="Times New Roman" w:hAnsi="Times New Roman" w:cs="Times New Roman"/>
          <w:sz w:val="24"/>
          <w:szCs w:val="24"/>
        </w:rPr>
        <w:t xml:space="preserve">NOTIFICADO,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54">
        <w:rPr>
          <w:rFonts w:ascii="Times New Roman" w:hAnsi="Times New Roman" w:cs="Times New Roman"/>
          <w:sz w:val="24"/>
          <w:szCs w:val="24"/>
        </w:rPr>
        <w:t>pelas</w:t>
      </w:r>
      <w:proofErr w:type="gramEnd"/>
      <w:r w:rsidRPr="00737354">
        <w:rPr>
          <w:rFonts w:ascii="Times New Roman" w:hAnsi="Times New Roman" w:cs="Times New Roman"/>
          <w:sz w:val="24"/>
          <w:szCs w:val="24"/>
        </w:rPr>
        <w:t xml:space="preserve"> razões de fato e direito adiante articuladas:</w:t>
      </w:r>
    </w:p>
    <w:p w14:paraId="5A109A40" w14:textId="5261F357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t xml:space="preserve">As NOTIFICANTES são sócias da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[“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”] e tomaram conhecimento de que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” representada por seu “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Administrador</w:t>
      </w:r>
      <w:r w:rsidRPr="007373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/aqui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54">
        <w:rPr>
          <w:rFonts w:ascii="Times New Roman" w:hAnsi="Times New Roman" w:cs="Times New Roman"/>
          <w:sz w:val="24"/>
          <w:szCs w:val="24"/>
        </w:rPr>
        <w:t xml:space="preserve">NOTIFICADO deu em pagamento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e sua mulher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, casados em regime de comunhão  universal  de  bens,  através  de  Escritura Pública de Dação em  Pagamento lavrada perante o Cartório de Registro Civil do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],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, Folha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, Protocolo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, 2 [dois] imóveis rurais de sua propriedade [da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”] registrados nas matrículas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do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].</w:t>
      </w:r>
    </w:p>
    <w:p w14:paraId="27A0E50B" w14:textId="060123B9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t>O “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Administrador</w:t>
      </w:r>
      <w:r w:rsidRPr="00737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”/</w:t>
      </w:r>
      <w:proofErr w:type="gramEnd"/>
      <w:r w:rsidRPr="00737354">
        <w:rPr>
          <w:rFonts w:ascii="Times New Roman" w:hAnsi="Times New Roman" w:cs="Times New Roman"/>
          <w:sz w:val="24"/>
          <w:szCs w:val="24"/>
        </w:rPr>
        <w:t>ora NOTIFICADO não poderia em hipótese alguma outorgar referida Escritura Pública de Dação em Pagamento, pois:</w:t>
      </w:r>
    </w:p>
    <w:p w14:paraId="6083FFBF" w14:textId="372DD7B0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737354">
        <w:rPr>
          <w:rFonts w:ascii="Times New Roman" w:hAnsi="Times New Roman" w:cs="Times New Roman"/>
          <w:sz w:val="24"/>
          <w:szCs w:val="24"/>
        </w:rPr>
        <w:t xml:space="preserve"> NOTIFICADO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 passou a ocupar o cargo de administrador da sociedade através da 6ª Alteração Contratual, com poderes para administrar os negócios sociais, vedado, no entanto, atuar em atividades estranhas ao objeto social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”, como a venda de imóveis para pagar dívidas pecuniárias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37354">
        <w:rPr>
          <w:rFonts w:ascii="Times New Roman" w:hAnsi="Times New Roman" w:cs="Times New Roman"/>
          <w:sz w:val="24"/>
          <w:szCs w:val="24"/>
        </w:rPr>
        <w:t>, conforme previsto na Cláusula 10ª da 6ª Alteração Contratual;</w:t>
      </w:r>
    </w:p>
    <w:p w14:paraId="21D0F765" w14:textId="74680EE0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354">
        <w:rPr>
          <w:rFonts w:ascii="Times New Roman" w:hAnsi="Times New Roman" w:cs="Times New Roman"/>
          <w:sz w:val="24"/>
          <w:szCs w:val="24"/>
        </w:rPr>
        <w:t>O contrato social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” não tem como objeto a compra e venda de imóveis integrantes do ativo imobilizado, mas sim a venda de assessórios de conservação e manutenção de veículos, agropecuária com criação de bovinos para corte [Cláusula 5ª da 6ª Alteração Contratual];</w:t>
      </w:r>
    </w:p>
    <w:p w14:paraId="32722F85" w14:textId="3CE8215C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737354">
        <w:rPr>
          <w:rFonts w:ascii="Times New Roman" w:hAnsi="Times New Roman" w:cs="Times New Roman"/>
          <w:sz w:val="24"/>
          <w:szCs w:val="24"/>
        </w:rPr>
        <w:t>o vender os imóveis via escritura pública de dação em pagamento retro indicada, sem prévia avaliação ou conhecimento das autoras e dos demais sócios, transgrediu os poderes de administrador que lhe foram outorgados na 6ª Alteração Contratual e descumpriu a regra esculpida no art. 1.015 do Código Civil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373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07F40" w14:textId="1EC9E45C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lastRenderedPageBreak/>
        <w:t>Os atos de representação da sociedade pelo “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Administrador .../NOTIFICADO</w:t>
      </w:r>
      <w:r w:rsidRPr="00737354">
        <w:rPr>
          <w:rFonts w:ascii="Times New Roman" w:hAnsi="Times New Roman" w:cs="Times New Roman"/>
          <w:sz w:val="24"/>
          <w:szCs w:val="24"/>
        </w:rPr>
        <w:t>” hão de ser pautados de responsabilidade legal e ética. Entretanto a “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dação em pagamento</w:t>
      </w:r>
      <w:r w:rsidRPr="00737354">
        <w:rPr>
          <w:rFonts w:ascii="Times New Roman" w:hAnsi="Times New Roman" w:cs="Times New Roman"/>
          <w:sz w:val="24"/>
          <w:szCs w:val="24"/>
        </w:rPr>
        <w:t xml:space="preserve">” ora pontuada é ato ilegal, prejudicial à sociedade e aos demais sócios. E se levada a 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posteriori</w:t>
      </w:r>
      <w:r w:rsidRPr="00737354">
        <w:rPr>
          <w:rFonts w:ascii="Times New Roman" w:hAnsi="Times New Roman" w:cs="Times New Roman"/>
          <w:sz w:val="24"/>
          <w:szCs w:val="24"/>
        </w:rPr>
        <w:t xml:space="preserve"> para registro, seguramente o NOTIFICADO responderá com seus bens pessoais pela prática desta írrita conduta. </w:t>
      </w:r>
    </w:p>
    <w:p w14:paraId="5901688C" w14:textId="6F560978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737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737354">
        <w:rPr>
          <w:rFonts w:ascii="Times New Roman" w:hAnsi="Times New Roman" w:cs="Times New Roman"/>
          <w:sz w:val="24"/>
          <w:szCs w:val="24"/>
        </w:rPr>
        <w:t>, presta-se a presente NOTIFICAÇÃO EXTRAJUDICIAL para que o NOTIFICADO tome as seguintes providências:</w:t>
      </w:r>
    </w:p>
    <w:p w14:paraId="7F8FF369" w14:textId="39C6FC0B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54">
        <w:rPr>
          <w:rFonts w:ascii="Times New Roman" w:hAnsi="Times New Roman" w:cs="Times New Roman"/>
          <w:sz w:val="24"/>
          <w:szCs w:val="24"/>
        </w:rPr>
        <w:t xml:space="preserve">no prazo de 10 [dez] dias CANCELE A ESCRITURA PÚBLICA DE COMPRA E VENDA reportada na presente notificação judicial, sob pena de responder em demanda específica indenizatória pelo ato ilícito noticiado, identificando-se o quantum reparatório para condenação e pagamento; além da caracterização máxima da perda da </w:t>
      </w:r>
      <w:proofErr w:type="spellStart"/>
      <w:r w:rsidRPr="00737354">
        <w:rPr>
          <w:rFonts w:ascii="Times New Roman" w:hAnsi="Times New Roman" w:cs="Times New Roman"/>
          <w:i/>
          <w:iCs/>
          <w:sz w:val="24"/>
          <w:szCs w:val="24"/>
        </w:rPr>
        <w:t>affectio</w:t>
      </w:r>
      <w:proofErr w:type="spellEnd"/>
      <w:r w:rsidRPr="007373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7354">
        <w:rPr>
          <w:rFonts w:ascii="Times New Roman" w:hAnsi="Times New Roman" w:cs="Times New Roman"/>
          <w:i/>
          <w:iCs/>
          <w:sz w:val="24"/>
          <w:szCs w:val="24"/>
        </w:rPr>
        <w:t>societatis</w:t>
      </w:r>
      <w:proofErr w:type="spellEnd"/>
      <w:r w:rsidRPr="00737354">
        <w:rPr>
          <w:rFonts w:ascii="Times New Roman" w:hAnsi="Times New Roman" w:cs="Times New Roman"/>
          <w:sz w:val="24"/>
          <w:szCs w:val="24"/>
        </w:rPr>
        <w:t xml:space="preserve">. Não se </w:t>
      </w:r>
      <w:proofErr w:type="spellStart"/>
      <w:r w:rsidRPr="00737354">
        <w:rPr>
          <w:rFonts w:ascii="Times New Roman" w:hAnsi="Times New Roman" w:cs="Times New Roman"/>
          <w:sz w:val="24"/>
          <w:szCs w:val="24"/>
        </w:rPr>
        <w:t>desmemorando</w:t>
      </w:r>
      <w:proofErr w:type="spellEnd"/>
      <w:r w:rsidRPr="00737354">
        <w:rPr>
          <w:rFonts w:ascii="Times New Roman" w:hAnsi="Times New Roman" w:cs="Times New Roman"/>
          <w:sz w:val="24"/>
          <w:szCs w:val="24"/>
        </w:rPr>
        <w:t xml:space="preserve"> que a 6ª Alteração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” na qual foi o NOTIFICADO nomeado “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Administrador</w:t>
      </w:r>
      <w:r w:rsidRPr="00737354">
        <w:rPr>
          <w:rFonts w:ascii="Times New Roman" w:hAnsi="Times New Roman" w:cs="Times New Roman"/>
          <w:sz w:val="24"/>
          <w:szCs w:val="24"/>
        </w:rPr>
        <w:t xml:space="preserve">” se encontra </w:t>
      </w:r>
      <w:r w:rsidRPr="00737354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737354">
        <w:rPr>
          <w:rFonts w:ascii="Times New Roman" w:hAnsi="Times New Roman" w:cs="Times New Roman"/>
          <w:sz w:val="24"/>
          <w:szCs w:val="24"/>
        </w:rPr>
        <w:t>, declarada NULA em primeiro grau, pendente de julgamento apelação interposta pelo NOTIFICADO perante 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468ED6" w14:textId="56F116F0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54">
        <w:rPr>
          <w:rFonts w:ascii="Times New Roman" w:hAnsi="Times New Roman" w:cs="Times New Roman"/>
          <w:sz w:val="24"/>
          <w:szCs w:val="24"/>
        </w:rPr>
        <w:t>CANCELE [atos pretéritos] ou DEIXE DE FORMALIZAR QUALQUER OUTRO CONTRATO OU PACTO COM TERCEIROS [atos futuros] que envolvam a alienação de bens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7354">
        <w:rPr>
          <w:rFonts w:ascii="Times New Roman" w:hAnsi="Times New Roman" w:cs="Times New Roman"/>
          <w:sz w:val="24"/>
          <w:szCs w:val="24"/>
        </w:rPr>
        <w:t>” sob pena de ser responsável civilmente juntamente com quem lhe oriente ou participe de eventuais práticas de atos ilegais e prejudiciais à referida sociedade e por conseguinte aos demais sócios.</w:t>
      </w:r>
    </w:p>
    <w:p w14:paraId="1778C23A" w14:textId="536DDEAF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t>Cordialmente.</w:t>
      </w:r>
    </w:p>
    <w:p w14:paraId="64B3B203" w14:textId="3904BDAF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...</w:t>
      </w:r>
    </w:p>
    <w:p w14:paraId="5CC106BD" w14:textId="77777777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7354">
        <w:rPr>
          <w:rFonts w:ascii="Times New Roman" w:hAnsi="Times New Roman" w:cs="Times New Roman"/>
          <w:sz w:val="24"/>
          <w:szCs w:val="24"/>
        </w:rPr>
        <w:t>notificantes</w:t>
      </w:r>
    </w:p>
    <w:p w14:paraId="26CDC2C7" w14:textId="77777777" w:rsidR="00737354" w:rsidRPr="00737354" w:rsidRDefault="00737354" w:rsidP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9F8EA3C" w14:textId="77777777" w:rsidR="00737354" w:rsidRPr="00737354" w:rsidRDefault="0073735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37354" w:rsidRPr="00737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6C01" w14:textId="77777777" w:rsidR="00BD1FDF" w:rsidRDefault="00BD1FDF" w:rsidP="00737354">
      <w:pPr>
        <w:spacing w:after="0" w:line="240" w:lineRule="auto"/>
      </w:pPr>
      <w:r>
        <w:separator/>
      </w:r>
    </w:p>
  </w:endnote>
  <w:endnote w:type="continuationSeparator" w:id="0">
    <w:p w14:paraId="3FC35E68" w14:textId="77777777" w:rsidR="00BD1FDF" w:rsidRDefault="00BD1FDF" w:rsidP="007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4575" w14:textId="77777777" w:rsidR="00BD1FDF" w:rsidRDefault="00BD1FDF" w:rsidP="00737354">
      <w:pPr>
        <w:spacing w:after="0" w:line="240" w:lineRule="auto"/>
      </w:pPr>
      <w:r>
        <w:separator/>
      </w:r>
    </w:p>
  </w:footnote>
  <w:footnote w:type="continuationSeparator" w:id="0">
    <w:p w14:paraId="1549B84C" w14:textId="77777777" w:rsidR="00BD1FDF" w:rsidRDefault="00BD1FDF" w:rsidP="00737354">
      <w:pPr>
        <w:spacing w:after="0" w:line="240" w:lineRule="auto"/>
      </w:pPr>
      <w:r>
        <w:continuationSeparator/>
      </w:r>
    </w:p>
  </w:footnote>
  <w:footnote w:id="1">
    <w:p w14:paraId="5FD94845" w14:textId="28B7E39F" w:rsidR="00737354" w:rsidRPr="00D24C3B" w:rsidRDefault="00737354" w:rsidP="00D24C3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D24C3B">
        <w:rPr>
          <w:rStyle w:val="Refdenotaderodap"/>
          <w:rFonts w:ascii="Times New Roman" w:hAnsi="Times New Roman" w:cs="Times New Roman"/>
        </w:rPr>
        <w:footnoteRef/>
      </w:r>
      <w:r w:rsidRPr="00D24C3B">
        <w:rPr>
          <w:rFonts w:ascii="Times New Roman" w:hAnsi="Times New Roman" w:cs="Times New Roman"/>
        </w:rPr>
        <w:t xml:space="preserve"> “...Ocorre a dação em pagamento (ou do latim: ´</w:t>
      </w:r>
      <w:proofErr w:type="spellStart"/>
      <w:r w:rsidRPr="00D24C3B">
        <w:rPr>
          <w:rFonts w:ascii="Times New Roman" w:hAnsi="Times New Roman" w:cs="Times New Roman"/>
        </w:rPr>
        <w:t>datio</w:t>
      </w:r>
      <w:proofErr w:type="spellEnd"/>
      <w:r w:rsidRPr="00D24C3B">
        <w:rPr>
          <w:rFonts w:ascii="Times New Roman" w:hAnsi="Times New Roman" w:cs="Times New Roman"/>
        </w:rPr>
        <w:t xml:space="preserve"> in </w:t>
      </w:r>
      <w:proofErr w:type="spellStart"/>
      <w:r w:rsidRPr="00D24C3B">
        <w:rPr>
          <w:rFonts w:ascii="Times New Roman" w:hAnsi="Times New Roman" w:cs="Times New Roman"/>
        </w:rPr>
        <w:t>solutum</w:t>
      </w:r>
      <w:proofErr w:type="spellEnd"/>
      <w:r w:rsidRPr="00D24C3B">
        <w:rPr>
          <w:rFonts w:ascii="Times New Roman" w:hAnsi="Times New Roman" w:cs="Times New Roman"/>
        </w:rPr>
        <w:t>´) quando o credor aceita que o devedor dê fim à relação de obrigação entre eles pela substituição do objeto da prestação, ou seja, o devedor realiza o pagamento na forma de algo que não estava originalmente na obrigação estabelecida” [apud VENOSA, Silvio de Salvo, Direito Civil. Teoria Geral das Obrigações e Teoria Geral dos Contratos. São Paulo: Ed. Atlas, 11ª ed., p.286].</w:t>
      </w:r>
    </w:p>
  </w:footnote>
  <w:footnote w:id="2">
    <w:p w14:paraId="1D0B4ED5" w14:textId="1FA52D5C" w:rsidR="00737354" w:rsidRPr="00D24C3B" w:rsidRDefault="00737354" w:rsidP="00D24C3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D24C3B">
        <w:rPr>
          <w:rStyle w:val="Refdenotaderodap"/>
          <w:rFonts w:ascii="Times New Roman" w:hAnsi="Times New Roman" w:cs="Times New Roman"/>
        </w:rPr>
        <w:footnoteRef/>
      </w:r>
      <w:r w:rsidRPr="00D24C3B">
        <w:rPr>
          <w:rFonts w:ascii="Times New Roman" w:hAnsi="Times New Roman" w:cs="Times New Roman"/>
        </w:rPr>
        <w:t xml:space="preserve"> CC, art. 1.015.</w:t>
      </w:r>
      <w:r w:rsidRPr="00D24C3B">
        <w:rPr>
          <w:rFonts w:ascii="Times New Roman" w:hAnsi="Times New Roman" w:cs="Times New Roman"/>
        </w:rPr>
        <w:tab/>
        <w:t>No silêncio do contrato, os administradores podem praticar todos os atos pertinentes à gestão da sociedade; não constituindo objeto social, a oneração ou a venda de bens imóveis depende do que a maioria dos sócios decidir.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CB8"/>
    <w:multiLevelType w:val="hybridMultilevel"/>
    <w:tmpl w:val="41D85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4"/>
    <w:rsid w:val="00737354"/>
    <w:rsid w:val="00BD1FDF"/>
    <w:rsid w:val="00C8417D"/>
    <w:rsid w:val="00D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4F4D"/>
  <w15:chartTrackingRefBased/>
  <w15:docId w15:val="{72F3D47A-4E2F-41AB-867B-41F7E7F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735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373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373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7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A500-C80A-47D3-83CC-3E35EE7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2023-08-31T19:12:00Z</dcterms:created>
  <dcterms:modified xsi:type="dcterms:W3CDTF">2023-08-31T19:51:00Z</dcterms:modified>
</cp:coreProperties>
</file>