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98" w:rsidRPr="00DE5798" w:rsidRDefault="00DE5798" w:rsidP="00DE5798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DE5798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3B215E" w:rsidRDefault="003B215E" w:rsidP="00DE579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color w:val="auto"/>
          <w:sz w:val="24"/>
          <w:szCs w:val="24"/>
        </w:rPr>
        <w:t xml:space="preserve">INDENIZAÇÃO. </w:t>
      </w:r>
      <w:r w:rsidR="008E39C4" w:rsidRPr="00DE5798">
        <w:rPr>
          <w:rFonts w:ascii="Arial Black" w:hAnsi="Arial Black" w:cs="Times New Roman"/>
          <w:color w:val="auto"/>
          <w:sz w:val="24"/>
          <w:szCs w:val="24"/>
        </w:rPr>
        <w:t>LABORATÓRIO</w:t>
      </w:r>
      <w:r w:rsidR="00D3290E" w:rsidRPr="00DE5798">
        <w:rPr>
          <w:rFonts w:ascii="Arial Black" w:hAnsi="Arial Black" w:cs="Times New Roman"/>
          <w:color w:val="auto"/>
          <w:sz w:val="24"/>
          <w:szCs w:val="24"/>
        </w:rPr>
        <w:t>.</w:t>
      </w:r>
      <w:r w:rsidR="00D3290E" w:rsidRPr="00DE5798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8E39C4" w:rsidRPr="00DE5798">
        <w:rPr>
          <w:rFonts w:ascii="Arial Black" w:hAnsi="Arial Black" w:cs="Times New Roman"/>
          <w:sz w:val="24"/>
          <w:szCs w:val="24"/>
        </w:rPr>
        <w:t xml:space="preserve">ERRO NO RESULTADO. AIDS. </w:t>
      </w:r>
    </w:p>
    <w:p w:rsidR="008E39C4" w:rsidRDefault="00D3290E" w:rsidP="00DE579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DE5798">
        <w:rPr>
          <w:rFonts w:ascii="Arial Black" w:hAnsi="Arial Black" w:cs="Times New Roman"/>
          <w:sz w:val="24"/>
          <w:szCs w:val="24"/>
        </w:rPr>
        <w:t xml:space="preserve">DANO MORAL. </w:t>
      </w:r>
      <w:r w:rsidR="008E39C4" w:rsidRPr="00DE5798">
        <w:rPr>
          <w:rFonts w:ascii="Arial Black" w:hAnsi="Arial Black" w:cs="Times New Roman"/>
          <w:sz w:val="24"/>
          <w:szCs w:val="24"/>
        </w:rPr>
        <w:t>INICIAL</w:t>
      </w:r>
    </w:p>
    <w:p w:rsidR="00156DB1" w:rsidRDefault="00156DB1" w:rsidP="00156DB1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B924DB" w:rsidRDefault="00B924DB" w:rsidP="00DE5798">
      <w:pPr>
        <w:pStyle w:val="Texto"/>
        <w:spacing w:before="57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4DB" w:rsidRPr="00DE5798" w:rsidRDefault="00B924DB" w:rsidP="00DE5798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color="000000"/>
        </w:rPr>
      </w:pPr>
      <w:r w:rsidRPr="00B924DB">
        <w:rPr>
          <w:caps/>
          <w:color w:val="000000"/>
          <w:u w:val="single"/>
        </w:rPr>
        <w:t>Comentários</w:t>
      </w:r>
      <w:r w:rsidRPr="00B924DB">
        <w:rPr>
          <w:caps/>
          <w:color w:val="000000"/>
          <w:u w:color="000000"/>
        </w:rPr>
        <w:t>:</w:t>
      </w:r>
      <w:r w:rsidRPr="00B924DB">
        <w:rPr>
          <w:color w:val="000000"/>
        </w:rPr>
        <w:tab/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>- Expor os fatos com precisão, bem como os fundamentos jurídicos do pedido (CPC, art. 319, III)</w:t>
      </w:r>
      <w:r w:rsidRPr="00B924DB">
        <w:rPr>
          <w:color w:val="000000"/>
          <w:vertAlign w:val="superscript"/>
        </w:rPr>
        <w:footnoteReference w:id="1"/>
      </w:r>
      <w:r w:rsidRPr="00B924DB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B924DB" w:rsidRPr="001E37B9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>- Ainda na proemial juntar o máximo de documentos para dar calço às alegações.</w:t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  <w:spacing w:val="-4"/>
        </w:rPr>
        <w:t>- Pode-se cumular ou alternar o pedido, incluindo outros complementares ou alternativos, respectivamente.</w:t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>- Para calcular o valor da causa, observar o art. 292 do CPC</w:t>
      </w:r>
      <w:r w:rsidRPr="00B924DB">
        <w:rPr>
          <w:color w:val="000000"/>
          <w:vertAlign w:val="superscript"/>
        </w:rPr>
        <w:footnoteReference w:id="2"/>
      </w:r>
      <w:r w:rsidRPr="00B924DB">
        <w:rPr>
          <w:color w:val="000000"/>
        </w:rPr>
        <w:t>.</w:t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 xml:space="preserve">- O procedimento comum aplica-se a toas as causa quando não for previsto em lei como procedimento especial. </w:t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>- A petição inicial deve seguir as balizas mínimas do arts. 319 e 320 do CPC.</w:t>
      </w:r>
    </w:p>
    <w:p w:rsidR="00B924DB" w:rsidRPr="00B924DB" w:rsidRDefault="00B924DB" w:rsidP="00DE579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924DB">
        <w:rPr>
          <w:color w:val="000000"/>
        </w:rPr>
        <w:t>- Nos termos do inciso VII do art. 319 do CPC,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B924DB" w:rsidRDefault="00B924DB" w:rsidP="00DE5798">
      <w:pPr>
        <w:pStyle w:val="Texto"/>
        <w:spacing w:before="57"/>
        <w:ind w:right="-568"/>
        <w:rPr>
          <w:rFonts w:ascii="Times New Roman" w:hAnsi="Times New Roman" w:cs="Times New Roman"/>
          <w:sz w:val="24"/>
          <w:szCs w:val="24"/>
        </w:rPr>
      </w:pPr>
    </w:p>
    <w:p w:rsidR="001E37B9" w:rsidRDefault="001E37B9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(</w:t>
      </w:r>
      <w:r w:rsidR="00B924DB" w:rsidRPr="00E6752E">
        <w:rPr>
          <w:rFonts w:ascii="Times New Roman" w:hAnsi="Times New Roman" w:cs="Times New Roman"/>
          <w:sz w:val="24"/>
          <w:szCs w:val="24"/>
        </w:rPr>
        <w:t>(</w:t>
      </w:r>
      <w:r w:rsidR="00B924DB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B924DB">
        <w:rPr>
          <w:rFonts w:ascii="Times New Roman" w:hAnsi="Times New Roman" w:cs="Times New Roman"/>
          <w:sz w:val="24"/>
          <w:szCs w:val="24"/>
        </w:rPr>
        <w:t xml:space="preserve"> completa</w:t>
      </w:r>
      <w:r w:rsidR="00B924DB" w:rsidRPr="002603CA">
        <w:rPr>
          <w:rFonts w:ascii="Times New Roman" w:hAnsi="Times New Roman" w:cs="Times New Roman"/>
          <w:sz w:val="24"/>
          <w:szCs w:val="24"/>
        </w:rPr>
        <w:t>,</w:t>
      </w:r>
      <w:r w:rsidR="00B924DB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B924DB" w:rsidRPr="002603CA">
        <w:rPr>
          <w:rFonts w:ascii="Times New Roman" w:hAnsi="Times New Roman" w:cs="Times New Roman"/>
          <w:sz w:val="24"/>
          <w:szCs w:val="24"/>
        </w:rPr>
        <w:t xml:space="preserve"> residência)</w:t>
      </w:r>
      <w:r w:rsidR="00B924DB"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B924DB">
        <w:rPr>
          <w:rFonts w:ascii="Times New Roman" w:hAnsi="Times New Roman" w:cs="Times New Roman"/>
          <w:sz w:val="24"/>
          <w:szCs w:val="24"/>
        </w:rPr>
        <w:t xml:space="preserve">, </w:t>
      </w:r>
      <w:r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6E17A9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nos arts. 186 e 927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E17A9">
        <w:rPr>
          <w:rFonts w:ascii="Times New Roman" w:hAnsi="Times New Roman" w:cs="Times New Roman"/>
          <w:sz w:val="24"/>
          <w:szCs w:val="24"/>
        </w:rPr>
        <w:t xml:space="preserve"> do Código Civil e art. 5º, V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E17A9">
        <w:rPr>
          <w:rFonts w:ascii="Times New Roman" w:hAnsi="Times New Roman" w:cs="Times New Roman"/>
          <w:sz w:val="24"/>
          <w:szCs w:val="24"/>
        </w:rPr>
        <w:t xml:space="preserve">, da Constituição Federal, propor </w:t>
      </w:r>
      <w:r w:rsidRPr="006E17A9">
        <w:rPr>
          <w:rFonts w:ascii="Times New Roman" w:hAnsi="Times New Roman" w:cs="Times New Roman"/>
          <w:bCs/>
          <w:sz w:val="24"/>
          <w:szCs w:val="24"/>
        </w:rPr>
        <w:t>AÇÃO DE INDENIZAÇÃO POR DANO</w:t>
      </w:r>
      <w:r w:rsidR="0035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bCs/>
          <w:sz w:val="24"/>
          <w:szCs w:val="24"/>
        </w:rPr>
        <w:t>MORAL</w:t>
      </w:r>
      <w:r w:rsidRPr="006E17A9">
        <w:rPr>
          <w:rFonts w:ascii="Times New Roman" w:hAnsi="Times New Roman" w:cs="Times New Roman"/>
          <w:sz w:val="24"/>
          <w:szCs w:val="24"/>
        </w:rPr>
        <w:t xml:space="preserve"> contra (nome do laboratório, endereço e CNPJ), pelas razões de fato e direito adiante articuladas: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1. O autor em data de ...fez coleta de material (sangue) para exame do vírus HIV, que fora realizado pelo laboratório ora requerido. Esse exame fora solicitado porque o autor necessitava do mesmo para ...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Em data de ...quando foi buscar o resultado, o que tinha sido combinado pelas partes, fora surpreendido ao verificar que o resultado era positivo (doc. ...).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De se frisar a situação aflitiva que o autor fora tomado, pois que de surpresa fora informado de forma documental que estava com uma doença gravíssima, fatal, aliás, e que teria que se submeter a imediato tratamento para minimizar a situação de sua saúde.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O abalo sofrido pelo mesmo fora enorme, tendo de recorrer inclusive à ajuda de psiquiatra, além de ter divulgado esse resu</w:t>
      </w:r>
      <w:r w:rsidR="00B924DB">
        <w:rPr>
          <w:rFonts w:ascii="Times New Roman" w:hAnsi="Times New Roman" w:cs="Times New Roman"/>
          <w:sz w:val="24"/>
          <w:szCs w:val="24"/>
        </w:rPr>
        <w:t>ltado a seus amig</w:t>
      </w:r>
      <w:r w:rsidRPr="006E17A9">
        <w:rPr>
          <w:rFonts w:ascii="Times New Roman" w:hAnsi="Times New Roman" w:cs="Times New Roman"/>
          <w:sz w:val="24"/>
          <w:szCs w:val="24"/>
        </w:rPr>
        <w:t xml:space="preserve">os e familiares, em situação desesperadora.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5. Não obstante, após mais de um mês de tal situação, resolveu realizar o exame em outro laboratório, vindo a receber o resultado como NEGATIVO, o que fora repetido novamente em outro laboratório, para que fossem eliminadas as dúvidas (doc. n. ...).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Assim, a conduta do requerido fora ilícita, pois que realizou e divulgou de forma errônea um resultado de tamanha importância para a vida de seu cliente.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7. Flagrante sua responsabilidade na espécie, já se tendo decidido em sede jurisprudencial que: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RESPONSABILIDADE CIVIL. Laboratório de análises clínicas. HIV. Responsabilidade do laboratório que fornece laudo positivo de HIV, repetido e confirmado, ainda que com a ressalva de que poderia ser necessário exame complementar. Essa informação é importante e reduz a responsabilização do laboratório, mas não a exclui totalmente, visto que houve defeito no fornecimento do serviço, com exame repetido e confirmado, causa de sofrimento a que a paciente não estava obrigada. Além disso, o laboratório assumiu a obrigação de realizar exame com resultado veraz, o que não aconteceu, pois os realizados depois em outros laboratórios foram todos negativos. Recurso conhecido e provido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 (Ac. 4ª Turma do STJ, no REsp.  401.592 – DF, rel. Min. Ruy Rosado de Aguiar, j. 16.05.02, DJU 02.09.02, p. 197).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Sem sombra de dúvida que o requerido agiu de forma errônea, ocasionando grande prejuízo de ordem moral ao autor, que deverá ser indenizado pelos indiscutíveis prejuízos que sofreu, com constante tristeza, dor, aflição e desespero, notadamente em situação dessa natureza.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9. A reparação de qualquer ofensa à moral do indivíduo é um corolário a impossibilidade de se permitir que haja uma injusta agressão a esse importante bem, sem uma repulsa e uma correspondente indenização por tal ofensa.</w:t>
      </w:r>
    </w:p>
    <w:p w:rsidR="008E39C4" w:rsidRPr="006E17A9" w:rsidRDefault="008E39C4" w:rsidP="00DE5798">
      <w:pPr>
        <w:pStyle w:val="Noparagraphstyle"/>
        <w:suppressAutoHyphens/>
        <w:ind w:right="-568"/>
        <w:jc w:val="both"/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10. ROBERTO DE RUGGIERO, Instituição de Direito Civil, tradução da 6ª edição italiana com notas do Dr. Ary dos Santos, Ed. Saraiva, 1937, conceituou que 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basta a perturbação feita pelo ato ilícito nas relações psíquicas, na tranquilidade, nos sentimentos, nos afetos de uma pessoa, para produzir uma diminuição no gozo do respectivo direito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11. Sem dúvida “</w:t>
      </w:r>
      <w:r w:rsidR="00094110">
        <w:rPr>
          <w:rFonts w:ascii="Times New Roman" w:hAnsi="Times New Roman" w:cs="Times New Roman"/>
          <w:i/>
          <w:iCs/>
          <w:sz w:val="24"/>
          <w:szCs w:val="24"/>
        </w:rPr>
        <w:t xml:space="preserve">lós Dolores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morales, </w:t>
      </w:r>
      <w:r w:rsidR="00094110">
        <w:rPr>
          <w:rFonts w:ascii="Times New Roman" w:hAnsi="Times New Roman" w:cs="Times New Roman"/>
          <w:i/>
          <w:iCs/>
          <w:sz w:val="24"/>
          <w:szCs w:val="24"/>
        </w:rPr>
        <w:t xml:space="preserve">las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preocupaciones, </w:t>
      </w:r>
      <w:r w:rsidR="00094110">
        <w:rPr>
          <w:rFonts w:ascii="Times New Roman" w:hAnsi="Times New Roman" w:cs="Times New Roman"/>
          <w:i/>
          <w:iCs/>
          <w:sz w:val="24"/>
          <w:szCs w:val="24"/>
        </w:rPr>
        <w:t xml:space="preserve">las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aflicciones</w:t>
      </w:r>
      <w:r w:rsidR="00094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vaen</w:t>
      </w:r>
      <w:r w:rsidR="00094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indubitalvemente algo </w:t>
      </w:r>
      <w:r w:rsidR="00094110">
        <w:rPr>
          <w:rFonts w:ascii="Times New Roman" w:hAnsi="Times New Roman" w:cs="Times New Roman"/>
          <w:i/>
          <w:iCs/>
          <w:sz w:val="24"/>
          <w:szCs w:val="24"/>
        </w:rPr>
        <w:t xml:space="preserve">em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la vida del individuo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”, conforme disse Eugenio Florian. </w:t>
      </w: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924DB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12. </w:t>
      </w:r>
      <w:r w:rsidRPr="006E17A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B924DB">
        <w:rPr>
          <w:rFonts w:ascii="Times New Roman" w:hAnsi="Times New Roman" w:cs="Times New Roman"/>
          <w:sz w:val="24"/>
          <w:szCs w:val="24"/>
        </w:rPr>
        <w:t>o autor requer:</w:t>
      </w:r>
    </w:p>
    <w:p w:rsidR="00B924DB" w:rsidRDefault="00B924DB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924DB" w:rsidRPr="001E37B9" w:rsidRDefault="00B924DB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a</w:t>
      </w:r>
      <w:r w:rsidRPr="001E37B9">
        <w:rPr>
          <w:rFonts w:ascii="Times New Roman" w:hAnsi="Times New Roman" w:cs="Times New Roman"/>
          <w:sz w:val="24"/>
          <w:szCs w:val="24"/>
        </w:rPr>
        <w:t>) seja JULGADA PROCEDENTE A PRESENTE AÇÃO para condenar o laboratório réu na quantia de ... á título de danos morais causados ao autor, ou, não sendo este o entendimento de V.Exa., seja arbitrado a condenação em um valor considerável na reparação dos danos sofridos pelo autor e capaz de coibir novas condutas imorais pela ré</w:t>
      </w:r>
    </w:p>
    <w:p w:rsidR="007D075E" w:rsidRPr="001E37B9" w:rsidRDefault="007D075E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D075E" w:rsidRPr="001E37B9" w:rsidRDefault="007D075E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E37B9">
        <w:rPr>
          <w:rFonts w:ascii="Times New Roman" w:hAnsi="Times New Roman" w:cs="Times New Roman"/>
          <w:sz w:val="24"/>
          <w:szCs w:val="24"/>
        </w:rPr>
        <w:t>cumuladamente, seja condenada ao pagamento das custas processuais e honorários advocatícios;</w:t>
      </w:r>
    </w:p>
    <w:p w:rsidR="007D075E" w:rsidRPr="001E37B9" w:rsidRDefault="007D075E" w:rsidP="00DE5798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</w:p>
    <w:p w:rsidR="007D075E" w:rsidRPr="001E37B9" w:rsidRDefault="007D075E" w:rsidP="00DE579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1E37B9">
        <w:rPr>
          <w:color w:val="000000"/>
        </w:rPr>
        <w:t>b) seja citado o réu por mandado, para querendo, contestar no prazo de 15 (quinze) dias</w:t>
      </w:r>
      <w:r w:rsidRPr="001E37B9">
        <w:rPr>
          <w:color w:val="000000"/>
          <w:vertAlign w:val="superscript"/>
        </w:rPr>
        <w:footnoteReference w:id="6"/>
      </w:r>
      <w:r w:rsidRPr="001E37B9">
        <w:rPr>
          <w:color w:val="000000"/>
        </w:rPr>
        <w:t>, sob pena de revelia</w:t>
      </w:r>
      <w:r w:rsidRPr="001E37B9">
        <w:rPr>
          <w:color w:val="000000"/>
          <w:vertAlign w:val="superscript"/>
        </w:rPr>
        <w:footnoteReference w:id="7"/>
      </w:r>
      <w:r w:rsidRPr="001E37B9">
        <w:rPr>
          <w:color w:val="000000"/>
        </w:rPr>
        <w:t>;</w:t>
      </w:r>
    </w:p>
    <w:p w:rsidR="007D075E" w:rsidRPr="001E37B9" w:rsidRDefault="007D075E" w:rsidP="00DE579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7D075E" w:rsidRPr="001E37B9" w:rsidRDefault="007D075E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E37B9">
        <w:rPr>
          <w:rFonts w:ascii="Times New Roman" w:hAnsi="Times New Roman" w:cs="Times New Roman"/>
          <w:sz w:val="24"/>
          <w:szCs w:val="24"/>
        </w:rPr>
        <w:t xml:space="preserve">c) </w:t>
      </w:r>
      <w:r w:rsidRPr="001E37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1E37B9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1E37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1E37B9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8"/>
      </w:r>
      <w:r w:rsidRPr="001E37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conforme declaração de insuficiência e documentos ora anexados (doc. n. ...);</w:t>
      </w:r>
    </w:p>
    <w:p w:rsidR="007D075E" w:rsidRPr="001E37B9" w:rsidRDefault="007D075E" w:rsidP="00DE579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7D075E" w:rsidRPr="001E37B9" w:rsidRDefault="007D075E" w:rsidP="00DE579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1E37B9">
        <w:rPr>
          <w:color w:val="000000"/>
        </w:rPr>
        <w:t>d) a produção de provas documental, depoimento pessoal, testemunhal e pericial.</w:t>
      </w:r>
    </w:p>
    <w:p w:rsidR="007D075E" w:rsidRPr="001E37B9" w:rsidRDefault="007D075E" w:rsidP="00DE579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7D075E" w:rsidRPr="001E37B9" w:rsidRDefault="007D075E" w:rsidP="00DE579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1E37B9">
        <w:rPr>
          <w:color w:val="000000"/>
        </w:rPr>
        <w:t>Nesta oportunidade, os autores optam pela não realização da audiência de conciliação</w:t>
      </w:r>
      <w:r w:rsidRPr="001E37B9">
        <w:rPr>
          <w:color w:val="000000"/>
          <w:vertAlign w:val="superscript"/>
        </w:rPr>
        <w:footnoteReference w:id="9"/>
      </w:r>
      <w:r w:rsidRPr="001E37B9">
        <w:rPr>
          <w:color w:val="000000"/>
        </w:rPr>
        <w:t>.</w:t>
      </w:r>
    </w:p>
    <w:p w:rsidR="007D075E" w:rsidRPr="002603CA" w:rsidRDefault="007D075E" w:rsidP="00DE579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8E39C4" w:rsidRPr="006E17A9" w:rsidRDefault="008E39C4" w:rsidP="00DE579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8E39C4" w:rsidRPr="006E17A9" w:rsidRDefault="008E39C4" w:rsidP="00DE579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8E39C4" w:rsidRPr="006E17A9" w:rsidRDefault="008E39C4" w:rsidP="00DE5798">
      <w:pPr>
        <w:ind w:right="-568"/>
        <w:jc w:val="center"/>
      </w:pPr>
      <w:r w:rsidRPr="006E17A9">
        <w:t>P. Deferimento.</w:t>
      </w:r>
    </w:p>
    <w:p w:rsidR="008E39C4" w:rsidRPr="006E17A9" w:rsidRDefault="008E39C4" w:rsidP="00DE5798">
      <w:pPr>
        <w:ind w:right="-568"/>
        <w:jc w:val="center"/>
      </w:pPr>
      <w:r w:rsidRPr="006E17A9">
        <w:t>(Local e data)</w:t>
      </w:r>
    </w:p>
    <w:p w:rsidR="008E39C4" w:rsidRPr="006E17A9" w:rsidRDefault="008E39C4" w:rsidP="00DE5798">
      <w:pPr>
        <w:ind w:right="-568"/>
        <w:jc w:val="center"/>
      </w:pPr>
      <w:r w:rsidRPr="006E17A9">
        <w:t>(Assinatura e OAB do Advogado)</w:t>
      </w:r>
    </w:p>
    <w:p w:rsidR="009F5315" w:rsidRDefault="009F5315" w:rsidP="00DE5798">
      <w:pPr>
        <w:ind w:right="-568"/>
      </w:pPr>
    </w:p>
    <w:sectPr w:rsidR="009F5315" w:rsidSect="00A55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01" w:rsidRDefault="005A0901" w:rsidP="008E39C4">
      <w:r>
        <w:separator/>
      </w:r>
    </w:p>
  </w:endnote>
  <w:endnote w:type="continuationSeparator" w:id="0">
    <w:p w:rsidR="005A0901" w:rsidRDefault="005A0901" w:rsidP="008E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01" w:rsidRDefault="005A0901" w:rsidP="008E39C4">
      <w:r>
        <w:separator/>
      </w:r>
    </w:p>
  </w:footnote>
  <w:footnote w:type="continuationSeparator" w:id="0">
    <w:p w:rsidR="005A0901" w:rsidRDefault="005A0901" w:rsidP="008E39C4">
      <w:r>
        <w:continuationSeparator/>
      </w:r>
    </w:p>
  </w:footnote>
  <w:footnote w:id="1">
    <w:p w:rsidR="00B924DB" w:rsidRPr="00416336" w:rsidRDefault="00B924DB" w:rsidP="00DE5798">
      <w:pPr>
        <w:pStyle w:val="Textodenotaderodap"/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DE5798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DE5798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DE5798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DE5798">
        <w:t xml:space="preserve"> </w:t>
      </w:r>
      <w:r w:rsidRPr="00416336">
        <w:rPr>
          <w:b/>
        </w:rPr>
        <w:t>V</w:t>
      </w:r>
      <w:r w:rsidRPr="00416336">
        <w:t xml:space="preserve"> - o valor da causa;</w:t>
      </w:r>
      <w:bookmarkStart w:id="6" w:name="art319vi"/>
      <w:bookmarkEnd w:id="6"/>
      <w:r w:rsidR="00DE5798">
        <w:t xml:space="preserve"> </w:t>
      </w:r>
      <w:r w:rsidRPr="00416336">
        <w:rPr>
          <w:b/>
        </w:rPr>
        <w:t xml:space="preserve">VI </w:t>
      </w:r>
      <w:r w:rsidRPr="00416336">
        <w:t>- as provas com que o autor pretende demonstrar a verdade dos fatos alegados;</w:t>
      </w:r>
      <w:bookmarkStart w:id="7" w:name="art319vii"/>
      <w:bookmarkEnd w:id="7"/>
      <w:r w:rsidR="00DE5798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:rsidR="00B924DB" w:rsidRPr="004C7863" w:rsidRDefault="00B924DB" w:rsidP="00DE5798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DE579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DE579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DE579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DE579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DE579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DE5798">
        <w:rPr>
          <w:bCs/>
          <w:sz w:val="20"/>
          <w:szCs w:val="20"/>
        </w:rPr>
        <w:t xml:space="preserve"> </w:t>
      </w:r>
      <w:r w:rsidRPr="00DE5798">
        <w:rPr>
          <w:b/>
          <w:bCs/>
          <w:sz w:val="20"/>
          <w:szCs w:val="20"/>
        </w:rPr>
        <w:t xml:space="preserve">VI </w:t>
      </w:r>
      <w:r w:rsidRPr="001D4E37">
        <w:rPr>
          <w:bCs/>
          <w:sz w:val="20"/>
          <w:szCs w:val="20"/>
        </w:rPr>
        <w:t>- na ação em que há cumulação de pedidos, a quantia correspondente à soma dos valores de todos eles;</w:t>
      </w:r>
      <w:bookmarkStart w:id="17" w:name="art292vii"/>
      <w:bookmarkEnd w:id="17"/>
      <w:r w:rsidR="00DE579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DE579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B924DB" w:rsidRPr="002603CA" w:rsidRDefault="00B924DB" w:rsidP="00DE5798">
      <w:pPr>
        <w:pStyle w:val="Textodenotaderodap"/>
        <w:ind w:right="-568"/>
        <w:jc w:val="both"/>
      </w:pPr>
      <w:r w:rsidRPr="002603CA">
        <w:rPr>
          <w:rStyle w:val="Refdenotaderodap"/>
        </w:rPr>
        <w:footnoteRef/>
      </w:r>
      <w:r w:rsidRPr="002603CA">
        <w:t xml:space="preserve"> A qualificação do autor na inicial é regida pelo art. 319 do CPC. A individualização das partes é necessária para bem identificar o sujeito que almeja a prestação jurisdicional. Todavia, se não for possível a qualificação completa na forma legal, suficiente serão os dados fornecidos que tenham o condão de identificar o indivíduo. A propósito, </w:t>
      </w:r>
      <w:r w:rsidRPr="002603CA">
        <w:rPr>
          <w:i/>
        </w:rPr>
        <w:t>residência</w:t>
      </w:r>
      <w:r w:rsidRPr="002603CA">
        <w:t xml:space="preserve"> é o local onde a pessoa mora com o intuito permanente, que pode coincidir com o domicílio legal. Diferente das moradas provisórias, como os casos de hotéis ou aquelas temporadas de um amigo ou um parente. Exigi-se o intuito de permanência. Já o </w:t>
      </w:r>
      <w:r w:rsidRPr="002603CA">
        <w:rPr>
          <w:i/>
        </w:rPr>
        <w:t>domicílio</w:t>
      </w:r>
      <w:r w:rsidRPr="002603CA">
        <w:t xml:space="preserve">, conforme a definição dos arts. 70 </w:t>
      </w:r>
      <w:r w:rsidRPr="002603CA">
        <w:rPr>
          <w:i/>
        </w:rPr>
        <w:t xml:space="preserve">usque </w:t>
      </w:r>
      <w:r w:rsidRPr="002603CA">
        <w:t xml:space="preserve">78, para pessoas físicas ou jurídicas, é conceituado como o local onde a pessoa estabelece sua residência definitiva, ou local onde exerce suas atividades profissionais. Uma pessoa pode ter vários domicílios. </w:t>
      </w:r>
    </w:p>
  </w:footnote>
  <w:footnote w:id="4">
    <w:p w:rsidR="008E39C4" w:rsidRPr="006E17A9" w:rsidRDefault="008E39C4" w:rsidP="00DE579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186.</w:t>
      </w:r>
      <w:r w:rsidRPr="006E17A9">
        <w:rPr>
          <w:sz w:val="20"/>
          <w:szCs w:val="20"/>
        </w:rPr>
        <w:t xml:space="preserve"> Aquele que, por ação ou omissão voluntária, negligência ou imprudência, violar direito e causar dano a outrem, ainda que exclusivamente moral, comete ato ilícito. </w:t>
      </w:r>
    </w:p>
    <w:p w:rsidR="008E39C4" w:rsidRPr="006E17A9" w:rsidRDefault="008E39C4" w:rsidP="00DE579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927.</w:t>
      </w:r>
      <w:r w:rsidRPr="006E17A9">
        <w:rPr>
          <w:sz w:val="20"/>
          <w:szCs w:val="20"/>
        </w:rPr>
        <w:t xml:space="preserve"> Aquele que, por ato ilícito (arts. 186 e 187), causar dano a outrem, fica obrigado a repará-lo.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 xml:space="preserve">. Haverá obrigação de reparar o dano, independentemente de culpa, nos casos especificados em lei, ou quando a atividade normalmente desenvolvida pelo autor do dano implicar, por sua natureza, risco para os direitos de outrem. </w:t>
      </w:r>
    </w:p>
  </w:footnote>
  <w:footnote w:id="5">
    <w:p w:rsidR="008E39C4" w:rsidRPr="006E17A9" w:rsidRDefault="008E39C4" w:rsidP="00DE579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5º </w:t>
      </w:r>
      <w:r w:rsidRPr="006E17A9">
        <w:rPr>
          <w:sz w:val="20"/>
          <w:szCs w:val="20"/>
        </w:rPr>
        <w:t xml:space="preserve">Todos são iguais perante a lei, sem distinção de qualquer natureza, garantindo-se aos brasileiros e aos estrangeiros residentes no País a inviolabilidade do direito à vida, à liberdade, à igualdade, à segurança e à propriedade, nos termos seguintes: (...) </w:t>
      </w:r>
      <w:r w:rsidRPr="006E17A9">
        <w:rPr>
          <w:b/>
          <w:sz w:val="20"/>
          <w:szCs w:val="20"/>
        </w:rPr>
        <w:t>V</w:t>
      </w:r>
      <w:r w:rsidRPr="006E17A9">
        <w:rPr>
          <w:b/>
          <w:bCs/>
          <w:sz w:val="20"/>
          <w:szCs w:val="20"/>
        </w:rPr>
        <w:t xml:space="preserve"> – </w:t>
      </w:r>
      <w:r w:rsidRPr="006E17A9">
        <w:rPr>
          <w:sz w:val="20"/>
          <w:szCs w:val="20"/>
        </w:rPr>
        <w:t>é assegurado o direito de resposta, proporcional ao agravo, além da indenização por dano material, moral ou à imagem. (...)</w:t>
      </w:r>
    </w:p>
    <w:p w:rsidR="008E39C4" w:rsidRPr="006E17A9" w:rsidRDefault="008E39C4" w:rsidP="00DE579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6">
    <w:p w:rsidR="007D075E" w:rsidRPr="004543A0" w:rsidRDefault="007D075E" w:rsidP="00DE5798">
      <w:pPr>
        <w:pStyle w:val="Textodenotaderodap"/>
        <w:ind w:right="-568"/>
        <w:jc w:val="both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r>
        <w:rPr>
          <w:b/>
          <w:lang w:val="en-US"/>
        </w:rPr>
        <w:t xml:space="preserve">CPC, art. 335, </w:t>
      </w:r>
      <w:r>
        <w:rPr>
          <w:b/>
          <w:i/>
          <w:lang w:val="en-US"/>
        </w:rPr>
        <w:t>caput</w:t>
      </w:r>
      <w:r>
        <w:rPr>
          <w:b/>
          <w:lang w:val="en-US"/>
        </w:rPr>
        <w:t xml:space="preserve"> c.c. art. 231, II</w:t>
      </w:r>
      <w:r>
        <w:rPr>
          <w:lang w:val="en-US"/>
        </w:rPr>
        <w:t>.</w:t>
      </w:r>
    </w:p>
  </w:footnote>
  <w:footnote w:id="7">
    <w:p w:rsidR="007D075E" w:rsidRPr="008D0AE0" w:rsidRDefault="007D075E" w:rsidP="00DE5798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344</w:t>
      </w:r>
      <w:r w:rsidRPr="008D0AE0">
        <w:t>.</w:t>
      </w:r>
    </w:p>
  </w:footnote>
  <w:footnote w:id="8">
    <w:p w:rsidR="007D075E" w:rsidRPr="00E576A6" w:rsidRDefault="007D075E" w:rsidP="00DE5798">
      <w:pPr>
        <w:pStyle w:val="Textodenotaderodap"/>
        <w:ind w:right="-568"/>
        <w:jc w:val="both"/>
      </w:pPr>
      <w:r w:rsidRPr="00E576A6">
        <w:rPr>
          <w:rStyle w:val="Refdenotaderodap"/>
        </w:rPr>
        <w:footnoteRef/>
      </w:r>
      <w:r w:rsidRPr="00E576A6">
        <w:t xml:space="preserve"> </w:t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7D075E" w:rsidRPr="0011143C" w:rsidRDefault="007D075E" w:rsidP="00DE5798">
      <w:pPr>
        <w:pStyle w:val="Textodenotaderodap"/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9">
    <w:p w:rsidR="007D075E" w:rsidRPr="008D0AE0" w:rsidRDefault="007D075E" w:rsidP="00DE5798">
      <w:pPr>
        <w:pStyle w:val="Textodenotaderodap"/>
        <w:ind w:right="-568"/>
        <w:jc w:val="both"/>
        <w:rPr>
          <w:b/>
        </w:rPr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319, VII</w:t>
      </w:r>
      <w:r w:rsidRPr="008D0AE0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9C4"/>
    <w:rsid w:val="000214F4"/>
    <w:rsid w:val="00094110"/>
    <w:rsid w:val="00094BD1"/>
    <w:rsid w:val="00156DB1"/>
    <w:rsid w:val="00157669"/>
    <w:rsid w:val="001E37B9"/>
    <w:rsid w:val="00282353"/>
    <w:rsid w:val="0035730C"/>
    <w:rsid w:val="003B215E"/>
    <w:rsid w:val="00435E2B"/>
    <w:rsid w:val="005A0901"/>
    <w:rsid w:val="006824B5"/>
    <w:rsid w:val="007501BB"/>
    <w:rsid w:val="007A58CE"/>
    <w:rsid w:val="007D075E"/>
    <w:rsid w:val="00850EC0"/>
    <w:rsid w:val="008E39C4"/>
    <w:rsid w:val="0096367B"/>
    <w:rsid w:val="009F5315"/>
    <w:rsid w:val="00A07D58"/>
    <w:rsid w:val="00A55255"/>
    <w:rsid w:val="00B924DB"/>
    <w:rsid w:val="00C56B6F"/>
    <w:rsid w:val="00D3290E"/>
    <w:rsid w:val="00DB0EF7"/>
    <w:rsid w:val="00DE5798"/>
    <w:rsid w:val="00E01CA3"/>
    <w:rsid w:val="00EB5BAB"/>
    <w:rsid w:val="00FE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E39C4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E39C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E39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E39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9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8E39C4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8E39C4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924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9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B924DB"/>
    <w:rPr>
      <w:vertAlign w:val="superscript"/>
    </w:rPr>
  </w:style>
  <w:style w:type="character" w:styleId="Forte">
    <w:name w:val="Strong"/>
    <w:uiPriority w:val="22"/>
    <w:qFormat/>
    <w:rsid w:val="00156DB1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E39C4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E39C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E39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E39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9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8E39C4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8E39C4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924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9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B924DB"/>
    <w:rPr>
      <w:vertAlign w:val="superscript"/>
    </w:rPr>
  </w:style>
  <w:style w:type="character" w:styleId="Forte">
    <w:name w:val="Strong"/>
    <w:uiPriority w:val="22"/>
    <w:qFormat/>
    <w:rsid w:val="00156DB1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2020-06-30T17:12:00Z</dcterms:created>
  <dcterms:modified xsi:type="dcterms:W3CDTF">2020-08-24T15:24:00Z</dcterms:modified>
</cp:coreProperties>
</file>