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B" w:rsidRPr="000F151B" w:rsidRDefault="000F151B" w:rsidP="000F151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0F151B">
        <w:rPr>
          <w:rFonts w:ascii="Arial Black" w:hAnsi="Arial Black" w:cs="Times New Roman"/>
          <w:sz w:val="24"/>
          <w:szCs w:val="24"/>
        </w:rPr>
        <w:t>MODELO DE PETIÇÃO</w:t>
      </w:r>
    </w:p>
    <w:p w:rsidR="00893A9B" w:rsidRDefault="001F372F" w:rsidP="000F151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INDENIZAÇÃO. </w:t>
      </w:r>
      <w:r w:rsidR="00893A9B" w:rsidRPr="000F151B">
        <w:rPr>
          <w:rFonts w:ascii="Arial Black" w:hAnsi="Arial Black" w:cs="Times New Roman"/>
          <w:sz w:val="24"/>
          <w:szCs w:val="24"/>
        </w:rPr>
        <w:t>INJÚRIA, DIFAMAÇÃO E CALÚNIA</w:t>
      </w:r>
      <w:r w:rsidR="00001795" w:rsidRPr="000F151B">
        <w:rPr>
          <w:rFonts w:ascii="Arial Black" w:hAnsi="Arial Black" w:cs="Times New Roman"/>
          <w:sz w:val="24"/>
          <w:szCs w:val="24"/>
        </w:rPr>
        <w:t>. DANO MORAL. INICIAL</w:t>
      </w:r>
    </w:p>
    <w:p w:rsidR="009B58E7" w:rsidRPr="009B58E7" w:rsidRDefault="009B58E7" w:rsidP="009B58E7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F5EC9" w:rsidRPr="000F151B" w:rsidRDefault="00893A9B" w:rsidP="000F151B">
      <w:pPr>
        <w:pStyle w:val="Texto"/>
        <w:ind w:right="-568"/>
        <w:rPr>
          <w:rStyle w:val="Forte"/>
          <w:rFonts w:ascii="Times New Roman" w:hAnsi="Times New Roman"/>
          <w:b w:val="0"/>
          <w:bCs w:val="0"/>
          <w:caps/>
          <w:sz w:val="24"/>
          <w:szCs w:val="24"/>
          <w:u w:color="000000"/>
        </w:rPr>
      </w:pPr>
      <w:r w:rsidRPr="002F5EC9">
        <w:rPr>
          <w:rStyle w:val="Forte"/>
          <w:rFonts w:ascii="Times New Roman" w:hAnsi="Times New Roman"/>
          <w:b w:val="0"/>
          <w:bCs w:val="0"/>
          <w:caps/>
          <w:sz w:val="24"/>
          <w:szCs w:val="24"/>
          <w:u w:val="single" w:color="000000"/>
        </w:rPr>
        <w:t>Comentários</w:t>
      </w:r>
      <w:r w:rsidR="002F5EC9">
        <w:rPr>
          <w:rStyle w:val="Forte"/>
          <w:rFonts w:ascii="Times New Roman" w:hAnsi="Times New Roman"/>
          <w:b w:val="0"/>
          <w:bCs w:val="0"/>
          <w:caps/>
          <w:sz w:val="24"/>
          <w:szCs w:val="24"/>
          <w:u w:color="000000"/>
        </w:rPr>
        <w:t>: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Style w:val="Forte"/>
          <w:rFonts w:ascii="Times New Roman" w:hAnsi="Times New Roman"/>
          <w:b w:val="0"/>
          <w:bCs w:val="0"/>
          <w:sz w:val="24"/>
          <w:szCs w:val="24"/>
        </w:rPr>
        <w:t>- O valor da causa</w:t>
      </w:r>
      <w:r w:rsidR="00EF7B6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 xml:space="preserve">correspondente ao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6E17A9">
        <w:rPr>
          <w:rFonts w:ascii="Times New Roman" w:hAnsi="Times New Roman" w:cs="Times New Roman"/>
          <w:sz w:val="24"/>
          <w:szCs w:val="24"/>
        </w:rPr>
        <w:t xml:space="preserve"> objeto do pedido de condenação.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Há a necessidade de expor os fatos de maneira concatenada, evidenciando o nexo causal entre a atitude do ofensor-réu com a honra do ofendido-autor.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6E17A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6E17A9">
        <w:rPr>
          <w:rFonts w:ascii="Times New Roman" w:hAnsi="Times New Roman" w:cs="Times New Roman"/>
          <w:spacing w:val="6"/>
          <w:sz w:val="24"/>
          <w:szCs w:val="24"/>
        </w:rPr>
        <w:t xml:space="preserve"> O Código Civil estabelece no art. 953 a indenização por injúria e calúnia, acrescendo a difamação.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Injúria: é a ofensa irrogada à dignidade ou ao decoro de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outrem</w:t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Calúnia: é a falsa imputação feita a alguém de fato definido como crime pela lei.</w:t>
      </w:r>
    </w:p>
    <w:p w:rsidR="00893A9B" w:rsidRPr="006E17A9" w:rsidRDefault="00893A9B" w:rsidP="000F151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Difamação: imputar um fato concreto e circunstanciado, ofensivo à reputação, conquanto não definido como crime.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F5EC9" w:rsidRDefault="002F5EC9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93A9B" w:rsidRPr="006E17A9" w:rsidRDefault="002E4A6A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residência)</w:t>
      </w:r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893A9B" w:rsidRPr="006E17A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893A9B" w:rsidRPr="006E17A9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com fulcro no art. 953 do Código Civil</w:t>
      </w:r>
      <w:r w:rsidR="00893A9B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e art. 5º, inciso X, da CF</w:t>
      </w:r>
      <w:r w:rsidR="00893A9B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propor a presente </w:t>
      </w:r>
      <w:r w:rsidR="00893A9B" w:rsidRPr="006E17A9">
        <w:rPr>
          <w:rFonts w:ascii="Times New Roman" w:hAnsi="Times New Roman" w:cs="Times New Roman"/>
          <w:bCs/>
          <w:sz w:val="24"/>
          <w:szCs w:val="24"/>
        </w:rPr>
        <w:t>AÇÃO DE REPARAÇÃO POR DANO MORAL</w:t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contra (nome,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="00893A9B" w:rsidRPr="006E17A9">
        <w:rPr>
          <w:rFonts w:ascii="Times New Roman" w:hAnsi="Times New Roman" w:cs="Times New Roman"/>
          <w:sz w:val="24"/>
          <w:szCs w:val="24"/>
        </w:rPr>
        <w:t xml:space="preserve"> e endereço), mediante as razões de fato e direito adiante articuladas:</w:t>
      </w:r>
    </w:p>
    <w:p w:rsidR="00893A9B" w:rsidRPr="006E17A9" w:rsidRDefault="00893A9B" w:rsidP="000F151B">
      <w:pPr>
        <w:pStyle w:val="Noparagraphstyle"/>
        <w:suppressAutoHyphens/>
        <w:ind w:right="-568"/>
      </w:pPr>
    </w:p>
    <w:p w:rsidR="00893A9B" w:rsidRPr="006E17A9" w:rsidRDefault="00893A9B" w:rsidP="000F151B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OS FATOS</w:t>
      </w:r>
    </w:p>
    <w:p w:rsidR="00893A9B" w:rsidRPr="006E17A9" w:rsidRDefault="00893A9B" w:rsidP="000F151B">
      <w:pPr>
        <w:pStyle w:val="Noparagraphstyle"/>
        <w:suppressAutoHyphens/>
        <w:ind w:right="-568"/>
        <w:jc w:val="both"/>
      </w:pP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Nos termos 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6E17A9">
        <w:rPr>
          <w:rFonts w:ascii="Times New Roman" w:hAnsi="Times New Roman" w:cs="Times New Roman"/>
          <w:sz w:val="24"/>
          <w:szCs w:val="24"/>
        </w:rPr>
        <w:t xml:space="preserve">do art. 953 do Código Civil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“a indenização por injúria ou calúnia consistirá na reparação do dano que dela resulte ao ofendido”.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2. O STJ, em recente acórdão proferido no REsp.123.305-ES, relatoria do Eminente Ministro Ruy Rosado de Aguiar, decidiu: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DANO MORAL – INDENIZAÇÃO – O artigo 1.547, parágrafo único, do C. Civil, embora não seja indicativo de valor certo nem de teto para a estimação da indenização do dano </w:t>
      </w:r>
      <w:r w:rsidRPr="006E17A9">
        <w:rPr>
          <w:rFonts w:ascii="Times New Roman" w:hAnsi="Times New Roman" w:cs="Times New Roman"/>
          <w:i/>
          <w:sz w:val="24"/>
          <w:szCs w:val="24"/>
        </w:rPr>
        <w:lastRenderedPageBreak/>
        <w:t>moral, serve de parâmetro, juntamente com outras disposições legais, para o arbitramento judicial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>3. A injúria e a difamação acometida sobre a honorabilidade do autor, em virtude das expressões injuriosas e inverídicas do réu na rádio local, taxando-o de mal pagador, atingiu em cheio à sua moral, vez que se trata de um cidadão, pai e amigo exemplar, sempre pontual e em dia com suas obrigações.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>, o autor requer:</w:t>
      </w:r>
    </w:p>
    <w:p w:rsidR="00893A9B" w:rsidRPr="006E17A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93A9B" w:rsidRPr="002F5EC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F5EC9">
        <w:rPr>
          <w:rFonts w:ascii="Times New Roman" w:hAnsi="Times New Roman" w:cs="Times New Roman"/>
          <w:sz w:val="24"/>
          <w:szCs w:val="24"/>
        </w:rPr>
        <w:t>a) seja JULGADA PROCEDENTE A AÇÃO para condenar o réu para pagar-lhe a título de reparação por dano moral, com base no art. 953 do Código Civil c.c. art. 5</w:t>
      </w:r>
      <w:r w:rsidRPr="002F5EC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F5EC9">
        <w:rPr>
          <w:rFonts w:ascii="Times New Roman" w:hAnsi="Times New Roman" w:cs="Times New Roman"/>
          <w:sz w:val="24"/>
          <w:szCs w:val="24"/>
        </w:rPr>
        <w:t>, inciso X, da CF, no valor equivalente a 200 (duzentos) salários mínimos, corrigidos desde a data do ilícito;</w:t>
      </w:r>
    </w:p>
    <w:p w:rsidR="00893A9B" w:rsidRPr="002F5EC9" w:rsidRDefault="00893A9B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E4A6A" w:rsidRPr="002F5EC9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F5EC9">
        <w:rPr>
          <w:color w:val="000000"/>
        </w:rPr>
        <w:t>b) seja citado o réu por mandado, para querendo, contestar no prazo de 15 (quinze) dias</w:t>
      </w:r>
      <w:r w:rsidRPr="002F5EC9">
        <w:rPr>
          <w:color w:val="000000"/>
          <w:vertAlign w:val="superscript"/>
        </w:rPr>
        <w:footnoteReference w:id="4"/>
      </w:r>
      <w:r w:rsidRPr="002F5EC9">
        <w:rPr>
          <w:color w:val="000000"/>
        </w:rPr>
        <w:t>, sob pena de revelia</w:t>
      </w:r>
      <w:r w:rsidRPr="002F5EC9">
        <w:rPr>
          <w:color w:val="000000"/>
          <w:vertAlign w:val="superscript"/>
        </w:rPr>
        <w:footnoteReference w:id="5"/>
      </w:r>
      <w:r w:rsidRPr="002F5EC9">
        <w:rPr>
          <w:color w:val="000000"/>
        </w:rPr>
        <w:t>;</w:t>
      </w:r>
    </w:p>
    <w:p w:rsidR="002E4A6A" w:rsidRPr="002F5EC9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2E4A6A" w:rsidRPr="002F5EC9" w:rsidRDefault="002E4A6A" w:rsidP="000F151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F5EC9">
        <w:rPr>
          <w:rFonts w:ascii="Times New Roman" w:hAnsi="Times New Roman" w:cs="Times New Roman"/>
          <w:sz w:val="24"/>
          <w:szCs w:val="24"/>
        </w:rPr>
        <w:t xml:space="preserve">c) </w:t>
      </w:r>
      <w:r w:rsidRPr="002F5EC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2F5EC9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2F5EC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2F5EC9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6"/>
      </w:r>
      <w:r w:rsidRPr="002F5EC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2E4A6A" w:rsidRPr="002F5EC9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2E4A6A" w:rsidRPr="002603CA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F5EC9">
        <w:rPr>
          <w:color w:val="000000"/>
        </w:rPr>
        <w:t>d) a produção</w:t>
      </w:r>
      <w:r w:rsidRPr="002603CA">
        <w:rPr>
          <w:color w:val="000000"/>
        </w:rPr>
        <w:t xml:space="preserve"> de provas documental, depoimento pessoal, testemunhal e pericial.</w:t>
      </w:r>
    </w:p>
    <w:p w:rsidR="002E4A6A" w:rsidRPr="002603CA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2E4A6A" w:rsidRPr="002603CA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2F5EC9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.</w:t>
      </w:r>
    </w:p>
    <w:p w:rsidR="002E4A6A" w:rsidRPr="002603CA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2E4A6A" w:rsidRPr="002603CA" w:rsidRDefault="002E4A6A" w:rsidP="000F151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Valor da causa: R$ ... (...)</w:t>
      </w:r>
    </w:p>
    <w:p w:rsidR="002E4A6A" w:rsidRPr="002603CA" w:rsidRDefault="002E4A6A" w:rsidP="000F151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2E4A6A" w:rsidRPr="002603CA" w:rsidRDefault="002E4A6A" w:rsidP="000F151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2E4A6A" w:rsidRPr="002603CA" w:rsidRDefault="002E4A6A" w:rsidP="000F151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2E4A6A" w:rsidRPr="002603CA" w:rsidRDefault="002E4A6A" w:rsidP="000F151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0F151B">
      <w:pPr>
        <w:ind w:right="-568"/>
      </w:pPr>
    </w:p>
    <w:sectPr w:rsidR="009F5315" w:rsidSect="00760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29" w:rsidRDefault="008A6829" w:rsidP="00893A9B">
      <w:r>
        <w:separator/>
      </w:r>
    </w:p>
  </w:endnote>
  <w:endnote w:type="continuationSeparator" w:id="0">
    <w:p w:rsidR="008A6829" w:rsidRDefault="008A6829" w:rsidP="008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29" w:rsidRDefault="008A6829" w:rsidP="00893A9B">
      <w:r>
        <w:separator/>
      </w:r>
    </w:p>
  </w:footnote>
  <w:footnote w:type="continuationSeparator" w:id="0">
    <w:p w:rsidR="008A6829" w:rsidRDefault="008A6829" w:rsidP="00893A9B">
      <w:r>
        <w:continuationSeparator/>
      </w:r>
    </w:p>
  </w:footnote>
  <w:footnote w:id="1"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0F151B">
        <w:rPr>
          <w:rStyle w:val="Refdenotaderodap"/>
          <w:rFonts w:ascii="Times New Roman" w:hAnsi="Times New Roman"/>
        </w:rPr>
        <w:footnoteRef/>
      </w:r>
      <w:r w:rsidRPr="000F151B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 w:rsidRPr="000F151B">
        <w:rPr>
          <w:rFonts w:ascii="Times New Roman" w:hAnsi="Times New Roman"/>
          <w:i/>
        </w:rPr>
        <w:t>residência</w:t>
      </w:r>
      <w:r w:rsidRPr="000F151B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 w:rsidRPr="000F151B">
        <w:rPr>
          <w:rFonts w:ascii="Times New Roman" w:hAnsi="Times New Roman"/>
          <w:i/>
        </w:rPr>
        <w:t>domicílio</w:t>
      </w:r>
      <w:r w:rsidRPr="000F151B">
        <w:rPr>
          <w:rFonts w:ascii="Times New Roman" w:hAnsi="Times New Roman"/>
        </w:rPr>
        <w:t xml:space="preserve">, conforme a definição dos arts. 70 </w:t>
      </w:r>
      <w:r w:rsidRPr="000F151B">
        <w:rPr>
          <w:rFonts w:ascii="Times New Roman" w:hAnsi="Times New Roman"/>
          <w:i/>
        </w:rPr>
        <w:t xml:space="preserve">usque </w:t>
      </w:r>
      <w:r w:rsidRPr="000F151B">
        <w:rPr>
          <w:rFonts w:ascii="Times New Roman" w:hAnsi="Times New Roman"/>
        </w:rPr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2">
    <w:p w:rsidR="00893A9B" w:rsidRPr="000F151B" w:rsidRDefault="00893A9B" w:rsidP="000F151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0F151B">
        <w:rPr>
          <w:sz w:val="20"/>
          <w:szCs w:val="20"/>
          <w:vertAlign w:val="superscript"/>
        </w:rPr>
        <w:footnoteRef/>
      </w:r>
      <w:r w:rsidRPr="000F151B">
        <w:rPr>
          <w:sz w:val="20"/>
          <w:szCs w:val="20"/>
        </w:rPr>
        <w:tab/>
      </w:r>
      <w:r w:rsidRPr="000F151B">
        <w:rPr>
          <w:b/>
          <w:bCs/>
          <w:sz w:val="20"/>
          <w:szCs w:val="20"/>
        </w:rPr>
        <w:t>Art. 953.</w:t>
      </w:r>
      <w:r w:rsidRPr="000F151B">
        <w:rPr>
          <w:sz w:val="20"/>
          <w:szCs w:val="20"/>
        </w:rPr>
        <w:t xml:space="preserve"> A indenização por injúria, difamação ou calúnia consistirá na reparação do dano que delas resulte ao ofendido. </w:t>
      </w:r>
      <w:r w:rsidRPr="000F151B">
        <w:rPr>
          <w:b/>
          <w:sz w:val="20"/>
          <w:szCs w:val="20"/>
        </w:rPr>
        <w:t>Parágrafo único</w:t>
      </w:r>
      <w:r w:rsidRPr="000F151B">
        <w:rPr>
          <w:sz w:val="20"/>
          <w:szCs w:val="20"/>
        </w:rPr>
        <w:t>. Se o ofendido não puder provar prejuízo material, caberá ao juiz fixar, equitativamente, o valor da indenização, na conformidade das circunstâncias do caso.</w:t>
      </w:r>
    </w:p>
  </w:footnote>
  <w:footnote w:id="3">
    <w:p w:rsidR="00893A9B" w:rsidRPr="000F151B" w:rsidRDefault="00893A9B" w:rsidP="000F151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0F151B">
        <w:rPr>
          <w:sz w:val="20"/>
          <w:szCs w:val="20"/>
          <w:vertAlign w:val="superscript"/>
        </w:rPr>
        <w:footnoteRef/>
      </w:r>
      <w:r w:rsidRPr="000F151B">
        <w:rPr>
          <w:sz w:val="20"/>
          <w:szCs w:val="20"/>
        </w:rPr>
        <w:tab/>
      </w:r>
      <w:r w:rsidRPr="000F151B">
        <w:rPr>
          <w:b/>
          <w:bCs/>
          <w:sz w:val="20"/>
          <w:szCs w:val="20"/>
        </w:rPr>
        <w:t xml:space="preserve">Art. 5º </w:t>
      </w:r>
      <w:r w:rsidRPr="000F151B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0F151B">
        <w:rPr>
          <w:b/>
          <w:sz w:val="20"/>
          <w:szCs w:val="20"/>
        </w:rPr>
        <w:t>X –</w:t>
      </w:r>
      <w:r w:rsidRPr="000F151B">
        <w:rPr>
          <w:sz w:val="20"/>
          <w:szCs w:val="20"/>
        </w:rPr>
        <w:t>são invioláveis a intimidade, a vida privada, a honra e a imagem das pessoas, assegurado o direito a indenização pelo dano material ou moral decorrente de sua violação; (...)</w:t>
      </w:r>
    </w:p>
    <w:p w:rsidR="00893A9B" w:rsidRPr="000F151B" w:rsidRDefault="00893A9B" w:rsidP="000F151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4"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0F151B">
        <w:rPr>
          <w:rStyle w:val="Refdenotaderodap"/>
          <w:rFonts w:ascii="Times New Roman" w:hAnsi="Times New Roman"/>
        </w:rPr>
        <w:footnoteRef/>
      </w:r>
      <w:r w:rsidRPr="000F151B">
        <w:rPr>
          <w:rFonts w:ascii="Times New Roman" w:hAnsi="Times New Roman"/>
          <w:lang w:val="en-US"/>
        </w:rPr>
        <w:t xml:space="preserve"> </w:t>
      </w:r>
      <w:r w:rsidRPr="000F151B">
        <w:rPr>
          <w:rFonts w:ascii="Times New Roman" w:hAnsi="Times New Roman"/>
          <w:b/>
          <w:lang w:val="en-US"/>
        </w:rPr>
        <w:t xml:space="preserve">CPC, art. 335, </w:t>
      </w:r>
      <w:r w:rsidRPr="000F151B">
        <w:rPr>
          <w:rFonts w:ascii="Times New Roman" w:hAnsi="Times New Roman"/>
          <w:b/>
          <w:i/>
          <w:lang w:val="en-US"/>
        </w:rPr>
        <w:t>caput</w:t>
      </w:r>
      <w:r w:rsidRPr="000F151B">
        <w:rPr>
          <w:rFonts w:ascii="Times New Roman" w:hAnsi="Times New Roman"/>
          <w:b/>
          <w:lang w:val="en-US"/>
        </w:rPr>
        <w:t xml:space="preserve"> c.c. art. 231, II</w:t>
      </w:r>
      <w:r w:rsidRPr="000F151B">
        <w:rPr>
          <w:rFonts w:ascii="Times New Roman" w:hAnsi="Times New Roman"/>
          <w:lang w:val="en-US"/>
        </w:rPr>
        <w:t>.</w:t>
      </w:r>
    </w:p>
  </w:footnote>
  <w:footnote w:id="5"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0F151B">
        <w:rPr>
          <w:rStyle w:val="Refdenotaderodap"/>
          <w:rFonts w:ascii="Times New Roman" w:hAnsi="Times New Roman"/>
        </w:rPr>
        <w:footnoteRef/>
      </w:r>
      <w:r w:rsidRPr="000F151B">
        <w:rPr>
          <w:rFonts w:ascii="Times New Roman" w:hAnsi="Times New Roman"/>
        </w:rPr>
        <w:t xml:space="preserve"> </w:t>
      </w:r>
      <w:r w:rsidRPr="000F151B">
        <w:rPr>
          <w:rFonts w:ascii="Times New Roman" w:hAnsi="Times New Roman"/>
          <w:b/>
        </w:rPr>
        <w:t>CPC, art. 344</w:t>
      </w:r>
      <w:r w:rsidRPr="000F151B">
        <w:rPr>
          <w:rFonts w:ascii="Times New Roman" w:hAnsi="Times New Roman"/>
        </w:rPr>
        <w:t>.</w:t>
      </w:r>
    </w:p>
  </w:footnote>
  <w:footnote w:id="6"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0F151B">
        <w:rPr>
          <w:rStyle w:val="Refdenotaderodap"/>
          <w:rFonts w:ascii="Times New Roman" w:hAnsi="Times New Roman"/>
        </w:rPr>
        <w:footnoteRef/>
      </w:r>
      <w:r w:rsidRPr="000F151B">
        <w:rPr>
          <w:rFonts w:ascii="Times New Roman" w:hAnsi="Times New Roman"/>
        </w:rPr>
        <w:t xml:space="preserve"> </w:t>
      </w:r>
      <w:r w:rsidRPr="000F151B">
        <w:rPr>
          <w:rFonts w:ascii="Times New Roman" w:hAnsi="Times New Roman"/>
          <w:b/>
        </w:rPr>
        <w:t>Art. 98.</w:t>
      </w:r>
      <w:r w:rsidRPr="000F151B">
        <w:rPr>
          <w:rFonts w:ascii="Times New Roman" w:hAnsi="Times New Roman"/>
        </w:rPr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0F151B">
        <w:rPr>
          <w:rFonts w:ascii="Times New Roman" w:hAnsi="Times New Roman"/>
          <w:b/>
        </w:rPr>
        <w:t>Art. 99</w:t>
      </w:r>
      <w:r w:rsidRPr="000F151B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0F151B">
        <w:rPr>
          <w:rFonts w:ascii="Times New Roman" w:hAnsi="Times New Roman"/>
          <w:b/>
        </w:rPr>
        <w:t>§ 3º</w:t>
      </w:r>
      <w:r w:rsidRPr="000F151B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7">
    <w:p w:rsidR="002E4A6A" w:rsidRPr="000F151B" w:rsidRDefault="002E4A6A" w:rsidP="000F151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0F151B">
        <w:rPr>
          <w:rStyle w:val="Refdenotaderodap"/>
          <w:rFonts w:ascii="Times New Roman" w:hAnsi="Times New Roman"/>
        </w:rPr>
        <w:footnoteRef/>
      </w:r>
      <w:r w:rsidRPr="000F151B">
        <w:rPr>
          <w:rFonts w:ascii="Times New Roman" w:hAnsi="Times New Roman"/>
        </w:rPr>
        <w:t xml:space="preserve"> </w:t>
      </w:r>
      <w:r w:rsidRPr="000F151B">
        <w:rPr>
          <w:rFonts w:ascii="Times New Roman" w:hAnsi="Times New Roman"/>
          <w:b/>
        </w:rPr>
        <w:t>CPC, art. 319, VII</w:t>
      </w:r>
      <w:r w:rsidRPr="000F151B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9B"/>
    <w:rsid w:val="00001795"/>
    <w:rsid w:val="000E1BD5"/>
    <w:rsid w:val="000F11BE"/>
    <w:rsid w:val="000F151B"/>
    <w:rsid w:val="001F372F"/>
    <w:rsid w:val="002E4A6A"/>
    <w:rsid w:val="002F5EC9"/>
    <w:rsid w:val="004209C4"/>
    <w:rsid w:val="00443395"/>
    <w:rsid w:val="0045012E"/>
    <w:rsid w:val="005D1A34"/>
    <w:rsid w:val="00686B72"/>
    <w:rsid w:val="006B7EDC"/>
    <w:rsid w:val="00713E09"/>
    <w:rsid w:val="00760CCB"/>
    <w:rsid w:val="007856B3"/>
    <w:rsid w:val="00893A9B"/>
    <w:rsid w:val="008A6829"/>
    <w:rsid w:val="009B58E7"/>
    <w:rsid w:val="009F5315"/>
    <w:rsid w:val="00B50A5E"/>
    <w:rsid w:val="00BE2D82"/>
    <w:rsid w:val="00C32B31"/>
    <w:rsid w:val="00DC5AE4"/>
    <w:rsid w:val="00EF7B6F"/>
    <w:rsid w:val="00FC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93A9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93A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93A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3A9B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893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A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93A9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893A9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893A9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E4A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E4A6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E4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93A9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93A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93A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3A9B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893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A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93A9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893A9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893A9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E4A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E4A6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E4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2020-06-30T17:08:00Z</dcterms:created>
  <dcterms:modified xsi:type="dcterms:W3CDTF">2020-08-24T15:23:00Z</dcterms:modified>
</cp:coreProperties>
</file>