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4" w:rsidRPr="00184F04" w:rsidRDefault="00184F04" w:rsidP="00184F04">
      <w:pPr>
        <w:pStyle w:val="Ttulo"/>
        <w:spacing w:before="0" w:after="0" w:line="240" w:lineRule="auto"/>
        <w:ind w:right="-568"/>
        <w:rPr>
          <w:rStyle w:val="Forte"/>
          <w:rFonts w:ascii="Arial Black" w:hAnsi="Arial Black"/>
          <w:b/>
          <w:bCs/>
          <w:color w:val="auto"/>
          <w:sz w:val="24"/>
          <w:szCs w:val="24"/>
        </w:rPr>
      </w:pPr>
      <w:r w:rsidRPr="00184F04">
        <w:rPr>
          <w:rStyle w:val="Forte"/>
          <w:rFonts w:ascii="Arial Black" w:hAnsi="Arial Black"/>
          <w:b/>
          <w:bCs/>
          <w:color w:val="auto"/>
          <w:sz w:val="24"/>
          <w:szCs w:val="24"/>
        </w:rPr>
        <w:t>MODELO DE PETIÇÃO</w:t>
      </w:r>
    </w:p>
    <w:p w:rsidR="004179AE" w:rsidRDefault="004179AE" w:rsidP="00184F04">
      <w:pPr>
        <w:pStyle w:val="Ttulo"/>
        <w:spacing w:before="0" w:after="0" w:line="240" w:lineRule="auto"/>
        <w:ind w:right="-568"/>
        <w:rPr>
          <w:rStyle w:val="Forte"/>
          <w:rFonts w:ascii="Arial Black" w:hAnsi="Arial Black"/>
          <w:b/>
          <w:bCs/>
          <w:sz w:val="24"/>
          <w:szCs w:val="24"/>
        </w:rPr>
      </w:pPr>
      <w:r w:rsidRPr="00184F04">
        <w:rPr>
          <w:rStyle w:val="Forte"/>
          <w:rFonts w:ascii="Arial Black" w:hAnsi="Arial Black"/>
          <w:b/>
          <w:bCs/>
          <w:color w:val="auto"/>
          <w:sz w:val="24"/>
          <w:szCs w:val="24"/>
        </w:rPr>
        <w:t>CONSTRUTORA</w:t>
      </w:r>
      <w:r w:rsidR="00274E2A" w:rsidRPr="00184F04">
        <w:rPr>
          <w:rStyle w:val="Forte"/>
          <w:rFonts w:ascii="Arial Black" w:hAnsi="Arial Black"/>
          <w:b/>
          <w:bCs/>
          <w:color w:val="auto"/>
          <w:sz w:val="24"/>
          <w:szCs w:val="24"/>
        </w:rPr>
        <w:t xml:space="preserve">. DEFEITOS DE CONSTRUÇÃO. INDENIZAÇÃO. </w:t>
      </w:r>
      <w:r w:rsidR="00274E2A" w:rsidRPr="00184F04">
        <w:rPr>
          <w:rStyle w:val="Forte"/>
          <w:rFonts w:ascii="Arial Black" w:hAnsi="Arial Black"/>
          <w:b/>
          <w:bCs/>
          <w:color w:val="FF0000"/>
          <w:sz w:val="24"/>
          <w:szCs w:val="24"/>
        </w:rPr>
        <w:t xml:space="preserve"> </w:t>
      </w:r>
      <w:r w:rsidRPr="00184F04">
        <w:rPr>
          <w:rStyle w:val="Forte"/>
          <w:rFonts w:ascii="Arial Black" w:hAnsi="Arial Black"/>
          <w:b/>
          <w:bCs/>
          <w:sz w:val="24"/>
          <w:szCs w:val="24"/>
        </w:rPr>
        <w:t>INICIAL</w:t>
      </w:r>
    </w:p>
    <w:p w:rsidR="004142F8" w:rsidRDefault="004142F8" w:rsidP="004142F8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143" w:rsidRPr="00184F04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811143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811143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811143" w:rsidRDefault="004179AE" w:rsidP="00184F0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 obrigação do engenheiro é de resultado pela tarefa assumida, quer na construção como na administração da obra, respondendo pela solidez e segurança, cujos danos poderão ser reclamados dentro de cinco anos a contar do conhecimento do dano (CDC,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arts.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14 e 27).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>- Expor os fatos com precisão, bem como os fundamentos jurídicos do pedido (CPC, art. 319, III</w:t>
      </w:r>
      <w:proofErr w:type="gramStart"/>
      <w:r w:rsidRPr="00811143">
        <w:rPr>
          <w:color w:val="000000"/>
        </w:rPr>
        <w:t>)</w:t>
      </w:r>
      <w:proofErr w:type="gramEnd"/>
      <w:r w:rsidRPr="00811143">
        <w:rPr>
          <w:color w:val="000000"/>
          <w:vertAlign w:val="superscript"/>
        </w:rPr>
        <w:footnoteReference w:id="1"/>
      </w:r>
      <w:r w:rsidRPr="00811143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proofErr w:type="gramStart"/>
      <w:r w:rsidRPr="00811143">
        <w:rPr>
          <w:color w:val="000000"/>
        </w:rPr>
        <w:tab/>
      </w:r>
      <w:proofErr w:type="gramEnd"/>
    </w:p>
    <w:p w:rsidR="00811143" w:rsidRPr="007145E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 xml:space="preserve">- Ainda na </w:t>
      </w:r>
      <w:proofErr w:type="spellStart"/>
      <w:r w:rsidRPr="00811143">
        <w:rPr>
          <w:color w:val="000000"/>
        </w:rPr>
        <w:t>proemial</w:t>
      </w:r>
      <w:proofErr w:type="spellEnd"/>
      <w:r w:rsidRPr="00811143">
        <w:rPr>
          <w:color w:val="000000"/>
        </w:rPr>
        <w:t xml:space="preserve"> juntar o máximo de documentos para dar calço às alegações.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  <w:spacing w:val="-4"/>
        </w:rPr>
        <w:t>- Pode-se cumular ou alternar o pedido, incluindo outros complementares ou alternativos, respectivamente.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811143">
        <w:rPr>
          <w:color w:val="000000"/>
        </w:rPr>
        <w:t>declaratória-constitutiva</w:t>
      </w:r>
      <w:proofErr w:type="gramEnd"/>
      <w:r w:rsidRPr="00811143">
        <w:rPr>
          <w:color w:val="000000"/>
        </w:rPr>
        <w:t>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>- Para calcular o valor da causa, observar o art. 292 do CPC</w:t>
      </w:r>
      <w:r w:rsidRPr="00811143">
        <w:rPr>
          <w:color w:val="000000"/>
          <w:vertAlign w:val="superscript"/>
        </w:rPr>
        <w:footnoteReference w:id="2"/>
      </w:r>
      <w:r w:rsidRPr="00811143">
        <w:rPr>
          <w:color w:val="000000"/>
        </w:rPr>
        <w:t>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 xml:space="preserve">- O procedimento comum aplica-se a toas </w:t>
      </w:r>
      <w:proofErr w:type="gramStart"/>
      <w:r w:rsidRPr="00811143">
        <w:rPr>
          <w:color w:val="000000"/>
        </w:rPr>
        <w:t>as</w:t>
      </w:r>
      <w:proofErr w:type="gramEnd"/>
      <w:r w:rsidRPr="00811143">
        <w:rPr>
          <w:color w:val="000000"/>
        </w:rPr>
        <w:t xml:space="preserve"> causa quando não for previsto em lei como procedimento especial. 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t xml:space="preserve">- A petição inicial deve seguir as balizas mínimas do </w:t>
      </w:r>
      <w:proofErr w:type="spellStart"/>
      <w:r w:rsidRPr="00811143">
        <w:rPr>
          <w:color w:val="000000"/>
        </w:rPr>
        <w:t>arts</w:t>
      </w:r>
      <w:proofErr w:type="spellEnd"/>
      <w:r w:rsidRPr="00811143">
        <w:rPr>
          <w:color w:val="000000"/>
        </w:rPr>
        <w:t>. 319 e 320 do CPC.</w:t>
      </w:r>
    </w:p>
    <w:p w:rsidR="00811143" w:rsidRPr="00811143" w:rsidRDefault="00811143" w:rsidP="00184F04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11143">
        <w:rPr>
          <w:color w:val="000000"/>
        </w:rPr>
        <w:lastRenderedPageBreak/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811143">
        <w:rPr>
          <w:color w:val="000000"/>
        </w:rPr>
        <w:t>, deve</w:t>
      </w:r>
      <w:proofErr w:type="gramEnd"/>
      <w:r w:rsidRPr="00811143">
        <w:rPr>
          <w:color w:val="000000"/>
        </w:rPr>
        <w:t xml:space="preserve"> ser interpretado pela vontade de se realizar a audiência.</w:t>
      </w:r>
    </w:p>
    <w:p w:rsidR="00B2422D" w:rsidRDefault="00B2422D" w:rsidP="00184F0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7145E3" w:rsidRDefault="007145E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4179AE" w:rsidRPr="006E17A9" w:rsidRDefault="004179AE" w:rsidP="00184F0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4179AE" w:rsidRPr="006E17A9" w:rsidRDefault="00811143" w:rsidP="00184F04">
      <w:pPr>
        <w:pStyle w:val="Texto"/>
        <w:ind w:right="-568"/>
        <w:rPr>
          <w:rStyle w:val="Forte"/>
          <w:rFonts w:ascii="Times New Roman" w:hAnsi="Times New Roman"/>
          <w:b w:val="0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9AE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4179AE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4179AE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4179AE" w:rsidRPr="004179AE">
        <w:rPr>
          <w:rFonts w:ascii="Times New Roman" w:hAnsi="Times New Roman" w:cs="Times New Roman"/>
          <w:i/>
          <w:sz w:val="24"/>
          <w:szCs w:val="24"/>
        </w:rPr>
        <w:t>ut</w:t>
      </w:r>
      <w:r w:rsidR="004179AE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</w:t>
      </w:r>
      <w:r w:rsidR="004179AE" w:rsidRPr="006E17A9">
        <w:rPr>
          <w:rFonts w:ascii="Times New Roman" w:hAnsi="Times New Roman" w:cs="Times New Roman"/>
          <w:sz w:val="24"/>
          <w:szCs w:val="24"/>
        </w:rPr>
        <w:t>vem, respeitosamente, com fulcro no art. 618 do Código Civil</w:t>
      </w:r>
      <w:r w:rsidR="004179AE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4179AE" w:rsidRPr="006E17A9">
        <w:rPr>
          <w:rFonts w:ascii="Times New Roman" w:hAnsi="Times New Roman" w:cs="Times New Roman"/>
          <w:sz w:val="24"/>
          <w:szCs w:val="24"/>
        </w:rPr>
        <w:t xml:space="preserve">, propor </w:t>
      </w:r>
      <w:r w:rsidR="004179AE" w:rsidRPr="006E17A9">
        <w:rPr>
          <w:rStyle w:val="Forte"/>
          <w:rFonts w:ascii="Times New Roman" w:hAnsi="Times New Roman"/>
          <w:b w:val="0"/>
          <w:sz w:val="24"/>
          <w:szCs w:val="24"/>
        </w:rPr>
        <w:t>AÇÃO ORDINÁRIA DE INDENIZAÇÃO contra (nome, qualificação e endereço ou nome da suplicada, inscrita no CNPJ sob o n. ...., com sede em ....), pelas razões de fato e direito adiante articuladas: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</w:r>
      <w:r w:rsidRPr="006E17A9">
        <w:rPr>
          <w:rStyle w:val="Forte"/>
          <w:rFonts w:ascii="Times New Roman" w:hAnsi="Times New Roman"/>
          <w:b w:val="0"/>
          <w:bCs w:val="0"/>
          <w:sz w:val="24"/>
          <w:szCs w:val="24"/>
        </w:rPr>
        <w:t>1.</w:t>
      </w:r>
      <w:r w:rsidRPr="006E17A9">
        <w:rPr>
          <w:rFonts w:ascii="Times New Roman" w:hAnsi="Times New Roman" w:cs="Times New Roman"/>
          <w:sz w:val="24"/>
          <w:szCs w:val="24"/>
        </w:rPr>
        <w:t xml:space="preserve"> Por meio de compromisso de compra e venda o autor adquiriu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274E2A">
        <w:rPr>
          <w:rFonts w:ascii="Times New Roman" w:hAnsi="Times New Roman" w:cs="Times New Roman"/>
          <w:sz w:val="24"/>
          <w:szCs w:val="24"/>
        </w:rPr>
        <w:t>da Construtora ..., ora ré,</w:t>
      </w:r>
      <w:r w:rsidRPr="006E17A9">
        <w:rPr>
          <w:rFonts w:ascii="Times New Roman" w:hAnsi="Times New Roman" w:cs="Times New Roman"/>
          <w:sz w:val="24"/>
          <w:szCs w:val="24"/>
        </w:rPr>
        <w:t xml:space="preserve"> o seguinte imóvel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situado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nesta cidade, à </w:t>
      </w:r>
      <w:r w:rsidR="00274E2A">
        <w:rPr>
          <w:rFonts w:ascii="Times New Roman" w:hAnsi="Times New Roman" w:cs="Times New Roman"/>
          <w:sz w:val="24"/>
          <w:szCs w:val="24"/>
        </w:rPr>
        <w:t>R</w:t>
      </w:r>
      <w:r w:rsidRPr="006E17A9">
        <w:rPr>
          <w:rFonts w:ascii="Times New Roman" w:hAnsi="Times New Roman" w:cs="Times New Roman"/>
          <w:sz w:val="24"/>
          <w:szCs w:val="24"/>
        </w:rPr>
        <w:t>u</w:t>
      </w:r>
      <w:r w:rsidR="00274E2A">
        <w:rPr>
          <w:rFonts w:ascii="Times New Roman" w:hAnsi="Times New Roman" w:cs="Times New Roman"/>
          <w:sz w:val="24"/>
          <w:szCs w:val="24"/>
        </w:rPr>
        <w:t>a ..., construído pela demandada</w:t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</w:r>
      <w:r w:rsidRPr="006E17A9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Pr="006E17A9">
        <w:rPr>
          <w:rFonts w:ascii="Times New Roman" w:hAnsi="Times New Roman" w:cs="Times New Roman"/>
          <w:sz w:val="24"/>
          <w:szCs w:val="24"/>
        </w:rPr>
        <w:t xml:space="preserve">Após tomar posse do imóvel mencionado, constatou-se a existência de problemas decorrentes de falhas ocorridas durante a construção. Assim, na preservação de seus direitos, o autor contatou </w:t>
      </w:r>
      <w:r w:rsidR="00274E2A">
        <w:rPr>
          <w:rFonts w:ascii="Times New Roman" w:hAnsi="Times New Roman" w:cs="Times New Roman"/>
          <w:sz w:val="24"/>
          <w:szCs w:val="24"/>
        </w:rPr>
        <w:t>a ré para que as reparasse de imediato.</w:t>
      </w:r>
      <w:r w:rsidRPr="006E17A9">
        <w:rPr>
          <w:rFonts w:ascii="Times New Roman" w:hAnsi="Times New Roman" w:cs="Times New Roman"/>
          <w:sz w:val="24"/>
          <w:szCs w:val="24"/>
        </w:rPr>
        <w:t xml:space="preserve"> O autor, por sua vez, contratou os serviços do engenheiro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civil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portador do CREA n. ..., para a elaboração de um laudo pericial sobre a questão (doc. n. ...) e respectivas fotografias e negativos que atestam os problemas. 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  <w:t>3</w:t>
      </w:r>
      <w:r w:rsidRPr="006E17A9">
        <w:rPr>
          <w:rStyle w:val="Forte"/>
          <w:rFonts w:ascii="Times New Roman" w:hAnsi="Times New Roman"/>
          <w:b w:val="0"/>
          <w:bCs w:val="0"/>
          <w:sz w:val="24"/>
          <w:szCs w:val="24"/>
        </w:rPr>
        <w:t>.</w:t>
      </w:r>
      <w:r w:rsidRPr="006E17A9">
        <w:rPr>
          <w:rFonts w:ascii="Times New Roman" w:hAnsi="Times New Roman" w:cs="Times New Roman"/>
          <w:sz w:val="24"/>
          <w:szCs w:val="24"/>
        </w:rPr>
        <w:t xml:space="preserve"> Apesar de terem sido constatados </w:t>
      </w:r>
      <w:r w:rsidR="00274E2A">
        <w:rPr>
          <w:rFonts w:ascii="Times New Roman" w:hAnsi="Times New Roman" w:cs="Times New Roman"/>
          <w:sz w:val="24"/>
          <w:szCs w:val="24"/>
        </w:rPr>
        <w:t>vários</w:t>
      </w:r>
      <w:r w:rsidRPr="006E17A9">
        <w:rPr>
          <w:rFonts w:ascii="Times New Roman" w:hAnsi="Times New Roman" w:cs="Times New Roman"/>
          <w:sz w:val="24"/>
          <w:szCs w:val="24"/>
        </w:rPr>
        <w:t xml:space="preserve"> defeitos ocasionados pela má construção realizada </w:t>
      </w:r>
      <w:r w:rsidR="00274E2A">
        <w:rPr>
          <w:rFonts w:ascii="Times New Roman" w:hAnsi="Times New Roman" w:cs="Times New Roman"/>
          <w:sz w:val="24"/>
          <w:szCs w:val="24"/>
        </w:rPr>
        <w:t>pela construtora ré num imóvel novo, ela</w:t>
      </w:r>
      <w:r w:rsidRPr="006E17A9">
        <w:rPr>
          <w:rFonts w:ascii="Times New Roman" w:hAnsi="Times New Roman" w:cs="Times New Roman"/>
          <w:sz w:val="24"/>
          <w:szCs w:val="24"/>
        </w:rPr>
        <w:t xml:space="preserve"> não tomou nenhuma providência para sanar ou amenizar a situação, tornando-se inerte, ocasionando assim prejuízo ao autor com a situação do imóvel e a agravação dos problemas pela demora na solução. 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  <w:t>4</w:t>
      </w:r>
      <w:r w:rsidRPr="006E17A9">
        <w:rPr>
          <w:rStyle w:val="Forte"/>
          <w:rFonts w:ascii="Times New Roman" w:hAnsi="Times New Roman"/>
          <w:b w:val="0"/>
          <w:bCs w:val="0"/>
          <w:sz w:val="24"/>
          <w:szCs w:val="24"/>
        </w:rPr>
        <w:t>.</w:t>
      </w:r>
      <w:r w:rsidRPr="006E17A9">
        <w:rPr>
          <w:rFonts w:ascii="Times New Roman" w:hAnsi="Times New Roman" w:cs="Times New Roman"/>
          <w:sz w:val="24"/>
          <w:szCs w:val="24"/>
        </w:rPr>
        <w:t xml:space="preserve"> O art. 1.245 do Código Civil assegura garantia de cinco anos para a responsabilidade objetiva do construtor. É entendimento da doutrina e da jurisprudência que o prazo prescricional para a hipótese é de vinte anos (Código Civil, art. 144, primeira parte).</w:t>
      </w: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145E3" w:rsidRDefault="0081114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79AE" w:rsidRPr="006E17A9">
        <w:rPr>
          <w:rFonts w:ascii="Times New Roman" w:hAnsi="Times New Roman" w:cs="Times New Roman"/>
          <w:sz w:val="24"/>
          <w:szCs w:val="24"/>
        </w:rPr>
        <w:t>O conceituado e saudoso Hely Lopes Meirelles (Direito de Construir, Ed. RT), versa o tema:</w:t>
      </w:r>
    </w:p>
    <w:p w:rsidR="007145E3" w:rsidRDefault="007145E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179AE" w:rsidRPr="006E17A9" w:rsidRDefault="004179AE" w:rsidP="00184F04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“Diante da norma civil e da arquitetura, a responsabilidade pela solidez e segurança da obra é extensiva a todo construtor, qualquer que seja a modalidade da construção... O prazo quinquenal dessa responsabilidade é de garantia e não de prescrição, como erroneamente entendem alguns julgados. Desde que a falta de solidez ou segurança da obra apresenta-se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lastRenderedPageBreak/>
        <w:t>dentro de cinco anos de seu recebimento, a ação contra o construtor e demais participantes do empreendimento subsiste pelo prazo comum de vinte anos, a contar do dia em que surgiu o defeito...</w:t>
      </w:r>
      <w:proofErr w:type="gram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gramEnd"/>
    </w:p>
    <w:p w:rsidR="00811143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811143">
        <w:rPr>
          <w:rFonts w:ascii="Times New Roman" w:hAnsi="Times New Roman" w:cs="Times New Roman"/>
          <w:sz w:val="24"/>
          <w:szCs w:val="24"/>
        </w:rPr>
        <w:t xml:space="preserve">o autor </w:t>
      </w:r>
      <w:r w:rsidRPr="006E17A9">
        <w:rPr>
          <w:rFonts w:ascii="Times New Roman" w:hAnsi="Times New Roman" w:cs="Times New Roman"/>
          <w:sz w:val="24"/>
          <w:szCs w:val="24"/>
        </w:rPr>
        <w:t>requer</w:t>
      </w:r>
      <w:r w:rsidR="00811143">
        <w:rPr>
          <w:rFonts w:ascii="Times New Roman" w:hAnsi="Times New Roman" w:cs="Times New Roman"/>
          <w:sz w:val="24"/>
          <w:szCs w:val="24"/>
        </w:rPr>
        <w:t>:</w:t>
      </w:r>
    </w:p>
    <w:p w:rsidR="00811143" w:rsidRDefault="0081114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179AE" w:rsidRPr="007145E3" w:rsidRDefault="0081114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45E3">
        <w:rPr>
          <w:rFonts w:ascii="Times New Roman" w:hAnsi="Times New Roman" w:cs="Times New Roman"/>
          <w:sz w:val="24"/>
          <w:szCs w:val="24"/>
        </w:rPr>
        <w:t>a)</w:t>
      </w:r>
      <w:r w:rsidR="004179AE" w:rsidRPr="007145E3">
        <w:rPr>
          <w:rFonts w:ascii="Times New Roman" w:hAnsi="Times New Roman" w:cs="Times New Roman"/>
          <w:sz w:val="24"/>
          <w:szCs w:val="24"/>
        </w:rPr>
        <w:t xml:space="preserve"> </w:t>
      </w:r>
      <w:r w:rsidRPr="007145E3">
        <w:rPr>
          <w:rFonts w:ascii="Times New Roman" w:hAnsi="Times New Roman" w:cs="Times New Roman"/>
          <w:sz w:val="24"/>
          <w:szCs w:val="24"/>
        </w:rPr>
        <w:t xml:space="preserve">seja A PRESENTE AÇÃO JULGADA PROCEDENTE </w:t>
      </w:r>
      <w:r w:rsidR="004179AE" w:rsidRPr="007145E3">
        <w:rPr>
          <w:rFonts w:ascii="Times New Roman" w:hAnsi="Times New Roman" w:cs="Times New Roman"/>
          <w:sz w:val="24"/>
          <w:szCs w:val="24"/>
        </w:rPr>
        <w:t xml:space="preserve">condenando-se o suplicado à indenização dos prejuízos advindos ao autor, referente aos problemas ocasionados no imóvel mencionado, cujos valores serão apurados em </w:t>
      </w:r>
      <w:r w:rsidRPr="007145E3">
        <w:rPr>
          <w:rFonts w:ascii="Times New Roman" w:hAnsi="Times New Roman" w:cs="Times New Roman"/>
          <w:sz w:val="24"/>
          <w:szCs w:val="24"/>
        </w:rPr>
        <w:t>liquidação por arbitramento</w:t>
      </w:r>
      <w:r w:rsidRPr="007145E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7145E3">
        <w:rPr>
          <w:rFonts w:ascii="Times New Roman" w:hAnsi="Times New Roman" w:cs="Times New Roman"/>
          <w:sz w:val="24"/>
          <w:szCs w:val="24"/>
        </w:rPr>
        <w:t>, que fica desde já requerido,</w:t>
      </w:r>
      <w:r w:rsidR="004179AE" w:rsidRPr="007145E3">
        <w:rPr>
          <w:rFonts w:ascii="Times New Roman" w:hAnsi="Times New Roman" w:cs="Times New Roman"/>
          <w:sz w:val="24"/>
          <w:szCs w:val="24"/>
        </w:rPr>
        <w:t xml:space="preserve"> com a condenação, ainda, do suplicado nos efeitos da sucumbência.</w:t>
      </w:r>
    </w:p>
    <w:p w:rsidR="004179AE" w:rsidRPr="007145E3" w:rsidRDefault="004179AE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11143" w:rsidRPr="007145E3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7145E3">
        <w:rPr>
          <w:color w:val="000000"/>
        </w:rPr>
        <w:t>b) seja citado o réu por mandado, para querendo, contestar no prazo de 15 (quinze) dias</w:t>
      </w:r>
      <w:r w:rsidRPr="007145E3">
        <w:rPr>
          <w:color w:val="000000"/>
          <w:vertAlign w:val="superscript"/>
        </w:rPr>
        <w:footnoteReference w:id="6"/>
      </w:r>
      <w:r w:rsidRPr="007145E3">
        <w:rPr>
          <w:color w:val="000000"/>
        </w:rPr>
        <w:t xml:space="preserve">, </w:t>
      </w:r>
      <w:proofErr w:type="gramStart"/>
      <w:r w:rsidRPr="007145E3">
        <w:rPr>
          <w:color w:val="000000"/>
        </w:rPr>
        <w:t>sob pena</w:t>
      </w:r>
      <w:proofErr w:type="gramEnd"/>
      <w:r w:rsidRPr="007145E3">
        <w:rPr>
          <w:color w:val="000000"/>
        </w:rPr>
        <w:t xml:space="preserve"> de revelia</w:t>
      </w:r>
      <w:r w:rsidRPr="007145E3">
        <w:rPr>
          <w:color w:val="000000"/>
          <w:vertAlign w:val="superscript"/>
        </w:rPr>
        <w:footnoteReference w:id="7"/>
      </w:r>
      <w:r w:rsidRPr="007145E3">
        <w:rPr>
          <w:color w:val="000000"/>
        </w:rPr>
        <w:t>;</w:t>
      </w:r>
    </w:p>
    <w:p w:rsidR="00811143" w:rsidRPr="007145E3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11143" w:rsidRPr="007145E3" w:rsidRDefault="00811143" w:rsidP="00184F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45E3">
        <w:rPr>
          <w:rFonts w:ascii="Times New Roman" w:hAnsi="Times New Roman" w:cs="Times New Roman"/>
          <w:sz w:val="24"/>
          <w:szCs w:val="24"/>
        </w:rPr>
        <w:t xml:space="preserve">c) </w:t>
      </w:r>
      <w:r w:rsidRPr="007145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7145E3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7145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7145E3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Pr="007145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7145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7145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811143" w:rsidRPr="007145E3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11143" w:rsidRPr="007145E3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7145E3">
        <w:rPr>
          <w:color w:val="000000"/>
        </w:rPr>
        <w:t>d) a produção de provas documental, depoimento pessoal, testemunhal e pericial.</w:t>
      </w:r>
    </w:p>
    <w:p w:rsidR="00811143" w:rsidRPr="007145E3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11143" w:rsidRPr="002603CA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Nesta oportunidade, os autores optam pela</w:t>
      </w:r>
      <w:r w:rsidRPr="007145E3">
        <w:rPr>
          <w:color w:val="000000"/>
        </w:rPr>
        <w:t xml:space="preserve"> 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9"/>
      </w:r>
      <w:r w:rsidRPr="002603CA">
        <w:rPr>
          <w:color w:val="000000"/>
        </w:rPr>
        <w:t>.</w:t>
      </w:r>
    </w:p>
    <w:p w:rsidR="00811143" w:rsidRPr="002603CA" w:rsidRDefault="00811143" w:rsidP="00184F04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811143" w:rsidRPr="002603CA" w:rsidRDefault="00811143" w:rsidP="00184F04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</w:p>
    <w:p w:rsidR="004179AE" w:rsidRPr="006E17A9" w:rsidRDefault="004179AE" w:rsidP="00184F04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811143" w:rsidRPr="006E17A9" w:rsidRDefault="004179AE" w:rsidP="00184F04">
      <w:pPr>
        <w:ind w:right="-568"/>
        <w:jc w:val="center"/>
      </w:pPr>
      <w:r w:rsidRPr="006E17A9">
        <w:t>P. Deferimento.</w:t>
      </w:r>
    </w:p>
    <w:p w:rsidR="004179AE" w:rsidRPr="006E17A9" w:rsidRDefault="004179AE" w:rsidP="00184F04">
      <w:pPr>
        <w:ind w:right="-568"/>
        <w:jc w:val="center"/>
      </w:pPr>
      <w:r w:rsidRPr="006E17A9">
        <w:t>(Local e data)</w:t>
      </w:r>
    </w:p>
    <w:p w:rsidR="004179AE" w:rsidRPr="006E17A9" w:rsidRDefault="004179AE" w:rsidP="00184F04">
      <w:pPr>
        <w:ind w:right="-568"/>
        <w:jc w:val="center"/>
      </w:pPr>
      <w:r w:rsidRPr="006E17A9">
        <w:t>(Assinatura e OAB do Advogado)</w:t>
      </w:r>
    </w:p>
    <w:p w:rsidR="009F5315" w:rsidRDefault="009F5315" w:rsidP="00184F04">
      <w:pPr>
        <w:ind w:right="-568"/>
      </w:pPr>
    </w:p>
    <w:sectPr w:rsidR="009F5315" w:rsidSect="000B7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FE" w:rsidRDefault="001508FE" w:rsidP="004179AE">
      <w:r>
        <w:separator/>
      </w:r>
    </w:p>
  </w:endnote>
  <w:endnote w:type="continuationSeparator" w:id="0">
    <w:p w:rsidR="001508FE" w:rsidRDefault="001508FE" w:rsidP="004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FE" w:rsidRDefault="001508FE" w:rsidP="004179AE">
      <w:r>
        <w:separator/>
      </w:r>
    </w:p>
  </w:footnote>
  <w:footnote w:type="continuationSeparator" w:id="0">
    <w:p w:rsidR="001508FE" w:rsidRDefault="001508FE" w:rsidP="004179AE">
      <w:r>
        <w:continuationSeparator/>
      </w:r>
    </w:p>
  </w:footnote>
  <w:footnote w:id="1">
    <w:p w:rsidR="00811143" w:rsidRPr="00416336" w:rsidRDefault="00811143" w:rsidP="00184F04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184F04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 w:rsidR="00184F04"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184F04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184F04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184F04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184F04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184F04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 xml:space="preserve"> A petição inicial não será indeferida pelo não atendimento ao disposto no inciso II deste artigo se a obtenção de tais informações </w:t>
      </w:r>
      <w:proofErr w:type="gramStart"/>
      <w:r w:rsidRPr="00416336">
        <w:t>tornar</w:t>
      </w:r>
      <w:proofErr w:type="gramEnd"/>
      <w:r w:rsidRPr="00416336">
        <w:t xml:space="preserve"> impossível ou excessivamente oneroso o acesso à justiça.</w:t>
      </w:r>
    </w:p>
  </w:footnote>
  <w:footnote w:id="2">
    <w:p w:rsidR="00811143" w:rsidRPr="004C7863" w:rsidRDefault="00811143" w:rsidP="00184F04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184F04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184F04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184F04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184F04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184F0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184F04">
        <w:rPr>
          <w:bCs/>
          <w:sz w:val="20"/>
          <w:szCs w:val="20"/>
        </w:rPr>
        <w:t xml:space="preserve"> </w:t>
      </w:r>
      <w:r w:rsidRPr="00184F04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184F0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184F04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1D4E37">
        <w:rPr>
          <w:bCs/>
          <w:sz w:val="20"/>
          <w:szCs w:val="20"/>
        </w:rPr>
        <w:t>1</w:t>
      </w:r>
      <w:proofErr w:type="gramEnd"/>
      <w:r w:rsidRPr="001D4E37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811143" w:rsidRPr="002603CA" w:rsidRDefault="00811143" w:rsidP="00184F04">
      <w:pPr>
        <w:pStyle w:val="Textodenotaderodap"/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603CA">
        <w:t>a</w:t>
      </w:r>
      <w:proofErr w:type="gramEnd"/>
      <w:r w:rsidRPr="002603CA">
        <w:t xml:space="preserve"> qualificação completa na forma legal, suficiente serão os dados fornecidos que tenham o condão de identificar o indivíduo. A propósito, </w:t>
      </w:r>
      <w:r w:rsidRPr="002603CA">
        <w:rPr>
          <w:i/>
        </w:rPr>
        <w:t>residência</w:t>
      </w:r>
      <w:r w:rsidRPr="002603CA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603CA">
        <w:t>Exigi-se</w:t>
      </w:r>
      <w:proofErr w:type="spellEnd"/>
      <w:r w:rsidRPr="002603CA">
        <w:t xml:space="preserve"> o intuito de permanência. Já o </w:t>
      </w:r>
      <w:r w:rsidRPr="002603CA">
        <w:rPr>
          <w:i/>
        </w:rPr>
        <w:t>domicílio</w:t>
      </w:r>
      <w:r w:rsidRPr="002603CA">
        <w:t xml:space="preserve">, conforme a definição dos </w:t>
      </w:r>
      <w:proofErr w:type="spellStart"/>
      <w:r w:rsidRPr="002603CA">
        <w:t>arts</w:t>
      </w:r>
      <w:proofErr w:type="spellEnd"/>
      <w:r w:rsidRPr="002603CA">
        <w:t xml:space="preserve">. 70 </w:t>
      </w:r>
      <w:proofErr w:type="spellStart"/>
      <w:r w:rsidRPr="002603CA">
        <w:rPr>
          <w:i/>
        </w:rPr>
        <w:t>usque</w:t>
      </w:r>
      <w:proofErr w:type="spellEnd"/>
      <w:r w:rsidRPr="002603CA">
        <w:rPr>
          <w:i/>
        </w:rPr>
        <w:t xml:space="preserve"> </w:t>
      </w:r>
      <w:r w:rsidRPr="002603CA">
        <w:t xml:space="preserve">78, para pessoas físicas ou jurídicas, </w:t>
      </w:r>
      <w:proofErr w:type="gramStart"/>
      <w:r w:rsidRPr="002603CA">
        <w:t>é conceituado</w:t>
      </w:r>
      <w:proofErr w:type="gramEnd"/>
      <w:r w:rsidRPr="002603CA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4179AE" w:rsidRPr="006E17A9" w:rsidRDefault="004179AE" w:rsidP="00184F04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618.</w:t>
      </w:r>
      <w:r w:rsidRPr="006E17A9">
        <w:rPr>
          <w:sz w:val="20"/>
          <w:szCs w:val="20"/>
        </w:rPr>
        <w:t xml:space="preserve"> Nos contratos de empreitada de edifícios ou outras construções consideráveis, o empreiteiro de materiais e execução responderá, durante o prazo irredutível de cinco anos, pela solidez e segurança do trabalho, assim em razão dos materiais, como do solo.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Decairá do direito assegurado neste artigo o dono da obra que não propuser a ação contra o empreiteiro, nos cento e oitenta dias seguintes ao aparecimento do vício ou defeito.</w:t>
      </w:r>
    </w:p>
    <w:p w:rsidR="004179AE" w:rsidRPr="006E17A9" w:rsidRDefault="004179AE" w:rsidP="00184F04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5">
    <w:p w:rsidR="00811143" w:rsidRDefault="00811143" w:rsidP="00184F04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>
        <w:t xml:space="preserve"> </w:t>
      </w:r>
      <w:r w:rsidRPr="00811143">
        <w:rPr>
          <w:b/>
        </w:rPr>
        <w:t>CPC, art. 509.</w:t>
      </w:r>
      <w:r>
        <w:t xml:space="preserve">  Quando a sentença condenar ao pagamento de quantia ilíquida, proceder-se-á à sua liquidação, a requerimento do credor ou do devedor: I - por arbitramento, quando determinado pela sentença, convencionado pelas partes ou exigido pela natureza do objeto da liquidação; (...</w:t>
      </w:r>
      <w:proofErr w:type="gramStart"/>
      <w:r>
        <w:t>)</w:t>
      </w:r>
      <w:proofErr w:type="gramEnd"/>
    </w:p>
    <w:p w:rsidR="00811143" w:rsidRDefault="00811143" w:rsidP="00184F04">
      <w:pPr>
        <w:pStyle w:val="Textodenotaderodap"/>
        <w:ind w:right="-568"/>
        <w:jc w:val="both"/>
      </w:pPr>
      <w:r w:rsidRPr="00811143">
        <w:rPr>
          <w:b/>
        </w:rPr>
        <w:t>Art. 510.</w:t>
      </w:r>
      <w:r>
        <w:t xml:space="preserve"> </w:t>
      </w:r>
      <w:r w:rsidRPr="00811143">
        <w:t>Na liquidação por arbitramento, o juiz intimará as partes para a apresentação de pareceres ou documentos elucidativos, no prazo que fixar, e, caso não possa decidir de plano, nomeará perito, observando-se, no que couber, o procedimento da prova pericial.</w:t>
      </w:r>
      <w:r>
        <w:t xml:space="preserve"> </w:t>
      </w:r>
    </w:p>
  </w:footnote>
  <w:footnote w:id="6">
    <w:p w:rsidR="00811143" w:rsidRPr="004543A0" w:rsidRDefault="00811143" w:rsidP="00184F04">
      <w:pPr>
        <w:pStyle w:val="Textodenotaderodap"/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proofErr w:type="gramStart"/>
      <w:r>
        <w:rPr>
          <w:b/>
          <w:lang w:val="en-US"/>
        </w:rPr>
        <w:t>CPC, art.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231, II</w:t>
      </w:r>
      <w:r>
        <w:rPr>
          <w:lang w:val="en-US"/>
        </w:rPr>
        <w:t>.</w:t>
      </w:r>
      <w:proofErr w:type="gramEnd"/>
    </w:p>
  </w:footnote>
  <w:footnote w:id="7">
    <w:p w:rsidR="00811143" w:rsidRPr="008D0AE0" w:rsidRDefault="00811143" w:rsidP="00184F04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8">
    <w:p w:rsidR="00811143" w:rsidRPr="00E576A6" w:rsidRDefault="00811143" w:rsidP="00184F04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</w:t>
      </w:r>
      <w:proofErr w:type="gramStart"/>
      <w:r w:rsidRPr="00E576A6">
        <w:t>as custas</w:t>
      </w:r>
      <w:proofErr w:type="gramEnd"/>
      <w:r w:rsidRPr="00E576A6">
        <w:t>, as despesas processuais e os honorários advocatícios tem direito à gratuidade da justiça, na forma da lei.</w:t>
      </w:r>
    </w:p>
    <w:p w:rsidR="00811143" w:rsidRPr="0011143C" w:rsidRDefault="00811143" w:rsidP="00184F04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9">
    <w:p w:rsidR="00811143" w:rsidRPr="008D0AE0" w:rsidRDefault="00811143" w:rsidP="00184F04">
      <w:pPr>
        <w:pStyle w:val="Textodenotaderodap"/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E"/>
    <w:rsid w:val="000543CF"/>
    <w:rsid w:val="000B7BB3"/>
    <w:rsid w:val="001508FE"/>
    <w:rsid w:val="00180318"/>
    <w:rsid w:val="00184F04"/>
    <w:rsid w:val="00274E2A"/>
    <w:rsid w:val="00320C8B"/>
    <w:rsid w:val="004142F8"/>
    <w:rsid w:val="004179AE"/>
    <w:rsid w:val="005237D4"/>
    <w:rsid w:val="007145E3"/>
    <w:rsid w:val="00811143"/>
    <w:rsid w:val="00862BEF"/>
    <w:rsid w:val="008755C5"/>
    <w:rsid w:val="00903FF5"/>
    <w:rsid w:val="00917CC5"/>
    <w:rsid w:val="009F5315"/>
    <w:rsid w:val="00A84C2A"/>
    <w:rsid w:val="00B2422D"/>
    <w:rsid w:val="00CD0394"/>
    <w:rsid w:val="00D02C48"/>
    <w:rsid w:val="00F81B37"/>
    <w:rsid w:val="00FE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179A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179A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4179AE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4179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179A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4179AE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4179A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111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11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811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179A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179A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4179AE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4179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179A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4179AE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4179A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111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11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811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D9A0-E44B-4F72-851D-C833005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2020-06-29T20:48:00Z</dcterms:created>
  <dcterms:modified xsi:type="dcterms:W3CDTF">2020-07-13T15:44:00Z</dcterms:modified>
</cp:coreProperties>
</file>