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5A66" w14:textId="77777777" w:rsidR="0031096A" w:rsidRPr="0031096A" w:rsidRDefault="0031096A" w:rsidP="0031096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1096A">
        <w:rPr>
          <w:rFonts w:ascii="Arial Black" w:hAnsi="Arial Black" w:cs="Times New Roman"/>
          <w:sz w:val="24"/>
          <w:szCs w:val="24"/>
        </w:rPr>
        <w:t>MODELO DE PETIÇÃO</w:t>
      </w:r>
    </w:p>
    <w:p w14:paraId="38A7D232" w14:textId="77777777" w:rsidR="0031096A" w:rsidRPr="0031096A" w:rsidRDefault="0031096A" w:rsidP="0031096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1096A">
        <w:rPr>
          <w:rFonts w:ascii="Arial Black" w:hAnsi="Arial Black" w:cs="Times New Roman"/>
          <w:sz w:val="24"/>
          <w:szCs w:val="24"/>
        </w:rPr>
        <w:t>REPRESENTAÇÃO PROCESSUAL. INVENTÁRIO ENCERRADO.</w:t>
      </w:r>
    </w:p>
    <w:p w14:paraId="1937AB86" w14:textId="77777777" w:rsidR="0031096A" w:rsidRPr="0031096A" w:rsidRDefault="0031096A" w:rsidP="0031096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1096A">
        <w:rPr>
          <w:rFonts w:ascii="Arial Black" w:hAnsi="Arial Black" w:cs="Times New Roman"/>
          <w:sz w:val="24"/>
          <w:szCs w:val="24"/>
        </w:rPr>
        <w:t>CITAÇÃO DOS HERDEIROS. PETIÇÃO</w:t>
      </w:r>
    </w:p>
    <w:p w14:paraId="07BBE19D" w14:textId="77777777" w:rsidR="0031096A" w:rsidRPr="0031096A" w:rsidRDefault="0031096A" w:rsidP="0031096A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31096A">
        <w:rPr>
          <w:rFonts w:ascii="Arial Black" w:hAnsi="Arial Black" w:cs="Times New Roman"/>
          <w:sz w:val="24"/>
          <w:szCs w:val="24"/>
        </w:rPr>
        <w:t>Rénan Kfuri Lopes</w:t>
      </w:r>
    </w:p>
    <w:p w14:paraId="4DCB04C6" w14:textId="77777777" w:rsidR="0031096A" w:rsidRPr="0031096A" w:rsidRDefault="0031096A" w:rsidP="0031096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64EF563" w14:textId="77777777" w:rsidR="0031096A" w:rsidRDefault="0031096A" w:rsidP="0031096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109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53706F5A" w14:textId="266C8B24" w:rsidR="0031096A" w:rsidRPr="0031096A" w:rsidRDefault="0031096A" w:rsidP="0031096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1096A">
        <w:rPr>
          <w:rFonts w:ascii="Times New Roman" w:hAnsi="Times New Roman" w:cs="Times New Roman"/>
          <w:sz w:val="24"/>
          <w:szCs w:val="24"/>
        </w:rPr>
        <w:t xml:space="preserve">Proc.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5D59A3B" w14:textId="535D8E92" w:rsidR="0031096A" w:rsidRPr="0031096A" w:rsidRDefault="0031096A" w:rsidP="0031096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109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096A">
        <w:rPr>
          <w:rFonts w:ascii="Times New Roman" w:hAnsi="Times New Roman" w:cs="Times New Roman"/>
          <w:sz w:val="24"/>
          <w:szCs w:val="24"/>
        </w:rPr>
        <w:t>intimação</w:t>
      </w:r>
      <w:proofErr w:type="gramEnd"/>
      <w:r w:rsidRPr="0031096A">
        <w:rPr>
          <w:rFonts w:ascii="Times New Roman" w:hAnsi="Times New Roman" w:cs="Times New Roman"/>
          <w:sz w:val="24"/>
          <w:szCs w:val="24"/>
        </w:rPr>
        <w:t xml:space="preserve"> da coerdeira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1096A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E8A9FD3" w14:textId="4BF4E62C" w:rsidR="0031096A" w:rsidRPr="0031096A" w:rsidRDefault="0031096A" w:rsidP="0031096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1096A">
        <w:rPr>
          <w:rFonts w:ascii="Times New Roman" w:hAnsi="Times New Roman" w:cs="Times New Roman"/>
          <w:sz w:val="24"/>
          <w:szCs w:val="24"/>
        </w:rPr>
        <w:t xml:space="preserve">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1096A">
        <w:rPr>
          <w:rFonts w:ascii="Times New Roman" w:hAnsi="Times New Roman" w:cs="Times New Roman"/>
          <w:sz w:val="24"/>
          <w:szCs w:val="24"/>
        </w:rPr>
        <w:t xml:space="preserve">, litisconsorte passiva, por seu advogado </w:t>
      </w:r>
      <w:r w:rsidRPr="0031096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31096A">
        <w:rPr>
          <w:rFonts w:ascii="Times New Roman" w:hAnsi="Times New Roman" w:cs="Times New Roman"/>
          <w:sz w:val="24"/>
          <w:szCs w:val="24"/>
        </w:rPr>
        <w:t xml:space="preserve"> assinado, nos autos epigrafados promovidos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1096A">
        <w:rPr>
          <w:rFonts w:ascii="Times New Roman" w:hAnsi="Times New Roman" w:cs="Times New Roman"/>
          <w:sz w:val="24"/>
          <w:szCs w:val="24"/>
        </w:rPr>
        <w:t xml:space="preserve"> E OUTROS, vem, respeitosamente, aduzir o que se segue:</w:t>
      </w:r>
    </w:p>
    <w:p w14:paraId="49CC65DD" w14:textId="290413B8" w:rsidR="0031096A" w:rsidRPr="0031096A" w:rsidRDefault="0031096A" w:rsidP="0031096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1096A">
        <w:rPr>
          <w:rFonts w:ascii="Times New Roman" w:hAnsi="Times New Roman" w:cs="Times New Roman"/>
          <w:sz w:val="24"/>
          <w:szCs w:val="24"/>
        </w:rPr>
        <w:t xml:space="preserve">No 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1096A">
        <w:rPr>
          <w:rFonts w:ascii="Times New Roman" w:hAnsi="Times New Roman" w:cs="Times New Roman"/>
          <w:sz w:val="24"/>
          <w:szCs w:val="24"/>
        </w:rPr>
        <w:t xml:space="preserve"> o ora peticionário, na condição de herdeiro, pleiteou fosse regularizada a representação do seu finado filho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20E11E0" w14:textId="57369AD9" w:rsidR="0031096A" w:rsidRPr="0031096A" w:rsidRDefault="0031096A" w:rsidP="0031096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1096A">
        <w:rPr>
          <w:rFonts w:ascii="Times New Roman" w:hAnsi="Times New Roman" w:cs="Times New Roman"/>
          <w:sz w:val="24"/>
          <w:szCs w:val="24"/>
        </w:rPr>
        <w:t xml:space="preserve">Todavia, como sói os autos do inventário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1096A">
        <w:rPr>
          <w:rFonts w:ascii="Times New Roman" w:hAnsi="Times New Roman" w:cs="Times New Roman"/>
          <w:sz w:val="24"/>
          <w:szCs w:val="24"/>
        </w:rPr>
        <w:t xml:space="preserve">, também foi herdeira a sua esposa, viúva e inventariante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1096A">
        <w:rPr>
          <w:rFonts w:ascii="Times New Roman" w:hAnsi="Times New Roman" w:cs="Times New Roman"/>
          <w:sz w:val="24"/>
          <w:szCs w:val="24"/>
        </w:rPr>
        <w:t xml:space="preserve"> [evento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1096A">
        <w:rPr>
          <w:rFonts w:ascii="Times New Roman" w:hAnsi="Times New Roman" w:cs="Times New Roman"/>
          <w:sz w:val="24"/>
          <w:szCs w:val="24"/>
        </w:rPr>
        <w:t>, DOCUMENTACAO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31096A">
        <w:rPr>
          <w:rFonts w:ascii="Times New Roman" w:hAnsi="Times New Roman" w:cs="Times New Roman"/>
          <w:sz w:val="24"/>
          <w:szCs w:val="24"/>
        </w:rPr>
        <w:t>].</w:t>
      </w:r>
    </w:p>
    <w:p w14:paraId="09A952FC" w14:textId="79001E34" w:rsidR="0031096A" w:rsidRPr="0031096A" w:rsidRDefault="0031096A" w:rsidP="0031096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1096A">
        <w:rPr>
          <w:rFonts w:ascii="Times New Roman" w:hAnsi="Times New Roman" w:cs="Times New Roman"/>
          <w:sz w:val="24"/>
          <w:szCs w:val="24"/>
        </w:rPr>
        <w:t xml:space="preserve">Destarte, uma vez encerrado o inventário com a partilha e encerramento do inventário, a representação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1096A">
        <w:rPr>
          <w:rFonts w:ascii="Times New Roman" w:hAnsi="Times New Roman" w:cs="Times New Roman"/>
          <w:sz w:val="24"/>
          <w:szCs w:val="24"/>
        </w:rPr>
        <w:t xml:space="preserve"> haverá de ser regularizada com a presença de todos os seus sucessores, </w:t>
      </w:r>
      <w:r w:rsidRPr="0031096A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31096A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3109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1096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1096A">
        <w:rPr>
          <w:rFonts w:ascii="Times New Roman" w:hAnsi="Times New Roman" w:cs="Times New Roman"/>
          <w:sz w:val="24"/>
          <w:szCs w:val="24"/>
        </w:rPr>
        <w:t xml:space="preserve"> [esta já formalizada no 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1096A">
        <w:rPr>
          <w:rFonts w:ascii="Times New Roman" w:hAnsi="Times New Roman" w:cs="Times New Roman"/>
          <w:sz w:val="24"/>
          <w:szCs w:val="24"/>
        </w:rPr>
        <w:t xml:space="preserve">], </w:t>
      </w:r>
      <w:r w:rsidRPr="0031096A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Start"/>
      <w:r w:rsidRPr="0031096A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31096A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31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96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31096A">
        <w:rPr>
          <w:rFonts w:ascii="Times New Roman" w:hAnsi="Times New Roman" w:cs="Times New Roman"/>
          <w:sz w:val="24"/>
          <w:szCs w:val="24"/>
        </w:rPr>
        <w:t xml:space="preserve">. 110 </w:t>
      </w:r>
      <w:proofErr w:type="spellStart"/>
      <w:r w:rsidRPr="0031096A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31096A">
        <w:rPr>
          <w:rFonts w:ascii="Times New Roman" w:hAnsi="Times New Roman" w:cs="Times New Roman"/>
          <w:sz w:val="24"/>
          <w:szCs w:val="24"/>
        </w:rPr>
        <w:t>. 313, § 2º, I e II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3109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55E484" w14:textId="26CDB82C" w:rsidR="0031096A" w:rsidRPr="0031096A" w:rsidRDefault="0031096A" w:rsidP="0031096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3109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31096A">
        <w:rPr>
          <w:rFonts w:ascii="Times New Roman" w:hAnsi="Times New Roman" w:cs="Times New Roman"/>
          <w:sz w:val="24"/>
          <w:szCs w:val="24"/>
        </w:rPr>
        <w:t xml:space="preserve">, em respeito à boa-fé processual e colaboração, entende a peticionária que haverá de ser citada a coerdeira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1096A">
        <w:rPr>
          <w:rFonts w:ascii="Times New Roman" w:hAnsi="Times New Roman" w:cs="Times New Roman"/>
          <w:sz w:val="24"/>
          <w:szCs w:val="24"/>
        </w:rPr>
        <w:t xml:space="preserve"> para ingressar no feito regularizando por inteiro a representação do seu falecido marido, sob pena de insanável nulidade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3109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C6827" w14:textId="0188C85F" w:rsidR="0031096A" w:rsidRPr="0031096A" w:rsidRDefault="0031096A" w:rsidP="003109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109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31096A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377E7375" w14:textId="65F5E4AD" w:rsidR="0031096A" w:rsidRDefault="0031096A" w:rsidP="003109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001C135" w14:textId="0DF8B7F6" w:rsidR="0031096A" w:rsidRPr="0031096A" w:rsidRDefault="0031096A" w:rsidP="0031096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31096A" w:rsidRPr="00310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16E9" w14:textId="77777777" w:rsidR="00704F4D" w:rsidRDefault="00704F4D" w:rsidP="0031096A">
      <w:pPr>
        <w:spacing w:after="0" w:line="240" w:lineRule="auto"/>
      </w:pPr>
      <w:r>
        <w:separator/>
      </w:r>
    </w:p>
  </w:endnote>
  <w:endnote w:type="continuationSeparator" w:id="0">
    <w:p w14:paraId="1F4E88BE" w14:textId="77777777" w:rsidR="00704F4D" w:rsidRDefault="00704F4D" w:rsidP="0031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C235" w14:textId="77777777" w:rsidR="00704F4D" w:rsidRDefault="00704F4D" w:rsidP="0031096A">
      <w:pPr>
        <w:spacing w:after="0" w:line="240" w:lineRule="auto"/>
      </w:pPr>
      <w:r>
        <w:separator/>
      </w:r>
    </w:p>
  </w:footnote>
  <w:footnote w:type="continuationSeparator" w:id="0">
    <w:p w14:paraId="3A00F8C0" w14:textId="77777777" w:rsidR="00704F4D" w:rsidRDefault="00704F4D" w:rsidP="0031096A">
      <w:pPr>
        <w:spacing w:after="0" w:line="240" w:lineRule="auto"/>
      </w:pPr>
      <w:r>
        <w:continuationSeparator/>
      </w:r>
    </w:p>
  </w:footnote>
  <w:footnote w:id="1">
    <w:p w14:paraId="14939719" w14:textId="4EC8AB7F" w:rsidR="0031096A" w:rsidRPr="0031096A" w:rsidRDefault="0031096A" w:rsidP="0031096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1096A">
        <w:rPr>
          <w:rStyle w:val="Refdenotaderodap"/>
          <w:rFonts w:ascii="Times New Roman" w:hAnsi="Times New Roman" w:cs="Times New Roman"/>
        </w:rPr>
        <w:footnoteRef/>
      </w:r>
      <w:r w:rsidRPr="0031096A">
        <w:rPr>
          <w:rFonts w:ascii="Times New Roman" w:hAnsi="Times New Roman" w:cs="Times New Roman"/>
        </w:rPr>
        <w:t xml:space="preserve"> </w:t>
      </w:r>
      <w:r w:rsidRPr="0031096A">
        <w:rPr>
          <w:rFonts w:ascii="Times New Roman" w:hAnsi="Times New Roman" w:cs="Times New Roman"/>
        </w:rPr>
        <w:t>CPC, art. 110. Ocorrendo a morte de qualquer das partes, dar-se-á a sucessão pelo seu espólio ou pelos seus sucessores, observado o disposto no art. 313, §§ 1º e 2º.</w:t>
      </w:r>
    </w:p>
  </w:footnote>
  <w:footnote w:id="2">
    <w:p w14:paraId="2A1CB755" w14:textId="77777777" w:rsidR="0031096A" w:rsidRPr="0031096A" w:rsidRDefault="0031096A" w:rsidP="0031096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1096A">
        <w:rPr>
          <w:rStyle w:val="Refdenotaderodap"/>
          <w:rFonts w:ascii="Times New Roman" w:hAnsi="Times New Roman" w:cs="Times New Roman"/>
        </w:rPr>
        <w:footnoteRef/>
      </w:r>
      <w:r w:rsidRPr="0031096A">
        <w:rPr>
          <w:rFonts w:ascii="Times New Roman" w:hAnsi="Times New Roman" w:cs="Times New Roman"/>
        </w:rPr>
        <w:t xml:space="preserve"> </w:t>
      </w:r>
      <w:r w:rsidRPr="0031096A">
        <w:rPr>
          <w:rFonts w:ascii="Times New Roman" w:hAnsi="Times New Roman" w:cs="Times New Roman"/>
        </w:rPr>
        <w:t>APELAÇÃO – ENCERRAMENTO DO INVENTÁRIO - EXTINÇÃO DO FEITO SOB FUNDAMENTO DE ILEGITIMIDADE ATIVA DO ESPÓLIO – SUBSTITUIÇÃO PROCESSUAL – HERDEIROS – POSSIBILIDADE. 1 – Entrega de justiça material que é o último fim do processo, devendo-se privilegiar o julgamento de mérito em consonância com os artigos 4º e 6º do Código de Processo Civil. 2 – Embora tenha ocorrido a partilha dos bens, mostra-se perfeitamente possível a retificação do polo ativo com a inclusão dos herdeiros, evitando-se a extinção e o consequente ajuizamento de nova demanda, aproveitando-se os atos realizados. RECURSO PROVIDO. Sentença anulada.</w:t>
      </w:r>
    </w:p>
    <w:p w14:paraId="3D1F32AC" w14:textId="2AB1F8C5" w:rsidR="0031096A" w:rsidRPr="0031096A" w:rsidRDefault="0031096A" w:rsidP="0031096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1096A">
        <w:rPr>
          <w:rFonts w:ascii="Times New Roman" w:hAnsi="Times New Roman" w:cs="Times New Roman"/>
        </w:rPr>
        <w:t xml:space="preserve">[TJSP, AC: 10238737720208260562, Rel. Des. Maria Lúcia Pizzotti, 30ª Câmara de Direito Privado, </w:t>
      </w:r>
      <w:proofErr w:type="spellStart"/>
      <w:r w:rsidRPr="0031096A">
        <w:rPr>
          <w:rFonts w:ascii="Times New Roman" w:hAnsi="Times New Roman" w:cs="Times New Roman"/>
        </w:rPr>
        <w:t>DJe</w:t>
      </w:r>
      <w:proofErr w:type="spellEnd"/>
      <w:r w:rsidRPr="0031096A">
        <w:rPr>
          <w:rFonts w:ascii="Times New Roman" w:hAnsi="Times New Roman" w:cs="Times New Roman"/>
        </w:rPr>
        <w:t xml:space="preserve"> 22.06.22].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6A"/>
    <w:rsid w:val="0031096A"/>
    <w:rsid w:val="007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58EC"/>
  <w15:chartTrackingRefBased/>
  <w15:docId w15:val="{DF52388B-4C51-43BF-B9AF-B72C027E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96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96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623C-52CB-4E19-9881-55B5A1B6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2024-01-29T17:44:00Z</dcterms:created>
  <dcterms:modified xsi:type="dcterms:W3CDTF">2024-01-29T17:49:00Z</dcterms:modified>
</cp:coreProperties>
</file>