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867F4" w14:textId="77777777" w:rsidR="00053220" w:rsidRDefault="00053220" w:rsidP="0047225E">
      <w:pPr>
        <w:ind w:left="0" w:right="-568"/>
        <w:jc w:val="center"/>
        <w:rPr>
          <w:rFonts w:ascii="Arial Black" w:hAnsi="Arial Black" w:cs="Times New Roman"/>
          <w:b/>
          <w:spacing w:val="0"/>
          <w:sz w:val="24"/>
          <w:szCs w:val="24"/>
        </w:rPr>
      </w:pPr>
      <w:r>
        <w:rPr>
          <w:rFonts w:ascii="Arial Black" w:hAnsi="Arial Black" w:cs="Times New Roman"/>
          <w:b/>
          <w:spacing w:val="0"/>
          <w:sz w:val="24"/>
          <w:szCs w:val="24"/>
        </w:rPr>
        <w:t>MODELO DE PETIÇÃO</w:t>
      </w:r>
    </w:p>
    <w:p w14:paraId="5528CF2F" w14:textId="3E3BAD1E" w:rsidR="00DD0A4F" w:rsidRDefault="00F625E4" w:rsidP="0047225E">
      <w:pPr>
        <w:ind w:left="0" w:right="-568"/>
        <w:jc w:val="center"/>
        <w:rPr>
          <w:rFonts w:ascii="Arial Black" w:hAnsi="Arial Black" w:cs="Times New Roman"/>
          <w:b/>
          <w:spacing w:val="0"/>
          <w:sz w:val="24"/>
          <w:szCs w:val="24"/>
        </w:rPr>
      </w:pPr>
      <w:r>
        <w:rPr>
          <w:rFonts w:ascii="Arial Black" w:hAnsi="Arial Black"/>
          <w:b/>
          <w:spacing w:val="0"/>
          <w:sz w:val="24"/>
          <w:szCs w:val="24"/>
        </w:rPr>
        <w:t xml:space="preserve">PROCESSO CIVIL. </w:t>
      </w:r>
      <w:r w:rsidR="00DB58CC" w:rsidRPr="0047225E">
        <w:rPr>
          <w:rFonts w:ascii="Arial Black" w:hAnsi="Arial Black" w:cs="Times New Roman"/>
          <w:b/>
          <w:spacing w:val="0"/>
          <w:sz w:val="24"/>
          <w:szCs w:val="24"/>
        </w:rPr>
        <w:t>RECONVENÇÃO. TERCEIROS. DESPACHO CITAÇÃO. ADMINISTRATIVO</w:t>
      </w:r>
    </w:p>
    <w:p w14:paraId="19A12C39" w14:textId="77777777" w:rsidR="00053220" w:rsidRPr="00053220" w:rsidRDefault="00053220" w:rsidP="00053220">
      <w:pPr>
        <w:ind w:left="284" w:right="-286"/>
        <w:jc w:val="right"/>
        <w:rPr>
          <w:rFonts w:ascii="Arial Black" w:hAnsi="Arial Black"/>
          <w:b/>
          <w:spacing w:val="0"/>
          <w:sz w:val="24"/>
          <w:szCs w:val="24"/>
        </w:rPr>
      </w:pPr>
      <w:r w:rsidRPr="00B573FB">
        <w:rPr>
          <w:rFonts w:ascii="Arial Black" w:hAnsi="Arial Black"/>
          <w:b/>
          <w:spacing w:val="0"/>
          <w:sz w:val="24"/>
          <w:szCs w:val="24"/>
        </w:rPr>
        <w:t>Rénan Kfuri Lopes</w:t>
      </w:r>
    </w:p>
    <w:p w14:paraId="572A3AA2" w14:textId="77777777" w:rsidR="00DB58CC" w:rsidRPr="00DD0A4F" w:rsidRDefault="00DB58CC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0A182DF9" w14:textId="77777777" w:rsid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spacing w:val="0"/>
          <w:sz w:val="24"/>
          <w:szCs w:val="24"/>
        </w:rPr>
        <w:t>E</w:t>
      </w:r>
      <w:r>
        <w:rPr>
          <w:rFonts w:ascii="Times New Roman" w:hAnsi="Times New Roman" w:cs="Times New Roman"/>
          <w:spacing w:val="0"/>
          <w:sz w:val="24"/>
          <w:szCs w:val="24"/>
        </w:rPr>
        <w:t>xma. Sra. Juíza de Direito da ... Vara Empresarial da Comarca de ...</w:t>
      </w:r>
    </w:p>
    <w:p w14:paraId="5CA86A1E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43FBF7BC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(nome)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0"/>
          <w:sz w:val="24"/>
          <w:szCs w:val="24"/>
        </w:rPr>
        <w:t>requerido e reconvinte, por seu advogado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in fine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assinado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, nos autos epigrafados promovidos por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, tomando conhecimento do conteúdo dos embargos de declarações [Id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], vem, respeitosamente, aduzir o que se segue:</w:t>
      </w:r>
    </w:p>
    <w:p w14:paraId="345BC449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3F85E7F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I-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REJEIÇÃO DOS EMBARGOS DE DECLARAÇÃO DO Id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</w:p>
    <w:p w14:paraId="0F2067C4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693981CC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Os autores insurgem-se através do recurso de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embargos de declaração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” contra o despacho de mero expediente constante no Id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que determinou a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citação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” do terceiro reconvindo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</w:p>
    <w:p w14:paraId="5E3566C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41B4707A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2.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Alegaram os embargantes que o d. juízo não poderia ordenar a citação de terceiros para responderem a presente ação, pois se estaria contrariando ao princípio do contraditório e da ampla defesa [CPC, </w:t>
      </w:r>
      <w:proofErr w:type="spellStart"/>
      <w:r w:rsidRPr="00DD0A4F">
        <w:rPr>
          <w:rFonts w:ascii="Times New Roman" w:hAnsi="Times New Roman" w:cs="Times New Roman"/>
          <w:spacing w:val="0"/>
          <w:sz w:val="24"/>
          <w:szCs w:val="24"/>
        </w:rPr>
        <w:t>arts</w:t>
      </w:r>
      <w:proofErr w:type="spellEnd"/>
      <w:r w:rsidRPr="00DD0A4F">
        <w:rPr>
          <w:rFonts w:ascii="Times New Roman" w:hAnsi="Times New Roman" w:cs="Times New Roman"/>
          <w:spacing w:val="0"/>
          <w:sz w:val="24"/>
          <w:szCs w:val="24"/>
        </w:rPr>
        <w:t>. 7º, 9º e 10], invocando, também, que haveriam de ser previamente intimados antes de se proferir o despacho administrativo citatório embargado [CPC, art. 343, § 1º].</w:t>
      </w:r>
    </w:p>
    <w:p w14:paraId="424BDB27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7323310B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Data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venia</w:t>
      </w:r>
      <w:proofErr w:type="spellEnd"/>
      <w:r w:rsidRPr="00DD0A4F">
        <w:rPr>
          <w:rFonts w:ascii="Times New Roman" w:hAnsi="Times New Roman" w:cs="Times New Roman"/>
          <w:spacing w:val="0"/>
          <w:sz w:val="24"/>
          <w:szCs w:val="24"/>
        </w:rPr>
        <w:t>, beira à má-fé processual a pretensão veiculada pelos embargantes de declaração, pois não há previsão legal que iniba ao juiz determinar a citação da parte convocada para participar da lide!</w:t>
      </w:r>
    </w:p>
    <w:p w14:paraId="281D76F2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0D68F6D0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4.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Ab</w:t>
      </w:r>
      <w:proofErr w:type="spellEnd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 initio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, há de se ressaltar que o demandado reconvinte promoveu reconvenção contra o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terceiro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”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como lhe faculta o art. 343, § 3º do CPC,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ex</w:t>
      </w:r>
      <w:proofErr w:type="spellEnd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 legis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0ED13553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0AF767A1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Art. 343. Na contestação, é lícito ao réu propor reconvenção para manifestar pretensão própria, conexa com a ação principal ou com o fundamento da defesa:</w:t>
      </w:r>
    </w:p>
    <w:p w14:paraId="504F40FD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>
        <w:rPr>
          <w:rFonts w:ascii="Times New Roman" w:hAnsi="Times New Roman" w:cs="Times New Roman"/>
          <w:i/>
          <w:spacing w:val="0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i/>
          <w:spacing w:val="0"/>
          <w:sz w:val="24"/>
          <w:szCs w:val="24"/>
        </w:rPr>
        <w:t>omissis</w:t>
      </w:r>
      <w:proofErr w:type="spellEnd"/>
      <w:r>
        <w:rPr>
          <w:rFonts w:ascii="Times New Roman" w:hAnsi="Times New Roman" w:cs="Times New Roman"/>
          <w:i/>
          <w:spacing w:val="0"/>
          <w:sz w:val="24"/>
          <w:szCs w:val="24"/>
        </w:rPr>
        <w:t>...</w:t>
      </w:r>
    </w:p>
    <w:p w14:paraId="0B7CF7EA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§ 3º.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ab/>
        <w:t xml:space="preserve"> A reconvenção pode ser proposta contra o autor e terceiro</w:t>
      </w:r>
    </w:p>
    <w:p w14:paraId="543F82DB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...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omissis</w:t>
      </w:r>
      <w:proofErr w:type="spellEnd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...</w:t>
      </w:r>
    </w:p>
    <w:p w14:paraId="238BE3E7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48B2CE50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5.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E se sabe que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a reconvenção é como se fosse uma nova ação ajuizada pelo réu contra o autor ou terceiros cuja pretensão própria seja conexa com a ação principal ou com o fundamento da defesa, no momento de responder os termos da petição inicial. Assim, trata-se de um pedido do réu contra o autor ou terceiro, dentro do mesmo processo...Na verdade, as partes serão simultaneamente, autor e réu...Em virtude do princípio da economia processual, a reconvenção existe para se evitar o desperdício de tempo em se ajuizar um novo processo que pode ser perfeitamente decidido junto ao que já se encontra em curso...A legislação abre possibilidade de ampliar o polo passivo da reconvenção contra terceiro (§ 3º do art. 343)...a reconvenção ampliativa é expressão da legítima tendência a universalizar a tutela jurisdicional, procurando extrair do processo o máximo do proveito útil que seja capaz de oferecer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”. </w:t>
      </w:r>
    </w:p>
    <w:p w14:paraId="0EA1B226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6C3C2289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6.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O reconvinte/demandado fundamentou juridicamente e ilustrou com documentos o cabimento e a procedência da reconvenção proposta contra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na contestação [Id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- Págs.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...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].</w:t>
      </w:r>
    </w:p>
    <w:p w14:paraId="5A05CD97" w14:textId="77777777" w:rsid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2BAD0262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7.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E por ser um terceiro a ser ingresso na lide, ainda sem advogado constituído nos autos, indispensável a citação pessoal e válida do reconvindo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para integrar a relação processual, sob pena de nulidade [CPC, </w:t>
      </w:r>
      <w:proofErr w:type="spellStart"/>
      <w:r w:rsidRPr="00DD0A4F">
        <w:rPr>
          <w:rFonts w:ascii="Times New Roman" w:hAnsi="Times New Roman" w:cs="Times New Roman"/>
          <w:spacing w:val="0"/>
          <w:sz w:val="24"/>
          <w:szCs w:val="24"/>
        </w:rPr>
        <w:t>arts</w:t>
      </w:r>
      <w:proofErr w:type="spellEnd"/>
      <w:r w:rsidRPr="00DD0A4F">
        <w:rPr>
          <w:rFonts w:ascii="Times New Roman" w:hAnsi="Times New Roman" w:cs="Times New Roman"/>
          <w:spacing w:val="0"/>
          <w:sz w:val="24"/>
          <w:szCs w:val="24"/>
        </w:rPr>
        <w:t>. 238, 239 e 242], por oficial de justiça [CPC, art. 246, II].</w:t>
      </w:r>
    </w:p>
    <w:p w14:paraId="27412BFD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0A41603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8.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Rogata</w:t>
      </w:r>
      <w:proofErr w:type="spellEnd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venia</w:t>
      </w:r>
      <w:proofErr w:type="spellEnd"/>
      <w:r w:rsidRPr="00DD0A4F">
        <w:rPr>
          <w:rFonts w:ascii="Times New Roman" w:hAnsi="Times New Roman" w:cs="Times New Roman"/>
          <w:spacing w:val="0"/>
          <w:sz w:val="24"/>
          <w:szCs w:val="24"/>
        </w:rPr>
        <w:t>, o despacho ora embargado que ordena a citação do terceiro reconvindo não tem jaez decisório para os ora embargantes, pois se trata de um ato administrativo de impulsionar o processo de natureza eminentemente administrativa, sequer suscetível de ser atacado por qualquer</w:t>
      </w:r>
      <w:r w:rsidR="00053220">
        <w:rPr>
          <w:rFonts w:ascii="Times New Roman" w:hAnsi="Times New Roman" w:cs="Times New Roman"/>
          <w:spacing w:val="0"/>
          <w:sz w:val="24"/>
          <w:szCs w:val="24"/>
        </w:rPr>
        <w:t xml:space="preserve"> via recursal [CPC, art. 1.001]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, como há muito entendem sem discrepância a doutrina e jurisprudência pátria. </w:t>
      </w:r>
    </w:p>
    <w:p w14:paraId="091475D3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70F8C557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9.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Noutra vértice, a matéria direcionada ao terceiro reconvindo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, com a citação através de Oficial de Justiça, lhe possibilitará dentro do mais amplo espaço probatório próprio do processo ordinário exercer sua própria defesa.</w:t>
      </w:r>
    </w:p>
    <w:p w14:paraId="12B78276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2514930E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10.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E não têm os autores legitimidade processual para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defender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” os interesses do reconvindo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ex</w:t>
      </w:r>
      <w:proofErr w:type="spellEnd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 vi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a regra estanque e aplicativa ao caso do art. 18 do CPC: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Ninguém poderá pleitear direito alheio em nome próprio, salvo quando autorizado pelo ordenamento jurídico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”.</w:t>
      </w:r>
    </w:p>
    <w:p w14:paraId="215A3DAE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1DFCFB87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11.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Outrossim, todas as matérias, inclusive a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segunda reconvenção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” [esta sim dirigida aos autores] poderão ser impugnadas através da oportuna intimação dos seus advogados já constituídos nestes autos como prediz o art. 343, § 1º do CPC. </w:t>
      </w:r>
    </w:p>
    <w:p w14:paraId="0D4A302E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722708C9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Em arremate, os embargantes não trouxeram aos autos nenhuma das hipóteses adequadas para o cabimento dos </w:t>
      </w:r>
      <w:proofErr w:type="spellStart"/>
      <w:r w:rsidRPr="00DD0A4F">
        <w:rPr>
          <w:rFonts w:ascii="Times New Roman" w:hAnsi="Times New Roman" w:cs="Times New Roman"/>
          <w:spacing w:val="0"/>
          <w:sz w:val="24"/>
          <w:szCs w:val="24"/>
        </w:rPr>
        <w:t>aclaratórios</w:t>
      </w:r>
      <w:proofErr w:type="spellEnd"/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relacionadas no art. 1.022 do CPC: obscuridade, contradição ou erro material. Limitaram a dizer o seu inconformismo contra o despacho administrativo da citação do terceiro reconvindo, 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data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venia</w:t>
      </w:r>
      <w:proofErr w:type="spellEnd"/>
      <w:r w:rsidRPr="00DD0A4F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5E88EA13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4588B9D6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13.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Ora, a natureza específica dos embargos de declaração é a de propiciar a correção, a integração e a complementação das decisões judiciais que se apresentam ambíguas, obscuras, contraditórias ou omissas e, com efeito, os embargos de declaração não constituem veículo próprio para o exame das razões atinentes ao inconformismo da parte, tampouco meio de revisão, rediscussão e reforma de matéria já decidida. </w:t>
      </w:r>
    </w:p>
    <w:p w14:paraId="294E25E7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3610DC9F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14.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Por isso, haverão de ser REJEITADOS os embargos de declaração estampados no Id</w:t>
      </w:r>
      <w:proofErr w:type="gramStart"/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sz w:val="24"/>
          <w:szCs w:val="24"/>
        </w:rPr>
        <w:tab/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ab/>
      </w:r>
    </w:p>
    <w:p w14:paraId="3FEC8119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II-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INDEFERIMENTO DA TUTELA DE URGÊNCIA</w:t>
      </w:r>
    </w:p>
    <w:p w14:paraId="6F2184E7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73F4968A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15.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A presente ação de responsabilidade foi distribuída por dependência à ação ordinária de dissolução parcial de sociedade por exclusão de sócio n.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[vide Id </w:t>
      </w:r>
      <w:r>
        <w:rPr>
          <w:rFonts w:ascii="Times New Roman" w:hAnsi="Times New Roman" w:cs="Times New Roman"/>
          <w:spacing w:val="0"/>
          <w:sz w:val="24"/>
          <w:szCs w:val="24"/>
        </w:rPr>
        <w:t>...- Pág. 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 --- doc.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n. ...</w:t>
      </w:r>
    </w:p>
    <w:p w14:paraId="0940197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7B1D5193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16.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Esse d. juízo nos referidos autos de dissolução parcial de sociedade </w:t>
      </w:r>
      <w:proofErr w:type="gramStart"/>
      <w:r w:rsidRPr="00DD0A4F">
        <w:rPr>
          <w:rFonts w:ascii="Times New Roman" w:hAnsi="Times New Roman" w:cs="Times New Roman"/>
          <w:spacing w:val="0"/>
          <w:sz w:val="24"/>
          <w:szCs w:val="24"/>
        </w:rPr>
        <w:t>acima,  em</w:t>
      </w:r>
      <w:proofErr w:type="gramEnd"/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decisão fundamentada da lavra da </w:t>
      </w:r>
      <w:proofErr w:type="spellStart"/>
      <w:r w:rsidRPr="00DD0A4F">
        <w:rPr>
          <w:rFonts w:ascii="Times New Roman" w:hAnsi="Times New Roman" w:cs="Times New Roman"/>
          <w:spacing w:val="0"/>
          <w:sz w:val="24"/>
          <w:szCs w:val="24"/>
        </w:rPr>
        <w:t>MMa</w:t>
      </w:r>
      <w:proofErr w:type="spellEnd"/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. Juíza, Dra.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, indeferiu a pretendida tutela provisória de urgência para o afastamento do demandado/reconvinte, pois ausentes os requisitos do fundado receio de lesão grave e de difícil reparação, não tendo sido comprovado de forma inequívoca a verossimilhança das alegações e a irreversibilidade do provimento antecipatório, ressaltando V. Exa. naquela oportunidade nos autos em apenso, in litteris:</w:t>
      </w:r>
    </w:p>
    <w:p w14:paraId="2ECF7DD2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691AC039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spacing w:val="0"/>
          <w:sz w:val="24"/>
          <w:szCs w:val="24"/>
        </w:rPr>
        <w:t>“...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Examinando os autos, verifica-se que a sociedade existe á mais de seis anos e que não houve nenhuma reclamação quanto ao seu funcionamento com o sócio réu. Em momento de crise, com as divergências apresentadas entre os sócios, as imputações de condutas ilícitas e atos de má gestão não podem ser isoladamente consideradas. A meu ver, os documentos apresentados não são suficientes para d</w:t>
      </w:r>
      <w:r>
        <w:rPr>
          <w:rFonts w:ascii="Times New Roman" w:hAnsi="Times New Roman" w:cs="Times New Roman"/>
          <w:i/>
          <w:spacing w:val="0"/>
          <w:sz w:val="24"/>
          <w:szCs w:val="24"/>
        </w:rPr>
        <w:t>eferimento da tutela requerida.</w:t>
      </w:r>
    </w:p>
    <w:p w14:paraId="424D29DE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A vida da sociedade não se confunde com de seus sócios. Uma intervenção drástica do Poder Judiciário pode comprometer a credibilidade e os negócios operacionais do empreendimento. Nada impede que os alegados prejuízos sejam ressarcidos em perdas e danos após a citação e o respeito ao contraditório. Sopesando o princípio da liberdade econômica e da intervenção mínima do judiciário com os elementos trazidos aos auto, não se verifica a necessidade da urgência pontada para ind</w:t>
      </w:r>
      <w:r>
        <w:rPr>
          <w:rFonts w:ascii="Times New Roman" w:hAnsi="Times New Roman" w:cs="Times New Roman"/>
          <w:i/>
          <w:spacing w:val="0"/>
          <w:sz w:val="24"/>
          <w:szCs w:val="24"/>
        </w:rPr>
        <w:t>icar um interventor na empresa.</w:t>
      </w:r>
    </w:p>
    <w:p w14:paraId="254BF75A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Portanto, ausente a verossimilhança das alegações, não há como deferir a tutela pretendida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”.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[doc.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n. 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</w:t>
      </w:r>
    </w:p>
    <w:p w14:paraId="6E5CF908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7FCA90BA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17.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Os autores interpuseram agravo de instrumento contra o r. decisum que indeferiu a tutela antecipada de afastamento do aqui demandado/reconvinte [AI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], tendo o eminente Des.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INDEFERIDO O PLEITO DE ANTECIPAÇÃO DA TUTELA RECURSAL E RECEBIDO O RECURSO APENAS EM SEU EFEITO DEVOLUTIVO, com essas palavras, 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verbo ad verbum:</w:t>
      </w:r>
    </w:p>
    <w:p w14:paraId="191F344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5D2508EA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spacing w:val="0"/>
          <w:sz w:val="24"/>
          <w:szCs w:val="24"/>
        </w:rPr>
        <w:t>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... Tenho que a sociedade está em pleno funcionamento e, conforme aduziram os próprios agravantes, em razão da atuação singular do sócio agravado. Afastá-lo arbitrariamente da empresa, neste momento, pode acabar prejudicando o que os agr</w:t>
      </w:r>
      <w:r>
        <w:rPr>
          <w:rFonts w:ascii="Times New Roman" w:hAnsi="Times New Roman" w:cs="Times New Roman"/>
          <w:i/>
          <w:spacing w:val="0"/>
          <w:sz w:val="24"/>
          <w:szCs w:val="24"/>
        </w:rPr>
        <w:t>avantes visam aqui proteger ...</w:t>
      </w:r>
    </w:p>
    <w:p w14:paraId="70D3EEA4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Nesse passo, tenho que a matéria necessita de maior dilação probatória, onde serão verificadas todas as particularidades, inclusive quanto à veracidade dos fatos alegados. Valendo ressaltar que eventuais prejuízos aos agravantes serão oportunamente objeto de ressarcimento após a observância do contraditório, dada a eminente necessida</w:t>
      </w:r>
      <w:r>
        <w:rPr>
          <w:rFonts w:ascii="Times New Roman" w:hAnsi="Times New Roman" w:cs="Times New Roman"/>
          <w:i/>
          <w:spacing w:val="0"/>
          <w:sz w:val="24"/>
          <w:szCs w:val="24"/>
        </w:rPr>
        <w:t>de de aprofundamento cognitivo.</w:t>
      </w:r>
    </w:p>
    <w:p w14:paraId="0D771087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Ante o exposto </w:t>
      </w:r>
      <w:proofErr w:type="spellStart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fulcrado</w:t>
      </w:r>
      <w:proofErr w:type="spellEnd"/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 no princípio da preservação da empresa, que inclusive foi invocado pelos agravantes, indefiro o pleito de antecipação da tutela recursal e recebo o recurso de instrumento apenas em seu efeito devolutivo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”.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[doc.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n. 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</w:t>
      </w:r>
    </w:p>
    <w:p w14:paraId="2BC1C3C4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437FFCF0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A mencionada ação de dissolução de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sociedade foi contestada cumulada com 02 (duas) reconvenções pelo demandado/requerido, alinhada com farta prova documental, evidenciando que não houve a prática de qualquer ilícito por parte do defendente; que a sócia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[ora autora] e o seu pai/sócio de fato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[reconvindo] acompanhavam a administração da sociedade; e as demandas ajuizadas se deram exclusivamente pelas desavenças na venda da sociedade, avaliada por profissional no final do ano passado em aproximadamente R$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[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sem os imóveis [</w:t>
      </w:r>
      <w:r w:rsidR="00053220">
        <w:rPr>
          <w:rFonts w:ascii="Times New Roman" w:hAnsi="Times New Roman" w:cs="Times New Roman"/>
          <w:spacing w:val="0"/>
          <w:sz w:val="24"/>
          <w:szCs w:val="24"/>
        </w:rPr>
        <w:t>doc. n. ... n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o Id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].</w:t>
      </w:r>
    </w:p>
    <w:p w14:paraId="201748A6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384ACA64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19.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Verifica-se pela leitura das iniciais e das contestações destas 02 demandas [Dissolução Parcial e Responsabilidade] uma completa similitude dos fatos deduzidos pelos contendores [vide contestação cumulada com reconvenção dos presentes autos de Responsabilidade no Id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 e relação de documentos acostados no Id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- Págs.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].</w:t>
      </w:r>
    </w:p>
    <w:p w14:paraId="2843401C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36FF4D96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20.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E nesta oportunidade, não há nos autos qualquer elemento probatório jungido ou minimamente indiciário da prática de ato ilícito causadores de danos materiais que justificasse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lastRenderedPageBreak/>
        <w:t>uma tutela de urgência SATISFATIVA como a reivindicada pelos autores, consistente na constrição de todo o patrimônio do demandado.</w:t>
      </w:r>
    </w:p>
    <w:p w14:paraId="7B503E0B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506921EF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21.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Nos termos do disposto no art. 300 do CPC,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a concessão de tutela provisória de urgência - de natureza cautelar ou satisfativa - requer a presença, de forma cumulativa, dos requisitos da probabilidade do direito invocado pela parte requerente e da existência de perigo de dano, caso o provimento jurisdicional reclamado somente seja concedido em decisão final. Inexistindo, nos autos, demonstração de risco concreto de que, em caso de procedência da pretensão inicial, possa frustrar-se a efetivação do direito a ser eventualmente reconhecido - referente a obtenção, junto aos Agravados, do valor a que dizem os Agravantes fazerem jus na hipótese acolhimento da pretensão inicial - não é possível a concessão de medida acautelatória consistente no impedimento de modificação, até o julgamento do mérito da demanda, da matrícula do imóvel objeto do contrato, firmado entre as partes, do qual decorre o litígio, a tanto não bastando meros temores subjetivos da parte Autora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” [TJMG, AI 1.0000.18.024400-6/001, DJ 29.10.2018].</w:t>
      </w:r>
    </w:p>
    <w:p w14:paraId="6C47A410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136DFCA4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22.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Ademais, “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segundo o art. 300 do CPC, são requisitos gerais para a concessão das tutelas provisórias de urgência: a demonstração da probabilidade do direito e do perigo de dano ou risco</w:t>
      </w:r>
      <w:r>
        <w:rPr>
          <w:rFonts w:ascii="Times New Roman" w:hAnsi="Times New Roman" w:cs="Times New Roman"/>
          <w:i/>
          <w:spacing w:val="0"/>
          <w:sz w:val="24"/>
          <w:szCs w:val="24"/>
        </w:rPr>
        <w:t xml:space="preserve"> ao resultado útil do processo.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 xml:space="preserve"> A medida de arresto para constrição de bens do réu exige a demonstração de dilapidação de patrimônio e insolvência. No caso dos autos, não há provas contundentes de que o réu esteja dissipando seu patrimônio, sem permanecer com bens que possam garantir eventual futura execução, forçando, assim, um estado de insolvência, razão pela qual não se verifica a presença dos requisitos autorizadores da medida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” [TJMG, AI 1.0000.18.084028-2/001, DJ 23.10.2018].</w:t>
      </w:r>
    </w:p>
    <w:p w14:paraId="7D81D8BF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796507ED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23.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A moldura fática é idêntica à dos autos apensados. E pelos mesmos fundamentos já adotados por esse d. Juízo, não há tecido legal e prova inconteste de ato ilícito, dano ou ameaça ao direito sub judice, suficiente para uma medida tão drástica como a constrição patrimonial do demandado </w:t>
      </w:r>
      <w:r w:rsidRPr="00DD0A4F">
        <w:rPr>
          <w:rFonts w:ascii="Times New Roman" w:hAnsi="Times New Roman" w:cs="Times New Roman"/>
          <w:i/>
          <w:spacing w:val="0"/>
          <w:sz w:val="24"/>
          <w:szCs w:val="24"/>
        </w:rPr>
        <w:t>in limine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3EE08B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4DD0DA19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24.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Forte no bom direito, há de ser indeferida a tutela provisória de urgência cautelar s</w:t>
      </w:r>
      <w:r>
        <w:rPr>
          <w:rFonts w:ascii="Times New Roman" w:hAnsi="Times New Roman" w:cs="Times New Roman"/>
          <w:spacing w:val="0"/>
          <w:sz w:val="24"/>
          <w:szCs w:val="24"/>
        </w:rPr>
        <w:t>atisfativa almejada na inicial.</w:t>
      </w:r>
    </w:p>
    <w:p w14:paraId="604BE2D2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5A498826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III-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PEDIDOS</w:t>
      </w:r>
    </w:p>
    <w:p w14:paraId="51F90F4B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5ACC82E4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25. </w:t>
      </w:r>
      <w:proofErr w:type="spellStart"/>
      <w:r w:rsidRPr="00DD0A4F">
        <w:rPr>
          <w:rFonts w:ascii="Times New Roman" w:hAnsi="Times New Roman" w:cs="Times New Roman"/>
          <w:b/>
          <w:i/>
          <w:spacing w:val="0"/>
          <w:sz w:val="24"/>
          <w:szCs w:val="24"/>
        </w:rPr>
        <w:t>Ex</w:t>
      </w:r>
      <w:proofErr w:type="spellEnd"/>
      <w:r w:rsidRPr="00DD0A4F">
        <w:rPr>
          <w:rFonts w:ascii="Times New Roman" w:hAnsi="Times New Roman" w:cs="Times New Roman"/>
          <w:b/>
          <w:i/>
          <w:spacing w:val="0"/>
          <w:sz w:val="24"/>
          <w:szCs w:val="24"/>
        </w:rPr>
        <w:t xml:space="preserve"> positis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, o demandado/reconvinte requer:</w:t>
      </w:r>
    </w:p>
    <w:p w14:paraId="72C64C14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3C6180A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a)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>sejam REJEITADOS OS EMBARGOS DE DECLARAÇÃO e INDEFERIDA A TUTELA PROVISÓRIA DE URGÊNCIA;</w:t>
      </w:r>
    </w:p>
    <w:p w14:paraId="03910AA5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6E52011A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b) </w:t>
      </w:r>
      <w:r w:rsidRPr="00DD0A4F">
        <w:rPr>
          <w:rFonts w:ascii="Times New Roman" w:hAnsi="Times New Roman" w:cs="Times New Roman"/>
          <w:spacing w:val="0"/>
          <w:sz w:val="24"/>
          <w:szCs w:val="24"/>
        </w:rPr>
        <w:t xml:space="preserve">seja determinada a imediata expedição do mandado de citação do reconvindo </w:t>
      </w:r>
      <w:r>
        <w:rPr>
          <w:rFonts w:ascii="Times New Roman" w:hAnsi="Times New Roman" w:cs="Times New Roman"/>
          <w:spacing w:val="0"/>
          <w:sz w:val="24"/>
          <w:szCs w:val="24"/>
        </w:rPr>
        <w:t>...</w:t>
      </w:r>
    </w:p>
    <w:p w14:paraId="5B01463E" w14:textId="77777777" w:rsidR="00DD0A4F" w:rsidRPr="00DD0A4F" w:rsidRDefault="00DD0A4F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p w14:paraId="5AF0A5D8" w14:textId="77777777" w:rsidR="00DD0A4F" w:rsidRDefault="00DD0A4F" w:rsidP="00DD0A4F">
      <w:pPr>
        <w:ind w:left="0" w:right="-568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DD0A4F">
        <w:rPr>
          <w:rFonts w:ascii="Times New Roman" w:hAnsi="Times New Roman" w:cs="Times New Roman"/>
          <w:spacing w:val="0"/>
          <w:sz w:val="24"/>
          <w:szCs w:val="24"/>
        </w:rPr>
        <w:t>P. Deferimento.</w:t>
      </w:r>
    </w:p>
    <w:p w14:paraId="5D1729D5" w14:textId="77777777" w:rsidR="00DD0A4F" w:rsidRDefault="00DD0A4F" w:rsidP="00DD0A4F">
      <w:pPr>
        <w:ind w:left="0" w:right="-568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(Local e data)</w:t>
      </w:r>
    </w:p>
    <w:p w14:paraId="5CACAC77" w14:textId="77777777" w:rsidR="00DD0A4F" w:rsidRPr="00DD0A4F" w:rsidRDefault="00DD0A4F" w:rsidP="00DD0A4F">
      <w:pPr>
        <w:ind w:left="0" w:right="-568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(Assinatura e OAB do Advogado)</w:t>
      </w:r>
    </w:p>
    <w:p w14:paraId="67613422" w14:textId="77777777" w:rsidR="006B3321" w:rsidRPr="00DD0A4F" w:rsidRDefault="006B3321" w:rsidP="00DD0A4F">
      <w:pPr>
        <w:ind w:left="0" w:right="-568"/>
        <w:rPr>
          <w:rFonts w:ascii="Times New Roman" w:hAnsi="Times New Roman" w:cs="Times New Roman"/>
          <w:spacing w:val="0"/>
          <w:sz w:val="24"/>
          <w:szCs w:val="24"/>
        </w:rPr>
      </w:pPr>
    </w:p>
    <w:sectPr w:rsidR="006B3321" w:rsidRPr="00DD0A4F" w:rsidSect="00493999">
      <w:pgSz w:w="11906" w:h="16838"/>
      <w:pgMar w:top="1417" w:right="1701" w:bottom="1417" w:left="1701" w:header="198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B23A5" w14:textId="77777777" w:rsidR="0044321C" w:rsidRDefault="0044321C" w:rsidP="00DD0A4F">
      <w:r>
        <w:separator/>
      </w:r>
    </w:p>
  </w:endnote>
  <w:endnote w:type="continuationSeparator" w:id="0">
    <w:p w14:paraId="1DE51858" w14:textId="77777777" w:rsidR="0044321C" w:rsidRDefault="0044321C" w:rsidP="00D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C3D3C" w14:textId="77777777" w:rsidR="0044321C" w:rsidRDefault="0044321C" w:rsidP="00DD0A4F">
      <w:r>
        <w:separator/>
      </w:r>
    </w:p>
  </w:footnote>
  <w:footnote w:type="continuationSeparator" w:id="0">
    <w:p w14:paraId="4938B3E9" w14:textId="77777777" w:rsidR="0044321C" w:rsidRDefault="0044321C" w:rsidP="00DD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3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A4F"/>
    <w:rsid w:val="00053220"/>
    <w:rsid w:val="001C3F66"/>
    <w:rsid w:val="0044321C"/>
    <w:rsid w:val="0047225E"/>
    <w:rsid w:val="00493999"/>
    <w:rsid w:val="00506CBB"/>
    <w:rsid w:val="00515D07"/>
    <w:rsid w:val="0067790C"/>
    <w:rsid w:val="006B3321"/>
    <w:rsid w:val="00732A46"/>
    <w:rsid w:val="00C623E5"/>
    <w:rsid w:val="00DB58CC"/>
    <w:rsid w:val="00DD0A4F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A115"/>
  <w15:docId w15:val="{D57BB4A3-65C9-45A8-BF37-5F6CB5F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pacing w:val="14"/>
        <w:sz w:val="26"/>
        <w:szCs w:val="22"/>
        <w:lang w:val="pt-BR" w:eastAsia="en-US" w:bidi="ar-SA"/>
      </w:rPr>
    </w:rPrDefault>
    <w:pPrDefault>
      <w:pPr>
        <w:ind w:left="1021" w:right="-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1816</Words>
  <Characters>9809</Characters>
  <Application>Microsoft Office Word</Application>
  <DocSecurity>0</DocSecurity>
  <Lines>81</Lines>
  <Paragraphs>23</Paragraphs>
  <ScaleCrop>false</ScaleCrop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Matheus Xavier</cp:lastModifiedBy>
  <cp:revision>4</cp:revision>
  <dcterms:created xsi:type="dcterms:W3CDTF">2020-07-20T18:25:00Z</dcterms:created>
  <dcterms:modified xsi:type="dcterms:W3CDTF">2020-08-28T02:06:00Z</dcterms:modified>
</cp:coreProperties>
</file>