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42E9" w14:textId="77777777" w:rsidR="00A035CB" w:rsidRDefault="00A035CB" w:rsidP="002F3843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14:paraId="60FBB50A" w14:textId="4BA9325F" w:rsidR="002F3843" w:rsidRDefault="00EB62A5" w:rsidP="002F3843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5703BC">
        <w:rPr>
          <w:rFonts w:ascii="Arial Black" w:hAnsi="Arial Black" w:cs="Times New Roman"/>
          <w:spacing w:val="0"/>
          <w:sz w:val="24"/>
          <w:szCs w:val="24"/>
        </w:rPr>
        <w:t>PROVA TESTEMUNHAL. IMPENHORABILIDADE BEM DE FAMILIA. MATÉRIA DE O</w:t>
      </w:r>
      <w:r w:rsidR="00A035CB">
        <w:rPr>
          <w:rFonts w:ascii="Arial Black" w:hAnsi="Arial Black" w:cs="Times New Roman"/>
          <w:spacing w:val="0"/>
          <w:sz w:val="24"/>
          <w:szCs w:val="24"/>
        </w:rPr>
        <w:t>RDEM FÁTICA. ÔNUS DO EMBARGANTE</w:t>
      </w:r>
    </w:p>
    <w:p w14:paraId="335D3D04" w14:textId="77777777" w:rsidR="00A035CB" w:rsidRPr="002F3843" w:rsidRDefault="00A035CB" w:rsidP="00A035CB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 w:rsidRPr="00A035CB"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14:paraId="1AFA8A03" w14:textId="77777777" w:rsid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88D5A7A" w14:textId="77777777" w:rsid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F3843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01D4B571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416F97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6162CEE5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A80C46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 e sua filha </w:t>
      </w:r>
      <w:r>
        <w:rPr>
          <w:rFonts w:ascii="Times New Roman" w:hAnsi="Times New Roman" w:cs="Times New Roman"/>
          <w:spacing w:val="0"/>
          <w:sz w:val="24"/>
          <w:szCs w:val="24"/>
        </w:rPr>
        <w:t>(nome), embargantes, por seu advogado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F3843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, nos autos dos Embargos de Terceiro epigrafados promovidos contra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.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, vêm, respeitosamente, em atendimento ao r. despacho retro, aduzir e requerer o que se segue:</w:t>
      </w:r>
    </w:p>
    <w:p w14:paraId="17EB8E2F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BA4FC1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O objeto da penhora combatida nos presentes embargos de terceiro é o imóvel residencial de copropriedade dos devedores originários, ocupado pelas embargantes, viúva e filha do finado devedor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00927F2D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F258F95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Foi invocado na inicial que as embargantes residem neste imóvel há vários anos, sendo defeso t</w:t>
      </w:r>
      <w:r>
        <w:rPr>
          <w:rFonts w:ascii="Times New Roman" w:hAnsi="Times New Roman" w:cs="Times New Roman"/>
          <w:spacing w:val="0"/>
          <w:sz w:val="24"/>
          <w:szCs w:val="24"/>
        </w:rPr>
        <w:t>anto pela Constituição Federal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Lei Ordinária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a impenhorabilidade de imóvel para fins residenciais.</w:t>
      </w:r>
    </w:p>
    <w:p w14:paraId="2F01FD61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6244B2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A contestação apresentada limitou-se a dizer que as embargantes não trouxeram prova da alegação encadeada na peça de ingresso, embora a resistência admitiu os documentos granjead</w:t>
      </w:r>
      <w:r>
        <w:rPr>
          <w:rFonts w:ascii="Times New Roman" w:hAnsi="Times New Roman" w:cs="Times New Roman"/>
          <w:spacing w:val="0"/>
          <w:sz w:val="24"/>
          <w:szCs w:val="24"/>
        </w:rPr>
        <w:t>os aos autos pelas embargantes.</w:t>
      </w:r>
    </w:p>
    <w:p w14:paraId="26F249AE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8014E63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Destarte, crucial na espécie in judicio a produção de prova testemunhal para fins de sedimentar a situação fática delineada alhures, bem como trazer aos autos a comprovação cabal de que as embargant</w:t>
      </w:r>
      <w:r>
        <w:rPr>
          <w:rFonts w:ascii="Times New Roman" w:hAnsi="Times New Roman" w:cs="Times New Roman"/>
          <w:spacing w:val="0"/>
          <w:sz w:val="24"/>
          <w:szCs w:val="24"/>
        </w:rPr>
        <w:t>es residem no imóvel há décadas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528EBF5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DF0CE20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Outrossim, no mesmo diapasão, indispensável a produção de prova documental, cuja finalidade é idêntica aos propósi</w:t>
      </w:r>
      <w:r>
        <w:rPr>
          <w:rFonts w:ascii="Times New Roman" w:hAnsi="Times New Roman" w:cs="Times New Roman"/>
          <w:spacing w:val="0"/>
          <w:sz w:val="24"/>
          <w:szCs w:val="24"/>
        </w:rPr>
        <w:t>tos almejados pelas embargantes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4"/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0A207D57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7532AC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2F3843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2F3843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, as embargantes requerem seja DEFERIDA A PRODUÇÃO DE PROVA TESTEMUNHAL e DOCUMENTAL, designando-se AUDI</w:t>
      </w:r>
      <w:r>
        <w:rPr>
          <w:rFonts w:ascii="Times New Roman" w:hAnsi="Times New Roman" w:cs="Times New Roman"/>
          <w:spacing w:val="0"/>
          <w:sz w:val="24"/>
          <w:szCs w:val="24"/>
        </w:rPr>
        <w:t>ÊNCIA DE INSTRUÇÃO E JULGAMENTO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5"/>
      </w:r>
      <w:r w:rsidRPr="002F3843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A25AF92" w14:textId="77777777" w:rsidR="002F3843" w:rsidRPr="002F3843" w:rsidRDefault="002F3843" w:rsidP="002F384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2CD71FF" w14:textId="77777777" w:rsidR="002F3843" w:rsidRPr="002F3843" w:rsidRDefault="002F3843" w:rsidP="002F384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F3843">
        <w:rPr>
          <w:rFonts w:ascii="Times New Roman" w:hAnsi="Times New Roman" w:cs="Times New Roman"/>
          <w:spacing w:val="0"/>
          <w:sz w:val="24"/>
          <w:szCs w:val="24"/>
        </w:rPr>
        <w:t>P. Deferimento,</w:t>
      </w:r>
    </w:p>
    <w:p w14:paraId="6E9B0426" w14:textId="77777777" w:rsidR="006B3321" w:rsidRDefault="002F3843" w:rsidP="002F384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4BFB0EB4" w14:textId="77777777" w:rsidR="002F3843" w:rsidRPr="002F3843" w:rsidRDefault="002F3843" w:rsidP="002F384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2F3843" w:rsidRPr="002F3843" w:rsidSect="00CF03F1">
      <w:pgSz w:w="11906" w:h="16838"/>
      <w:pgMar w:top="1417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E9E8" w14:textId="77777777" w:rsidR="00450C9B" w:rsidRDefault="00450C9B" w:rsidP="002F3843">
      <w:r>
        <w:separator/>
      </w:r>
    </w:p>
  </w:endnote>
  <w:endnote w:type="continuationSeparator" w:id="0">
    <w:p w14:paraId="3A0758CC" w14:textId="77777777" w:rsidR="00450C9B" w:rsidRDefault="00450C9B" w:rsidP="002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9E58" w14:textId="77777777" w:rsidR="00450C9B" w:rsidRDefault="00450C9B" w:rsidP="002F3843">
      <w:r>
        <w:separator/>
      </w:r>
    </w:p>
  </w:footnote>
  <w:footnote w:type="continuationSeparator" w:id="0">
    <w:p w14:paraId="0BDB79A7" w14:textId="77777777" w:rsidR="00450C9B" w:rsidRDefault="00450C9B" w:rsidP="002F3843">
      <w:r>
        <w:continuationSeparator/>
      </w:r>
    </w:p>
  </w:footnote>
  <w:footnote w:id="1">
    <w:p w14:paraId="60BAF04B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Style w:val="Refdenotaderodap"/>
          <w:rFonts w:ascii="Times New Roman" w:hAnsi="Times New Roman" w:cs="Times New Roman"/>
          <w:spacing w:val="0"/>
        </w:rPr>
        <w:footnoteRef/>
      </w:r>
      <w:r w:rsidRPr="002F3843">
        <w:rPr>
          <w:rFonts w:ascii="Times New Roman" w:hAnsi="Times New Roman" w:cs="Times New Roman"/>
          <w:spacing w:val="0"/>
        </w:rPr>
        <w:t xml:space="preserve"> CF, art. 6º. São direitos sociais a educação, a saúde, a alimentação, o trabalho, a moradia, o transporte, o lazer, a segurança, a previdência social, a proteção à maternidade e à infância, a assistência aos desamparados, na forma desta Constituição.</w:t>
      </w:r>
    </w:p>
    <w:p w14:paraId="7EA16A26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Fonts w:ascii="Times New Roman" w:hAnsi="Times New Roman" w:cs="Times New Roman"/>
          <w:spacing w:val="0"/>
        </w:rPr>
        <w:t>CF, art. 226. A família, base da sociedade, tem especial proteção do Estado. § 4º. Entende-se, também, como entidade familiar a comunidade formada por qualquer dos pais e seus descendentes.</w:t>
      </w:r>
    </w:p>
  </w:footnote>
  <w:footnote w:id="2">
    <w:p w14:paraId="11722C25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Style w:val="Refdenotaderodap"/>
          <w:rFonts w:ascii="Times New Roman" w:hAnsi="Times New Roman" w:cs="Times New Roman"/>
          <w:spacing w:val="0"/>
        </w:rPr>
        <w:footnoteRef/>
      </w:r>
      <w:r w:rsidRPr="002F3843">
        <w:rPr>
          <w:rFonts w:ascii="Times New Roman" w:hAnsi="Times New Roman" w:cs="Times New Roman"/>
          <w:spacing w:val="0"/>
        </w:rPr>
        <w:t xml:space="preserve"> Lei 8.009/90- Dispõe sobre a impenhorabilidade do bem de família. </w:t>
      </w:r>
    </w:p>
    <w:p w14:paraId="64143020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Fonts w:ascii="Times New Roman" w:hAnsi="Times New Roman" w:cs="Times New Roman"/>
          <w:spacing w:val="0"/>
        </w:rPr>
        <w:t>Art. 1º.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 Parágrafo único. A impenhorabilidade compreende o imóvel sobre o qual se assentam a construção, as plantações, as benfeitorias de qualquer natureza e todos os equipamentos, inclusive os de uso profissional, ou móveis que guarnecem a casa, desde que quitados.</w:t>
      </w:r>
    </w:p>
  </w:footnote>
  <w:footnote w:id="3">
    <w:p w14:paraId="75872DAA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Style w:val="Refdenotaderodap"/>
          <w:rFonts w:ascii="Times New Roman" w:hAnsi="Times New Roman" w:cs="Times New Roman"/>
          <w:spacing w:val="0"/>
        </w:rPr>
        <w:footnoteRef/>
      </w:r>
      <w:r w:rsidRPr="002F3843">
        <w:rPr>
          <w:rFonts w:ascii="Times New Roman" w:hAnsi="Times New Roman" w:cs="Times New Roman"/>
          <w:spacing w:val="0"/>
        </w:rPr>
        <w:t xml:space="preserve"> CPC, art. 442.  A prova testemunhal é sempre admissível, não dispondo a lei de modo diverso.</w:t>
      </w:r>
    </w:p>
  </w:footnote>
  <w:footnote w:id="4">
    <w:p w14:paraId="5DEFBE21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Style w:val="Refdenotaderodap"/>
          <w:rFonts w:ascii="Times New Roman" w:hAnsi="Times New Roman" w:cs="Times New Roman"/>
          <w:spacing w:val="0"/>
        </w:rPr>
        <w:footnoteRef/>
      </w:r>
      <w:r w:rsidRPr="002F3843">
        <w:rPr>
          <w:rFonts w:ascii="Times New Roman" w:hAnsi="Times New Roman" w:cs="Times New Roman"/>
          <w:spacing w:val="0"/>
        </w:rPr>
        <w:t xml:space="preserve"> CPC, art. 435.  É lícito às partes, em qualquer tempo, juntar aos autos documentos novos, quando destinados a fazer prova de fatos ocorridos depois dos articulados ou para contrapô-los aos que foram produzidos nos autos.</w:t>
      </w:r>
    </w:p>
  </w:footnote>
  <w:footnote w:id="5">
    <w:p w14:paraId="515DDD11" w14:textId="77777777" w:rsidR="002F3843" w:rsidRPr="002F3843" w:rsidRDefault="002F3843" w:rsidP="002F3843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2F3843">
        <w:rPr>
          <w:rStyle w:val="Refdenotaderodap"/>
          <w:rFonts w:ascii="Times New Roman" w:hAnsi="Times New Roman" w:cs="Times New Roman"/>
          <w:spacing w:val="0"/>
        </w:rPr>
        <w:footnoteRef/>
      </w:r>
      <w:r w:rsidRPr="002F3843">
        <w:rPr>
          <w:rFonts w:ascii="Times New Roman" w:hAnsi="Times New Roman" w:cs="Times New Roman"/>
          <w:spacing w:val="0"/>
        </w:rPr>
        <w:t xml:space="preserve"> CPC, art. 357.  Não ocorrendo nenhuma das hipóteses deste Capítulo, deverá o juiz, em decisão de saneamento e de organização do processo: (...) §4o Caso tenha sido determinada a produção de prova testemunhal, o juiz fixará prazo comum não superior a 15 (quinze) dias para que as partes apresentem rol de testemunhas.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43"/>
    <w:rsid w:val="00132330"/>
    <w:rsid w:val="002F3843"/>
    <w:rsid w:val="00450C9B"/>
    <w:rsid w:val="004E3E26"/>
    <w:rsid w:val="005703BC"/>
    <w:rsid w:val="006B3321"/>
    <w:rsid w:val="00717F90"/>
    <w:rsid w:val="00A035CB"/>
    <w:rsid w:val="00A51760"/>
    <w:rsid w:val="00A86907"/>
    <w:rsid w:val="00C27C2C"/>
    <w:rsid w:val="00C623E5"/>
    <w:rsid w:val="00CF03F1"/>
    <w:rsid w:val="00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F329"/>
  <w15:docId w15:val="{A5636C87-814E-4751-834B-377F46F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8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8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317A-63F0-4D38-A32D-D72A9EBD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2020-07-15T17:05:00Z</dcterms:created>
  <dcterms:modified xsi:type="dcterms:W3CDTF">2020-08-28T01:55:00Z</dcterms:modified>
</cp:coreProperties>
</file>