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794F" w14:textId="77777777" w:rsidR="000A33DD" w:rsidRDefault="000A33DD" w:rsidP="000A33DD">
      <w:pPr>
        <w:autoSpaceDE w:val="0"/>
        <w:autoSpaceDN w:val="0"/>
        <w:adjustRightInd w:val="0"/>
        <w:ind w:left="142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14:paraId="789CB472" w14:textId="4D108954" w:rsidR="001E0784" w:rsidRDefault="005E3223" w:rsidP="000A33DD">
      <w:pPr>
        <w:autoSpaceDE w:val="0"/>
        <w:autoSpaceDN w:val="0"/>
        <w:adjustRightInd w:val="0"/>
        <w:ind w:left="142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322D5B" w:rsidRPr="000A33DD">
        <w:rPr>
          <w:rFonts w:ascii="Arial Black" w:hAnsi="Arial Black"/>
          <w:b/>
          <w:bCs/>
          <w:color w:val="000000"/>
        </w:rPr>
        <w:t xml:space="preserve">MORTE DA PARTE. </w:t>
      </w:r>
      <w:r w:rsidR="001E0784" w:rsidRPr="000A33DD">
        <w:rPr>
          <w:rFonts w:ascii="Arial Black" w:hAnsi="Arial Black"/>
          <w:b/>
          <w:bCs/>
          <w:color w:val="000000"/>
        </w:rPr>
        <w:t>SUSPENSÃO DO PROCESSO</w:t>
      </w:r>
    </w:p>
    <w:p w14:paraId="2EC37712" w14:textId="77777777" w:rsidR="000A33DD" w:rsidRDefault="000A33DD" w:rsidP="000A33DD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1BBBB88B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BA37F85" w14:textId="77777777" w:rsidR="006B3EB3" w:rsidRPr="000A33DD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aps/>
          <w:color w:val="000000"/>
          <w:u w:color="000000"/>
        </w:rPr>
      </w:pPr>
      <w:r w:rsidRPr="00322D5B">
        <w:rPr>
          <w:caps/>
          <w:color w:val="000000"/>
          <w:u w:val="single" w:color="000000"/>
        </w:rPr>
        <w:t>Comentários</w:t>
      </w:r>
      <w:r w:rsidR="00322D5B">
        <w:rPr>
          <w:caps/>
          <w:color w:val="000000"/>
          <w:u w:color="000000"/>
        </w:rPr>
        <w:t>:</w:t>
      </w:r>
    </w:p>
    <w:p w14:paraId="1A5FCEAF" w14:textId="77777777" w:rsidR="001E0784" w:rsidRDefault="001E0784" w:rsidP="000A33DD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Os casos de suspensão do processo estão relacionados no art. </w:t>
      </w:r>
      <w:r w:rsidR="008D3A81">
        <w:rPr>
          <w:color w:val="000000"/>
        </w:rPr>
        <w:t>313</w:t>
      </w:r>
      <w:r w:rsidRPr="004C7863">
        <w:rPr>
          <w:color w:val="000000"/>
        </w:rPr>
        <w:t xml:space="preserve"> do CPC</w:t>
      </w:r>
      <w:r w:rsidR="002E1F47">
        <w:rPr>
          <w:rStyle w:val="Refdenotaderodap"/>
          <w:color w:val="000000"/>
        </w:rPr>
        <w:footnoteReference w:id="1"/>
      </w:r>
      <w:r w:rsidRPr="004C7863">
        <w:rPr>
          <w:color w:val="000000"/>
        </w:rPr>
        <w:t xml:space="preserve">. </w:t>
      </w:r>
    </w:p>
    <w:p w14:paraId="6888E058" w14:textId="77777777" w:rsidR="001E0784" w:rsidRDefault="001E0784" w:rsidP="000A33DD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As partes podem convencionar suspender o processo, mas o prazo não poderá exceder 6 meses (CPC, art. </w:t>
      </w:r>
      <w:r w:rsidR="008D3A81">
        <w:rPr>
          <w:color w:val="000000"/>
        </w:rPr>
        <w:t>313, §</w:t>
      </w:r>
      <w:r w:rsidRPr="004C7863">
        <w:rPr>
          <w:color w:val="000000"/>
        </w:rPr>
        <w:t xml:space="preserve">§ </w:t>
      </w:r>
      <w:r w:rsidR="008D3A81">
        <w:rPr>
          <w:color w:val="000000"/>
        </w:rPr>
        <w:t>4</w:t>
      </w:r>
      <w:r w:rsidRPr="004C7863">
        <w:rPr>
          <w:color w:val="000000"/>
        </w:rPr>
        <w:t>º</w:t>
      </w:r>
      <w:r w:rsidR="008D3A81">
        <w:rPr>
          <w:color w:val="000000"/>
        </w:rPr>
        <w:t xml:space="preserve"> e 5º</w:t>
      </w:r>
      <w:r w:rsidRPr="004C7863">
        <w:rPr>
          <w:color w:val="000000"/>
        </w:rPr>
        <w:t>).</w:t>
      </w:r>
    </w:p>
    <w:p w14:paraId="661388D3" w14:textId="77777777" w:rsidR="001E0784" w:rsidRPr="004C7863" w:rsidRDefault="001E0784" w:rsidP="000A33DD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No processo de execução, as hipóteses de suspensão estão relacionadas no art. </w:t>
      </w:r>
      <w:r w:rsidR="008D3A81">
        <w:rPr>
          <w:color w:val="000000"/>
        </w:rPr>
        <w:t>921</w:t>
      </w:r>
      <w:r w:rsidRPr="004C7863">
        <w:rPr>
          <w:color w:val="000000"/>
        </w:rPr>
        <w:t xml:space="preserve"> do CPC</w:t>
      </w:r>
      <w:r w:rsidR="002E1F47">
        <w:rPr>
          <w:rStyle w:val="Refdenotaderodap"/>
          <w:color w:val="000000"/>
        </w:rPr>
        <w:footnoteReference w:id="2"/>
      </w:r>
      <w:r w:rsidRPr="004C7863">
        <w:rPr>
          <w:color w:val="000000"/>
        </w:rPr>
        <w:t xml:space="preserve">. É permitido que exequente e executado requeiram a suspensão da execução durante o prazo concedido pelo credor, para que o devedor cumpra a obrigação. Essa situação ocorre geralmente nos casos de parcelamento para o pagamento do débito (CPC, art. </w:t>
      </w:r>
      <w:r w:rsidR="008D3A81">
        <w:rPr>
          <w:color w:val="000000"/>
        </w:rPr>
        <w:t>921</w:t>
      </w:r>
      <w:r w:rsidRPr="004C7863">
        <w:rPr>
          <w:color w:val="000000"/>
        </w:rPr>
        <w:t xml:space="preserve">). </w:t>
      </w:r>
    </w:p>
    <w:p w14:paraId="16750655" w14:textId="77777777" w:rsidR="00322D5B" w:rsidRPr="004C7863" w:rsidRDefault="00322D5B" w:rsidP="000A33D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280B223" w14:textId="77777777" w:rsidR="000A33DD" w:rsidRDefault="006B3EB3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0A33DD">
        <w:rPr>
          <w:color w:val="000000"/>
        </w:rPr>
        <w:t>xmo. Sr. Juiz de Direito da ... Vara Cível da Comarca de ...</w:t>
      </w:r>
    </w:p>
    <w:p w14:paraId="3E3EB897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73C4476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2E1B20E9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14:paraId="61CA4D67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(nome do “</w:t>
      </w:r>
      <w:r w:rsidRPr="000A33DD">
        <w:rPr>
          <w:i/>
          <w:color w:val="000000"/>
        </w:rPr>
        <w:t>advogado</w:t>
      </w:r>
      <w:r w:rsidRPr="004C7863">
        <w:rPr>
          <w:color w:val="000000"/>
        </w:rPr>
        <w:t xml:space="preserve">” – a morte é causa de rescisão do mandato), inscrito na OAB/....sob o n. ..., com escritório à (endereço completo), nos autos epigrafados que ... promove contra o réu ..., vem, respeitosamente, com fulcro no art. </w:t>
      </w:r>
      <w:r w:rsidR="008D3A81">
        <w:rPr>
          <w:color w:val="000000"/>
        </w:rPr>
        <w:t>313</w:t>
      </w:r>
      <w:r w:rsidRPr="004C7863">
        <w:rPr>
          <w:color w:val="000000"/>
        </w:rPr>
        <w:t>, inciso I, do CPC, propugnar pela suspensão do processo, pelo que passa a aduzir:</w:t>
      </w:r>
    </w:p>
    <w:p w14:paraId="2908628E" w14:textId="77777777" w:rsidR="001E0784" w:rsidRPr="004C7863" w:rsidRDefault="001E0784" w:rsidP="000A33DD">
      <w:pPr>
        <w:autoSpaceDE w:val="0"/>
        <w:autoSpaceDN w:val="0"/>
        <w:adjustRightInd w:val="0"/>
        <w:spacing w:line="288" w:lineRule="auto"/>
        <w:ind w:left="142" w:right="-568"/>
        <w:textAlignment w:val="center"/>
        <w:rPr>
          <w:color w:val="000000"/>
        </w:rPr>
      </w:pPr>
    </w:p>
    <w:p w14:paraId="41B997E9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1. O signatário, com pesar, comunica o falecimento de seu constituinte, réu nesta demanda, Sra. ..., conforme certidão de óbito em anexo.</w:t>
      </w:r>
    </w:p>
    <w:p w14:paraId="08059393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14:paraId="58FB1E48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  <w:spacing w:val="-2"/>
        </w:rPr>
        <w:t>2. O falecido deixou esposa e filhos, não se tendo notícia até o momento da abertura de inventário.</w:t>
      </w:r>
    </w:p>
    <w:p w14:paraId="34C58C9E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14:paraId="19B068C9" w14:textId="77777777" w:rsidR="001E0784" w:rsidRPr="004C7863" w:rsidRDefault="001E0784" w:rsidP="000A33DD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esse advogado requer a suspensão do processo por 30 (trinta) dias, para proceder à substituição processual pelo espólio, representado pelo inventariante nomeado, acaso distribuído inventário ou seus sucessores (CPC, arts. </w:t>
      </w:r>
      <w:r w:rsidR="008D3A81">
        <w:rPr>
          <w:color w:val="000000"/>
        </w:rPr>
        <w:t>75, inciso VII</w:t>
      </w:r>
      <w:r w:rsidRPr="004C7863">
        <w:rPr>
          <w:color w:val="000000"/>
        </w:rPr>
        <w:t xml:space="preserve">, e </w:t>
      </w:r>
      <w:r w:rsidR="008D3A81">
        <w:rPr>
          <w:color w:val="000000"/>
        </w:rPr>
        <w:t>110</w:t>
      </w:r>
      <w:r w:rsidRPr="004C7863">
        <w:rPr>
          <w:color w:val="000000"/>
        </w:rPr>
        <w:t>).</w:t>
      </w:r>
    </w:p>
    <w:p w14:paraId="1FB0A344" w14:textId="77777777" w:rsidR="001E0784" w:rsidRPr="004C7863" w:rsidRDefault="001E0784" w:rsidP="000A33DD">
      <w:pPr>
        <w:autoSpaceDE w:val="0"/>
        <w:autoSpaceDN w:val="0"/>
        <w:adjustRightInd w:val="0"/>
        <w:spacing w:line="288" w:lineRule="auto"/>
        <w:ind w:left="142" w:right="-568"/>
        <w:textAlignment w:val="center"/>
        <w:rPr>
          <w:color w:val="000000"/>
        </w:rPr>
      </w:pPr>
    </w:p>
    <w:p w14:paraId="56741CAD" w14:textId="77777777" w:rsidR="0094727A" w:rsidRPr="004C7863" w:rsidRDefault="001E0784" w:rsidP="000A33DD">
      <w:pPr>
        <w:suppressAutoHyphens/>
        <w:autoSpaceDE w:val="0"/>
        <w:autoSpaceDN w:val="0"/>
        <w:adjustRightInd w:val="0"/>
        <w:spacing w:line="250" w:lineRule="atLeast"/>
        <w:ind w:left="142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3F7D02CC" w14:textId="77777777" w:rsidR="001E0784" w:rsidRPr="004C7863" w:rsidRDefault="001E0784" w:rsidP="000A33DD">
      <w:pPr>
        <w:suppressAutoHyphens/>
        <w:autoSpaceDE w:val="0"/>
        <w:autoSpaceDN w:val="0"/>
        <w:adjustRightInd w:val="0"/>
        <w:spacing w:line="250" w:lineRule="atLeast"/>
        <w:ind w:left="142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39E11FCE" w14:textId="77777777" w:rsidR="001E0784" w:rsidRPr="004C7863" w:rsidRDefault="001E0784" w:rsidP="000A33DD">
      <w:pPr>
        <w:suppressAutoHyphens/>
        <w:autoSpaceDE w:val="0"/>
        <w:autoSpaceDN w:val="0"/>
        <w:adjustRightInd w:val="0"/>
        <w:spacing w:line="250" w:lineRule="atLeast"/>
        <w:ind w:left="142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0C8DF78F" w14:textId="77777777" w:rsidR="001B23D8" w:rsidRDefault="001B23D8" w:rsidP="000A33DD">
      <w:pPr>
        <w:ind w:left="142" w:right="-568"/>
      </w:pPr>
    </w:p>
    <w:p w14:paraId="3D5ED4A2" w14:textId="77777777" w:rsidR="000A33DD" w:rsidRDefault="000A33DD">
      <w:pPr>
        <w:ind w:left="142" w:right="-568"/>
      </w:pPr>
    </w:p>
    <w:sectPr w:rsidR="000A33DD" w:rsidSect="009C0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2241" w14:textId="77777777" w:rsidR="005613EF" w:rsidRDefault="005613EF" w:rsidP="002E1F47">
      <w:r>
        <w:separator/>
      </w:r>
    </w:p>
  </w:endnote>
  <w:endnote w:type="continuationSeparator" w:id="0">
    <w:p w14:paraId="77E4F381" w14:textId="77777777" w:rsidR="005613EF" w:rsidRDefault="005613EF" w:rsidP="002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1674" w14:textId="77777777" w:rsidR="005613EF" w:rsidRDefault="005613EF" w:rsidP="002E1F47">
      <w:r>
        <w:separator/>
      </w:r>
    </w:p>
  </w:footnote>
  <w:footnote w:type="continuationSeparator" w:id="0">
    <w:p w14:paraId="5E391062" w14:textId="77777777" w:rsidR="005613EF" w:rsidRDefault="005613EF" w:rsidP="002E1F47">
      <w:r>
        <w:continuationSeparator/>
      </w:r>
    </w:p>
  </w:footnote>
  <w:footnote w:id="1">
    <w:p w14:paraId="3DB2AED4" w14:textId="77777777" w:rsidR="002E1F47" w:rsidRDefault="002E1F47" w:rsidP="000A33DD">
      <w:pPr>
        <w:pStyle w:val="Textodenotaderodap"/>
        <w:ind w:left="142" w:right="-568"/>
      </w:pPr>
      <w:r>
        <w:rPr>
          <w:rStyle w:val="Refdenotaderodap"/>
        </w:rPr>
        <w:footnoteRef/>
      </w:r>
      <w:r>
        <w:t xml:space="preserve"> </w:t>
      </w:r>
      <w:r w:rsidRPr="002E1F47">
        <w:rPr>
          <w:b/>
        </w:rPr>
        <w:t>Art. 313.</w:t>
      </w:r>
      <w:r>
        <w:t xml:space="preserve">  Suspende-se o processo: </w:t>
      </w:r>
      <w:r w:rsidRPr="002E1F47">
        <w:rPr>
          <w:b/>
        </w:rPr>
        <w:t>I -</w:t>
      </w:r>
      <w:r>
        <w:t xml:space="preserve"> pela morte ou pela perda da capacidade processual de qualquer das partes, de seu representante legal ou de seu procurador; </w:t>
      </w:r>
      <w:r w:rsidRPr="002E1F47">
        <w:rPr>
          <w:b/>
        </w:rPr>
        <w:t xml:space="preserve">II </w:t>
      </w:r>
      <w:r>
        <w:t xml:space="preserve">- pela convenção das partes; </w:t>
      </w:r>
      <w:r w:rsidRPr="002E1F47">
        <w:rPr>
          <w:b/>
        </w:rPr>
        <w:t xml:space="preserve">III </w:t>
      </w:r>
      <w:r>
        <w:t>- pela arguição de impedimento ou de suspeição</w:t>
      </w:r>
      <w:r w:rsidRPr="002E1F47">
        <w:t xml:space="preserve">; </w:t>
      </w:r>
      <w:r w:rsidRPr="002E1F47">
        <w:rPr>
          <w:b/>
        </w:rPr>
        <w:t>IV</w:t>
      </w:r>
      <w:r w:rsidRPr="002E1F47">
        <w:t>-</w:t>
      </w:r>
      <w:r>
        <w:t xml:space="preserve"> pela admissão de incidente de resolução de demandas repetitivas; </w:t>
      </w:r>
      <w:r w:rsidRPr="002E1F47">
        <w:rPr>
          <w:b/>
        </w:rPr>
        <w:t xml:space="preserve">V </w:t>
      </w:r>
      <w:r>
        <w:t xml:space="preserve">- quando a sentença de mérito: a) depender do julgamento de outra causa ou da declaração de existência ou de inexistência de relação jurídica que constitua o objeto principal de outro processo pendente; b) tiver de ser proferida somente após a verificação de determinado fato ou a produção de certa prova, requisitada a outro juízo; </w:t>
      </w:r>
      <w:r w:rsidRPr="002E1F47">
        <w:rPr>
          <w:b/>
        </w:rPr>
        <w:t xml:space="preserve">VI </w:t>
      </w:r>
      <w:r>
        <w:t xml:space="preserve">- por motivo de força maior; </w:t>
      </w:r>
      <w:r w:rsidRPr="002E1F47">
        <w:rPr>
          <w:b/>
        </w:rPr>
        <w:t xml:space="preserve">VII </w:t>
      </w:r>
      <w:r>
        <w:t xml:space="preserve">- quando se discutir em juízo questão decorrente de acidentes e fatos da navegação de competência do Tribunal Marítimo; </w:t>
      </w:r>
      <w:r w:rsidRPr="002E1F47">
        <w:rPr>
          <w:b/>
        </w:rPr>
        <w:t>VIII -</w:t>
      </w:r>
      <w:r>
        <w:t xml:space="preserve"> nos demais casos que este Código regula. </w:t>
      </w:r>
      <w:r w:rsidRPr="002E1F47">
        <w:rPr>
          <w:b/>
        </w:rPr>
        <w:t>IX -</w:t>
      </w:r>
      <w:r>
        <w:t xml:space="preserve"> pelo parto ou pela concessão de adoção, quando a advogada responsável pelo processo constituir a única patrona da causa</w:t>
      </w:r>
      <w:r w:rsidRPr="002E1F47">
        <w:t xml:space="preserve">; </w:t>
      </w:r>
      <w:r w:rsidRPr="002E1F47">
        <w:rPr>
          <w:b/>
        </w:rPr>
        <w:t>X -</w:t>
      </w:r>
      <w:r>
        <w:t xml:space="preserve"> quando o advogado responsável pelo processo constituir o único patrono da causa e tornar-se pai.</w:t>
      </w:r>
    </w:p>
  </w:footnote>
  <w:footnote w:id="2">
    <w:p w14:paraId="0AE9D30F" w14:textId="77777777" w:rsidR="002E1F47" w:rsidRDefault="002E1F47" w:rsidP="000A33DD">
      <w:pPr>
        <w:pStyle w:val="Textodenotaderodap"/>
        <w:ind w:left="142" w:right="-568"/>
      </w:pPr>
      <w:r>
        <w:rPr>
          <w:rStyle w:val="Refdenotaderodap"/>
        </w:rPr>
        <w:footnoteRef/>
      </w:r>
      <w:r>
        <w:t xml:space="preserve"> </w:t>
      </w:r>
      <w:r w:rsidRPr="002E1F47">
        <w:rPr>
          <w:b/>
        </w:rPr>
        <w:t>Art. 921.</w:t>
      </w:r>
      <w:r>
        <w:t xml:space="preserve">  Suspende-se a execução:  I - nas hipóteses dos arts. 313 e 315, no que couber; II - no todo ou em parte, quando recebidos com efeito suspensivo os embargos à execução; III - quando o executado não possuir bens penhoráveis; IV - se a alienação dos bens penhorados não se realizar por falta de licitantes e o exequente, em 15 (quinze) dias, não requerer a adjudicação nem indicar outros bens penhoráveis; V - quando concedido o parcelamento de que trata o art. 916.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84"/>
    <w:rsid w:val="000115FE"/>
    <w:rsid w:val="000A33DD"/>
    <w:rsid w:val="001B23D8"/>
    <w:rsid w:val="001E0784"/>
    <w:rsid w:val="002D5CF4"/>
    <w:rsid w:val="002E1F47"/>
    <w:rsid w:val="0031223D"/>
    <w:rsid w:val="00322D5B"/>
    <w:rsid w:val="004609A7"/>
    <w:rsid w:val="005613EF"/>
    <w:rsid w:val="005E3223"/>
    <w:rsid w:val="005F3012"/>
    <w:rsid w:val="006B3EB3"/>
    <w:rsid w:val="006D0EDE"/>
    <w:rsid w:val="008D3A81"/>
    <w:rsid w:val="0094727A"/>
    <w:rsid w:val="009C0E6C"/>
    <w:rsid w:val="009F2A3D"/>
    <w:rsid w:val="00B2053F"/>
    <w:rsid w:val="00C363E1"/>
    <w:rsid w:val="00CA3016"/>
    <w:rsid w:val="00F8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F703"/>
  <w15:docId w15:val="{10EA4020-003A-4B22-A333-F7EFAAF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8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1F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1F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E1F47"/>
    <w:rPr>
      <w:vertAlign w:val="superscript"/>
    </w:rPr>
  </w:style>
  <w:style w:type="character" w:styleId="Forte">
    <w:name w:val="Strong"/>
    <w:uiPriority w:val="22"/>
    <w:qFormat/>
    <w:rsid w:val="000A33DD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0A33DD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A33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04DD-8E1C-4B8D-94B8-A65C81A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2020-07-14T20:50:00Z</dcterms:created>
  <dcterms:modified xsi:type="dcterms:W3CDTF">2020-08-28T01:46:00Z</dcterms:modified>
</cp:coreProperties>
</file>