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C865" w14:textId="77777777" w:rsidR="003A056D" w:rsidRPr="003A056D" w:rsidRDefault="003A056D" w:rsidP="003A056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A056D">
        <w:rPr>
          <w:rFonts w:ascii="Arial Black" w:hAnsi="Arial Black" w:cs="Times New Roman"/>
          <w:sz w:val="24"/>
          <w:szCs w:val="24"/>
        </w:rPr>
        <w:t>MODELO DE PETIÇÃO</w:t>
      </w:r>
    </w:p>
    <w:p w14:paraId="3FF1478A" w14:textId="77DF4087" w:rsidR="003A056D" w:rsidRPr="003A056D" w:rsidRDefault="003A056D" w:rsidP="003A056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A056D">
        <w:rPr>
          <w:rFonts w:ascii="Arial Black" w:hAnsi="Arial Black" w:cs="Times New Roman"/>
          <w:sz w:val="24"/>
          <w:szCs w:val="24"/>
        </w:rPr>
        <w:t>INVENTÁRIO. ENCERRADO. REPRESENTAÇÃO PROCESSUAL. HERDEIROS.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3A056D">
        <w:rPr>
          <w:rFonts w:ascii="Arial Black" w:hAnsi="Arial Black" w:cs="Times New Roman"/>
          <w:sz w:val="24"/>
          <w:szCs w:val="24"/>
        </w:rPr>
        <w:t>PETIÇÃO</w:t>
      </w:r>
    </w:p>
    <w:p w14:paraId="2652512D" w14:textId="77777777" w:rsidR="003A056D" w:rsidRPr="003A056D" w:rsidRDefault="003A056D" w:rsidP="003A056D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3A056D">
        <w:rPr>
          <w:rFonts w:ascii="Arial Black" w:hAnsi="Arial Black" w:cs="Times New Roman"/>
          <w:sz w:val="24"/>
          <w:szCs w:val="24"/>
        </w:rPr>
        <w:t>Rénan Kfuri Lopes</w:t>
      </w:r>
    </w:p>
    <w:p w14:paraId="12C4F078" w14:textId="77777777" w:rsidR="003A056D" w:rsidRDefault="003A056D" w:rsidP="003A056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EB86F40" w14:textId="77777777" w:rsidR="003A056D" w:rsidRDefault="003A056D" w:rsidP="003A056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A05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256C84DA" w14:textId="25AB36F6" w:rsidR="003A056D" w:rsidRPr="003A056D" w:rsidRDefault="003A056D" w:rsidP="003A056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A056D">
        <w:rPr>
          <w:rFonts w:ascii="Times New Roman" w:hAnsi="Times New Roman" w:cs="Times New Roman"/>
          <w:sz w:val="24"/>
          <w:szCs w:val="24"/>
        </w:rPr>
        <w:t xml:space="preserve">Proc.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F3155D1" w14:textId="246AA841" w:rsidR="003A056D" w:rsidRPr="003A056D" w:rsidRDefault="003A056D" w:rsidP="003A056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A056D">
        <w:rPr>
          <w:rFonts w:ascii="Times New Roman" w:hAnsi="Times New Roman" w:cs="Times New Roman"/>
          <w:sz w:val="24"/>
          <w:szCs w:val="24"/>
        </w:rPr>
        <w:t>AUTORES:</w:t>
      </w:r>
      <w:r w:rsidRPr="003A056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2B61CBA" w14:textId="608C1FB6" w:rsidR="003A056D" w:rsidRPr="003A056D" w:rsidRDefault="003A056D" w:rsidP="003A056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A056D">
        <w:rPr>
          <w:rFonts w:ascii="Times New Roman" w:hAnsi="Times New Roman" w:cs="Times New Roman"/>
          <w:sz w:val="24"/>
          <w:szCs w:val="24"/>
        </w:rPr>
        <w:t xml:space="preserve">RÉUS: </w:t>
      </w:r>
      <w:r w:rsidRPr="003A056D">
        <w:rPr>
          <w:rFonts w:ascii="Times New Roman" w:hAnsi="Times New Roman" w:cs="Times New Roman"/>
          <w:sz w:val="24"/>
          <w:szCs w:val="24"/>
        </w:rPr>
        <w:tab/>
        <w:t xml:space="preserve">ESPÓLIO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6E4571D" w14:textId="13A924FC" w:rsidR="003A056D" w:rsidRPr="003A056D" w:rsidRDefault="003A056D" w:rsidP="003A056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A056D">
        <w:rPr>
          <w:rFonts w:ascii="Times New Roman" w:hAnsi="Times New Roman" w:cs="Times New Roman"/>
          <w:sz w:val="24"/>
          <w:szCs w:val="24"/>
        </w:rPr>
        <w:t xml:space="preserve">- REGULARIZAÇÃO PROCESSUAL do finado litisconsorte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A056D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4438FDAA" w14:textId="18B85C8E" w:rsidR="003A056D" w:rsidRPr="003A056D" w:rsidRDefault="003A056D" w:rsidP="003A056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A056D">
        <w:rPr>
          <w:rFonts w:ascii="Times New Roman" w:hAnsi="Times New Roman" w:cs="Times New Roman"/>
          <w:sz w:val="24"/>
          <w:szCs w:val="24"/>
        </w:rPr>
        <w:t xml:space="preserve">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A056D">
        <w:rPr>
          <w:rFonts w:ascii="Times New Roman" w:hAnsi="Times New Roman" w:cs="Times New Roman"/>
          <w:sz w:val="24"/>
          <w:szCs w:val="24"/>
        </w:rPr>
        <w:t xml:space="preserve">, litisconsorte passiva, representada por sua inventariante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A05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056D">
        <w:rPr>
          <w:rFonts w:ascii="Times New Roman" w:hAnsi="Times New Roman" w:cs="Times New Roman"/>
          <w:sz w:val="24"/>
          <w:szCs w:val="24"/>
        </w:rPr>
        <w:t>por  seu</w:t>
      </w:r>
      <w:proofErr w:type="gramEnd"/>
      <w:r w:rsidRPr="003A056D">
        <w:rPr>
          <w:rFonts w:ascii="Times New Roman" w:hAnsi="Times New Roman" w:cs="Times New Roman"/>
          <w:sz w:val="24"/>
          <w:szCs w:val="24"/>
        </w:rPr>
        <w:t xml:space="preserve"> advogado </w:t>
      </w:r>
      <w:r w:rsidRPr="003A056D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3A056D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3A056D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Pr="003A056D">
        <w:rPr>
          <w:rFonts w:ascii="Times New Roman" w:hAnsi="Times New Roman" w:cs="Times New Roman"/>
          <w:sz w:val="24"/>
          <w:szCs w:val="24"/>
        </w:rPr>
        <w:t xml:space="preserve"> Instrumento de Procuração e Termo de Compromisso [inventariante] acostado no evento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A056D">
        <w:rPr>
          <w:rFonts w:ascii="Times New Roman" w:hAnsi="Times New Roman" w:cs="Times New Roman"/>
          <w:sz w:val="24"/>
          <w:szCs w:val="24"/>
        </w:rPr>
        <w:t xml:space="preserve">, nos autos epigrafadas da ação de redução de doação promovida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A056D">
        <w:rPr>
          <w:rFonts w:ascii="Times New Roman" w:hAnsi="Times New Roman" w:cs="Times New Roman"/>
          <w:sz w:val="24"/>
          <w:szCs w:val="24"/>
        </w:rPr>
        <w:t>, vem, respeitosamente, aduzir e requerer o que se segue:</w:t>
      </w:r>
    </w:p>
    <w:p w14:paraId="59683C98" w14:textId="546FEBD1" w:rsidR="003A056D" w:rsidRPr="003A056D" w:rsidRDefault="003A056D" w:rsidP="003A056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A056D">
        <w:rPr>
          <w:rFonts w:ascii="Times New Roman" w:hAnsi="Times New Roman" w:cs="Times New Roman"/>
          <w:sz w:val="24"/>
          <w:szCs w:val="24"/>
        </w:rPr>
        <w:t xml:space="preserve"> Indispensável a regularização processual do 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A056D">
        <w:rPr>
          <w:rFonts w:ascii="Times New Roman" w:hAnsi="Times New Roman" w:cs="Times New Roman"/>
          <w:sz w:val="24"/>
          <w:szCs w:val="24"/>
        </w:rPr>
        <w:t xml:space="preserve"> com intimação dos seus herdeiros</w:t>
      </w:r>
    </w:p>
    <w:p w14:paraId="30901601" w14:textId="4B8892A5" w:rsidR="003A056D" w:rsidRPr="003A056D" w:rsidRDefault="003A056D" w:rsidP="003A056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A056D">
        <w:rPr>
          <w:rFonts w:ascii="Times New Roman" w:hAnsi="Times New Roman" w:cs="Times New Roman"/>
          <w:sz w:val="24"/>
          <w:szCs w:val="24"/>
        </w:rPr>
        <w:t xml:space="preserve">Através da petição do 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A056D">
        <w:rPr>
          <w:rFonts w:ascii="Times New Roman" w:hAnsi="Times New Roman" w:cs="Times New Roman"/>
          <w:sz w:val="24"/>
          <w:szCs w:val="24"/>
        </w:rPr>
        <w:t xml:space="preserve"> foi alertada a necessidade de regularização da representação processual do falecido litisconsorte passivo 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22A8F297" w14:textId="0C6B81A6" w:rsidR="003A056D" w:rsidRPr="003A056D" w:rsidRDefault="003A056D" w:rsidP="003A056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A056D">
        <w:rPr>
          <w:rFonts w:ascii="Times New Roman" w:hAnsi="Times New Roman" w:cs="Times New Roman"/>
          <w:sz w:val="24"/>
          <w:szCs w:val="24"/>
        </w:rPr>
        <w:t xml:space="preserve">O inventário do finado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A056D">
        <w:rPr>
          <w:rFonts w:ascii="Times New Roman" w:hAnsi="Times New Roman" w:cs="Times New Roman"/>
          <w:sz w:val="24"/>
          <w:szCs w:val="24"/>
        </w:rPr>
        <w:t xml:space="preserve"> tramitou perante a 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A056D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A056D">
        <w:rPr>
          <w:rFonts w:ascii="Times New Roman" w:hAnsi="Times New Roman" w:cs="Times New Roman"/>
          <w:sz w:val="24"/>
          <w:szCs w:val="24"/>
        </w:rPr>
        <w:t xml:space="preserve">, Processo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A056D">
        <w:rPr>
          <w:rFonts w:ascii="Times New Roman" w:hAnsi="Times New Roman" w:cs="Times New Roman"/>
          <w:sz w:val="24"/>
          <w:szCs w:val="24"/>
        </w:rPr>
        <w:t>, tendo sido extinto/encerrado com a v. sentença homologatória de partilha transitada em julgado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3A056D">
        <w:rPr>
          <w:rFonts w:ascii="Times New Roman" w:hAnsi="Times New Roman" w:cs="Times New Roman"/>
          <w:sz w:val="24"/>
          <w:szCs w:val="24"/>
        </w:rPr>
        <w:t>].</w:t>
      </w:r>
    </w:p>
    <w:p w14:paraId="7FBA432F" w14:textId="791FE140" w:rsidR="003A056D" w:rsidRPr="003A056D" w:rsidRDefault="003A056D" w:rsidP="003A056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5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3A05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3A056D">
        <w:rPr>
          <w:rFonts w:ascii="Times New Roman" w:hAnsi="Times New Roman" w:cs="Times New Roman"/>
          <w:sz w:val="24"/>
          <w:szCs w:val="24"/>
        </w:rPr>
        <w:t xml:space="preserve">¸ para fins de regularizar a representação processual do litisconsorte/falecido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A056D">
        <w:rPr>
          <w:rFonts w:ascii="Times New Roman" w:hAnsi="Times New Roman" w:cs="Times New Roman"/>
          <w:sz w:val="24"/>
          <w:szCs w:val="24"/>
        </w:rPr>
        <w:t>, com esteio no art. 110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3A056D">
        <w:rPr>
          <w:rFonts w:ascii="Times New Roman" w:hAnsi="Times New Roman" w:cs="Times New Roman"/>
          <w:sz w:val="24"/>
          <w:szCs w:val="24"/>
        </w:rPr>
        <w:t xml:space="preserve">, evitando, com isso, insanável nulidade processual/cerceamento de defesa, que em muito atrasará a prestação jurisdicional, requer SEJAM INTIMADOS OS AUTORES para promoverem à intimação dos herdeiros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A056D">
        <w:rPr>
          <w:rFonts w:ascii="Times New Roman" w:hAnsi="Times New Roman" w:cs="Times New Roman"/>
          <w:sz w:val="24"/>
          <w:szCs w:val="24"/>
        </w:rPr>
        <w:t xml:space="preserve"> para se habilitarem nos autos na forma legal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3A05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51C362" w14:textId="4961FA86" w:rsidR="003A056D" w:rsidRPr="003A056D" w:rsidRDefault="003A056D" w:rsidP="003A056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A056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3A056D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4F683154" w14:textId="7635E7A0" w:rsidR="003A056D" w:rsidRDefault="003A056D" w:rsidP="003A056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72E93F5" w14:textId="481F6FC0" w:rsidR="003A056D" w:rsidRPr="003A056D" w:rsidRDefault="003A056D" w:rsidP="003A056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3A056D" w:rsidRPr="003A0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9FA7" w14:textId="77777777" w:rsidR="00F9220D" w:rsidRDefault="00F9220D" w:rsidP="003A056D">
      <w:pPr>
        <w:spacing w:after="0" w:line="240" w:lineRule="auto"/>
      </w:pPr>
      <w:r>
        <w:separator/>
      </w:r>
    </w:p>
  </w:endnote>
  <w:endnote w:type="continuationSeparator" w:id="0">
    <w:p w14:paraId="274305A4" w14:textId="77777777" w:rsidR="00F9220D" w:rsidRDefault="00F9220D" w:rsidP="003A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84FA" w14:textId="77777777" w:rsidR="00F9220D" w:rsidRDefault="00F9220D" w:rsidP="003A056D">
      <w:pPr>
        <w:spacing w:after="0" w:line="240" w:lineRule="auto"/>
      </w:pPr>
      <w:r>
        <w:separator/>
      </w:r>
    </w:p>
  </w:footnote>
  <w:footnote w:type="continuationSeparator" w:id="0">
    <w:p w14:paraId="0C385344" w14:textId="77777777" w:rsidR="00F9220D" w:rsidRDefault="00F9220D" w:rsidP="003A056D">
      <w:pPr>
        <w:spacing w:after="0" w:line="240" w:lineRule="auto"/>
      </w:pPr>
      <w:r>
        <w:continuationSeparator/>
      </w:r>
    </w:p>
  </w:footnote>
  <w:footnote w:id="1">
    <w:p w14:paraId="516EAA38" w14:textId="0D58B2FE" w:rsidR="003A056D" w:rsidRPr="003A056D" w:rsidRDefault="003A056D" w:rsidP="003A056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A056D">
        <w:rPr>
          <w:rStyle w:val="Refdenotaderodap"/>
          <w:rFonts w:ascii="Times New Roman" w:hAnsi="Times New Roman" w:cs="Times New Roman"/>
        </w:rPr>
        <w:footnoteRef/>
      </w:r>
      <w:r w:rsidRPr="003A056D">
        <w:rPr>
          <w:rFonts w:ascii="Times New Roman" w:hAnsi="Times New Roman" w:cs="Times New Roman"/>
        </w:rPr>
        <w:t xml:space="preserve"> </w:t>
      </w:r>
      <w:r w:rsidRPr="003A056D">
        <w:rPr>
          <w:rFonts w:ascii="Times New Roman" w:hAnsi="Times New Roman" w:cs="Times New Roman"/>
        </w:rPr>
        <w:t>A representação da parte é matéria de natureza processual civil.</w:t>
      </w:r>
    </w:p>
  </w:footnote>
  <w:footnote w:id="2">
    <w:p w14:paraId="0B8A2847" w14:textId="5E888EF1" w:rsidR="003A056D" w:rsidRPr="003A056D" w:rsidRDefault="003A056D" w:rsidP="003A056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A056D">
        <w:rPr>
          <w:rStyle w:val="Refdenotaderodap"/>
          <w:rFonts w:ascii="Times New Roman" w:hAnsi="Times New Roman" w:cs="Times New Roman"/>
        </w:rPr>
        <w:footnoteRef/>
      </w:r>
      <w:r w:rsidRPr="003A056D">
        <w:rPr>
          <w:rFonts w:ascii="Times New Roman" w:hAnsi="Times New Roman" w:cs="Times New Roman"/>
        </w:rPr>
        <w:t xml:space="preserve"> </w:t>
      </w:r>
      <w:r w:rsidRPr="003A056D">
        <w:rPr>
          <w:rFonts w:ascii="Times New Roman" w:hAnsi="Times New Roman" w:cs="Times New Roman"/>
        </w:rPr>
        <w:t>CPC, art. 110. Ocorrendo a morte de qualquer das partes, dar-se-á a sucessão pelo seu espólio ou pelos seus sucessores, observado o disposto no art. 313, §§ 1º e 2º.</w:t>
      </w:r>
    </w:p>
  </w:footnote>
  <w:footnote w:id="3">
    <w:p w14:paraId="1CB8C007" w14:textId="1222ACFE" w:rsidR="003A056D" w:rsidRPr="003A056D" w:rsidRDefault="003A056D" w:rsidP="003A056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A056D">
        <w:rPr>
          <w:rStyle w:val="Refdenotaderodap"/>
          <w:rFonts w:ascii="Times New Roman" w:hAnsi="Times New Roman" w:cs="Times New Roman"/>
        </w:rPr>
        <w:footnoteRef/>
      </w:r>
      <w:r w:rsidRPr="003A056D">
        <w:rPr>
          <w:rFonts w:ascii="Times New Roman" w:hAnsi="Times New Roman" w:cs="Times New Roman"/>
        </w:rPr>
        <w:t xml:space="preserve"> </w:t>
      </w:r>
      <w:r w:rsidRPr="003A056D">
        <w:rPr>
          <w:rFonts w:ascii="Times New Roman" w:hAnsi="Times New Roman" w:cs="Times New Roman"/>
        </w:rPr>
        <w:t>Encerrado o inventário, o inventariante não mais representará os herdeiros porque, homologada a partilha, o espólio perde a legitimidade para propor ou responder a ações, cabendo, então, esse direito aos herdeiros, aos quais deverá ser dada a oportunidade de habilitação no processo, assumindo-o no estado em que se encontra.</w:t>
      </w:r>
      <w:r w:rsidRPr="003A056D">
        <w:rPr>
          <w:rFonts w:ascii="Times New Roman" w:hAnsi="Times New Roman" w:cs="Times New Roman"/>
        </w:rPr>
        <w:t xml:space="preserve"> </w:t>
      </w:r>
      <w:r w:rsidRPr="003A056D">
        <w:rPr>
          <w:rFonts w:ascii="Times New Roman" w:hAnsi="Times New Roman" w:cs="Times New Roman"/>
        </w:rPr>
        <w:t xml:space="preserve">[STJ, </w:t>
      </w:r>
      <w:proofErr w:type="spellStart"/>
      <w:r w:rsidRPr="003A056D">
        <w:rPr>
          <w:rFonts w:ascii="Times New Roman" w:hAnsi="Times New Roman" w:cs="Times New Roman"/>
        </w:rPr>
        <w:t>Resp</w:t>
      </w:r>
      <w:proofErr w:type="spellEnd"/>
      <w:r w:rsidRPr="003A056D">
        <w:rPr>
          <w:rFonts w:ascii="Times New Roman" w:hAnsi="Times New Roman" w:cs="Times New Roman"/>
        </w:rPr>
        <w:t xml:space="preserve"> 1.424.475/MT, trecho voto relator Min. João Otávio Noronha, </w:t>
      </w:r>
      <w:proofErr w:type="spellStart"/>
      <w:r w:rsidRPr="003A056D">
        <w:rPr>
          <w:rFonts w:ascii="Times New Roman" w:hAnsi="Times New Roman" w:cs="Times New Roman"/>
        </w:rPr>
        <w:t>DJe</w:t>
      </w:r>
      <w:proofErr w:type="spellEnd"/>
      <w:r w:rsidRPr="003A056D">
        <w:rPr>
          <w:rFonts w:ascii="Times New Roman" w:hAnsi="Times New Roman" w:cs="Times New Roman"/>
        </w:rPr>
        <w:t xml:space="preserve"> 11.03.2015].</w:t>
      </w:r>
    </w:p>
    <w:p w14:paraId="314EB875" w14:textId="77777777" w:rsidR="003A056D" w:rsidRPr="003A056D" w:rsidRDefault="003A056D" w:rsidP="003A056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A056D">
        <w:rPr>
          <w:rFonts w:ascii="Times New Roman" w:hAnsi="Times New Roman" w:cs="Times New Roman"/>
        </w:rPr>
        <w:t>APELAÇÃO CÍVEL - CUMPRIMENTO DE SENTENÇA - HONORÁRIOS SUCUMBENCIAIS - ESPÓLIO - INVENTÁRIO ENCERRADO - SUBSTITUIÇÃO PROCESSUAL PELOS HERDEIROS - POSSIBILIDADE. Diante do falecimento da parte ré, ela deve ser substituída pelo seu espólio ou por seus herdeiros no polo passivo da demanda. Considerando que o inventário do de cujus encontra-se encerrado, os herdeiros são partes legítimas para responder pelo débito de cobrança, motivo pelo qual a sentença é anulada, determinando-se o retorno dos autos para regular prosseguimento, com a regularização do polo passivo.</w:t>
      </w:r>
    </w:p>
    <w:p w14:paraId="57113A3A" w14:textId="34072BA8" w:rsidR="003A056D" w:rsidRPr="003A056D" w:rsidRDefault="003A056D" w:rsidP="003A056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A056D">
        <w:rPr>
          <w:rFonts w:ascii="Times New Roman" w:hAnsi="Times New Roman" w:cs="Times New Roman"/>
        </w:rPr>
        <w:t xml:space="preserve">[TJMG, AC: 10000212460893001; Rel. Wilson Benevides, </w:t>
      </w:r>
      <w:proofErr w:type="spellStart"/>
      <w:r w:rsidRPr="003A056D">
        <w:rPr>
          <w:rFonts w:ascii="Times New Roman" w:hAnsi="Times New Roman" w:cs="Times New Roman"/>
        </w:rPr>
        <w:t>DJe</w:t>
      </w:r>
      <w:proofErr w:type="spellEnd"/>
      <w:r w:rsidRPr="003A056D">
        <w:rPr>
          <w:rFonts w:ascii="Times New Roman" w:hAnsi="Times New Roman" w:cs="Times New Roman"/>
        </w:rPr>
        <w:t xml:space="preserve"> 17/03/2022].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6D"/>
    <w:rsid w:val="003A056D"/>
    <w:rsid w:val="00F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3512"/>
  <w15:chartTrackingRefBased/>
  <w15:docId w15:val="{43A01A16-A76E-47C3-933E-80F7F0D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056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056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0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B823-99F3-4B23-924B-76E2263F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2023-11-16T16:49:00Z</dcterms:created>
  <dcterms:modified xsi:type="dcterms:W3CDTF">2023-11-16T16:54:00Z</dcterms:modified>
</cp:coreProperties>
</file>