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08F1" w14:textId="77777777" w:rsidR="005361C6" w:rsidRPr="005361C6" w:rsidRDefault="005361C6" w:rsidP="005361C6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5361C6">
        <w:rPr>
          <w:rFonts w:ascii="Arial Black" w:hAnsi="Arial Black" w:cs="Times New Roman"/>
          <w:sz w:val="24"/>
          <w:szCs w:val="24"/>
        </w:rPr>
        <w:t>MODELO DE PETIÇÃO</w:t>
      </w:r>
    </w:p>
    <w:p w14:paraId="1C8CD512" w14:textId="77777777" w:rsidR="00F330AB" w:rsidRDefault="00B9592F" w:rsidP="005361C6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HONORÁRIOS ADVOCATÍCIOS SUCUMBENCIAIS. </w:t>
      </w:r>
    </w:p>
    <w:p w14:paraId="30DE6B0A" w14:textId="5D4CF956" w:rsidR="005361C6" w:rsidRPr="005361C6" w:rsidRDefault="00F330AB" w:rsidP="005361C6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TEMA 1.076 DO STJ. CORTE ESPECIAL. CPC, art. 85, § 2º. AFASTADO CRITÉRIO EQUIDADE. PETIÇÃO</w:t>
      </w:r>
    </w:p>
    <w:p w14:paraId="312EC910" w14:textId="444547C0" w:rsidR="005361C6" w:rsidRPr="005361C6" w:rsidRDefault="005361C6" w:rsidP="005361C6">
      <w:pPr>
        <w:spacing w:after="0" w:line="240" w:lineRule="auto"/>
        <w:ind w:right="-425"/>
        <w:jc w:val="right"/>
        <w:rPr>
          <w:rFonts w:ascii="Arial Black" w:hAnsi="Arial Black" w:cs="Times New Roman"/>
          <w:sz w:val="24"/>
          <w:szCs w:val="24"/>
        </w:rPr>
      </w:pPr>
      <w:r w:rsidRPr="005361C6">
        <w:rPr>
          <w:rFonts w:ascii="Arial Black" w:hAnsi="Arial Black" w:cs="Times New Roman"/>
          <w:sz w:val="24"/>
          <w:szCs w:val="24"/>
        </w:rPr>
        <w:t>Rénan Kfuri Lopes</w:t>
      </w:r>
    </w:p>
    <w:p w14:paraId="2758FA91" w14:textId="77777777" w:rsid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0A05EE01" w14:textId="0B4141F5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361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Desembargadora ... – DD Terceira Vice-Presidente do TJ...</w:t>
      </w:r>
    </w:p>
    <w:p w14:paraId="20884D38" w14:textId="62B5A659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361C6">
        <w:rPr>
          <w:rFonts w:ascii="Times New Roman" w:hAnsi="Times New Roman" w:cs="Times New Roman"/>
          <w:sz w:val="24"/>
          <w:szCs w:val="24"/>
        </w:rPr>
        <w:t xml:space="preserve">CNJ/JPe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F67CEF8" w14:textId="1963A652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361C6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361C6">
        <w:rPr>
          <w:rFonts w:ascii="Times New Roman" w:hAnsi="Times New Roman" w:cs="Times New Roman"/>
          <w:sz w:val="24"/>
          <w:szCs w:val="24"/>
        </w:rPr>
        <w:t xml:space="preserve">/Recurso Especial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7BA81C" w14:textId="4DB4EF80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5361C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5361C6">
        <w:rPr>
          <w:rFonts w:ascii="Times New Roman" w:hAnsi="Times New Roman" w:cs="Times New Roman"/>
          <w:sz w:val="24"/>
          <w:szCs w:val="24"/>
        </w:rPr>
        <w:t xml:space="preserve">, pelo comum advogado 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5361C6">
        <w:rPr>
          <w:rFonts w:ascii="Times New Roman" w:hAnsi="Times New Roman" w:cs="Times New Roman"/>
          <w:sz w:val="24"/>
          <w:szCs w:val="24"/>
        </w:rPr>
        <w:t xml:space="preserve"> assinado, vêm, respeitosamente, nos presentes autos do Recurso Especial, figurando como recorrida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361C6">
        <w:rPr>
          <w:rFonts w:ascii="Times New Roman" w:hAnsi="Times New Roman" w:cs="Times New Roman"/>
          <w:sz w:val="24"/>
          <w:szCs w:val="24"/>
        </w:rPr>
        <w:t>., aduzir as considerações apostas na dianteira que se fazem oportunas diante do recente posicionamento do eg. Superior Tribunal de Justiça em sede de Recurso Repetitivo, pelo que passam a aduzir:</w:t>
      </w:r>
    </w:p>
    <w:p w14:paraId="1BB0EF84" w14:textId="569A2725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361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C6">
        <w:rPr>
          <w:rFonts w:ascii="Times New Roman" w:hAnsi="Times New Roman" w:cs="Times New Roman"/>
          <w:sz w:val="24"/>
          <w:szCs w:val="24"/>
        </w:rPr>
        <w:t xml:space="preserve">O </w:t>
      </w:r>
      <w:r w:rsidRPr="00B9592F">
        <w:rPr>
          <w:rFonts w:ascii="Times New Roman" w:hAnsi="Times New Roman" w:cs="Times New Roman"/>
          <w:i/>
          <w:iCs/>
          <w:sz w:val="24"/>
          <w:szCs w:val="24"/>
        </w:rPr>
        <w:t>punctum dolens</w:t>
      </w:r>
      <w:r w:rsidRPr="005361C6">
        <w:rPr>
          <w:rFonts w:ascii="Times New Roman" w:hAnsi="Times New Roman" w:cs="Times New Roman"/>
          <w:sz w:val="24"/>
          <w:szCs w:val="24"/>
        </w:rPr>
        <w:t xml:space="preserve"> do presente Recurso Especial é reformar o v. acórdão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361C6">
        <w:rPr>
          <w:rFonts w:ascii="Times New Roman" w:hAnsi="Times New Roman" w:cs="Times New Roman"/>
          <w:sz w:val="24"/>
          <w:szCs w:val="24"/>
        </w:rPr>
        <w:t>ª Câmara Cível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361C6">
        <w:rPr>
          <w:rFonts w:ascii="Times New Roman" w:hAnsi="Times New Roman" w:cs="Times New Roman"/>
          <w:sz w:val="24"/>
          <w:szCs w:val="24"/>
        </w:rPr>
        <w:t xml:space="preserve"> que contrariou num só passo ao comando do art. 85, §§ 2º e 8º do CPC; às múltiplas decisões das Turmas do STJ e agora, a decisão colegiada pela CORTE ESPECIAL DO STJ acerca do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Tema 1.076</w:t>
      </w:r>
      <w:r w:rsidRPr="005361C6">
        <w:rPr>
          <w:rFonts w:ascii="Times New Roman" w:hAnsi="Times New Roman" w:cs="Times New Roman"/>
          <w:sz w:val="24"/>
          <w:szCs w:val="24"/>
        </w:rPr>
        <w:t>”, representado pelo acórdão proferido no Resp 1.850.512/SP, rel. Min. Og Fernandes, DJe 31.05.22, no sentido de que:</w:t>
      </w:r>
    </w:p>
    <w:p w14:paraId="6DE14E5A" w14:textId="1C278480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- </w:t>
      </w:r>
      <w:r w:rsidRPr="005361C6">
        <w:rPr>
          <w:rFonts w:ascii="Times New Roman" w:hAnsi="Times New Roman" w:cs="Times New Roman"/>
          <w:sz w:val="24"/>
          <w:szCs w:val="24"/>
        </w:rPr>
        <w:t>a fixação dos honorários advocatícios sucumbenciais por apreciação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equitativa</w:t>
      </w:r>
      <w:r w:rsidRPr="005361C6">
        <w:rPr>
          <w:rFonts w:ascii="Times New Roman" w:hAnsi="Times New Roman" w:cs="Times New Roman"/>
          <w:sz w:val="24"/>
          <w:szCs w:val="24"/>
        </w:rPr>
        <w:t>” não é permitida quando os valores da condenação da causa ou do proveito econômico da demanda forem elevados [§ 2º, art.85, CPC] e,</w:t>
      </w:r>
    </w:p>
    <w:p w14:paraId="7787C3C2" w14:textId="2B5BCD79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- </w:t>
      </w:r>
      <w:r w:rsidRPr="005361C6">
        <w:rPr>
          <w:rFonts w:ascii="Times New Roman" w:hAnsi="Times New Roman" w:cs="Times New Roman"/>
          <w:sz w:val="24"/>
          <w:szCs w:val="24"/>
        </w:rPr>
        <w:t>apenas se admite arbitramento de honorários por equidade quando, havendo ou não condenação (a) o proveito econômico obtido pelo vencedor for inestimável ou irrisório; ou (b) o valor da causa for muito baixo [§ 8º, art.85, CPC].</w:t>
      </w:r>
    </w:p>
    <w:p w14:paraId="4A3A437E" w14:textId="1AA93B96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5361C6">
        <w:rPr>
          <w:rFonts w:ascii="Times New Roman" w:hAnsi="Times New Roman" w:cs="Times New Roman"/>
          <w:sz w:val="24"/>
          <w:szCs w:val="24"/>
        </w:rPr>
        <w:t xml:space="preserve">, como se depreende da singela leitura dos autos e das razões recursais houve um substancial proveito econômico em favor dos ora recorrentes pelo êxito da peça de resistência [impugnação no cumprimento de sentença]. Todavia, o v. acórdão vergastado, equivocadamente, </w:t>
      </w:r>
      <w:r w:rsidRPr="00B9592F">
        <w:rPr>
          <w:rFonts w:ascii="Times New Roman" w:hAnsi="Times New Roman" w:cs="Times New Roman"/>
          <w:i/>
          <w:iCs/>
          <w:sz w:val="24"/>
          <w:szCs w:val="24"/>
        </w:rPr>
        <w:t>vênia permissa</w:t>
      </w:r>
      <w:r w:rsidRPr="005361C6">
        <w:rPr>
          <w:rFonts w:ascii="Times New Roman" w:hAnsi="Times New Roman" w:cs="Times New Roman"/>
          <w:sz w:val="24"/>
          <w:szCs w:val="24"/>
        </w:rPr>
        <w:t>, adotou o princípio de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equidade</w:t>
      </w:r>
      <w:r w:rsidRPr="005361C6">
        <w:rPr>
          <w:rFonts w:ascii="Times New Roman" w:hAnsi="Times New Roman" w:cs="Times New Roman"/>
          <w:sz w:val="24"/>
          <w:szCs w:val="24"/>
        </w:rPr>
        <w:t>” e não seguiu os parâmetros legais numa demanda que sucedeu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proveito econômico</w:t>
      </w:r>
      <w:r w:rsidRPr="005361C6">
        <w:rPr>
          <w:rFonts w:ascii="Times New Roman" w:hAnsi="Times New Roman" w:cs="Times New Roman"/>
          <w:sz w:val="24"/>
          <w:szCs w:val="24"/>
        </w:rPr>
        <w:t>” à parte exitosa e o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valor da causa</w:t>
      </w:r>
      <w:r w:rsidRPr="005361C6">
        <w:rPr>
          <w:rFonts w:ascii="Times New Roman" w:hAnsi="Times New Roman" w:cs="Times New Roman"/>
          <w:sz w:val="24"/>
          <w:szCs w:val="24"/>
        </w:rPr>
        <w:t>” não era baixo. Por fim, afrontou matéria estabilizada pelo STJ através de julgamento definitivo de Recurso Repetitivo do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Tema 1.076</w:t>
      </w:r>
      <w:r w:rsidRPr="005361C6">
        <w:rPr>
          <w:rFonts w:ascii="Times New Roman" w:hAnsi="Times New Roman" w:cs="Times New Roman"/>
          <w:sz w:val="24"/>
          <w:szCs w:val="24"/>
        </w:rPr>
        <w:t>”.</w:t>
      </w:r>
    </w:p>
    <w:p w14:paraId="644BC4AE" w14:textId="5347776E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61C6">
        <w:rPr>
          <w:rFonts w:ascii="Times New Roman" w:hAnsi="Times New Roman" w:cs="Times New Roman"/>
          <w:sz w:val="24"/>
          <w:szCs w:val="24"/>
        </w:rPr>
        <w:t>A propulsão e efetividade do julgamento do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Tema 1.076</w:t>
      </w:r>
      <w:r w:rsidRPr="005361C6">
        <w:rPr>
          <w:rFonts w:ascii="Times New Roman" w:hAnsi="Times New Roman" w:cs="Times New Roman"/>
          <w:sz w:val="24"/>
          <w:szCs w:val="24"/>
        </w:rPr>
        <w:t xml:space="preserve">” propagou para os vários recursos que hoje tramitam no STJ. </w:t>
      </w:r>
    </w:p>
    <w:p w14:paraId="2FE723F7" w14:textId="38D2997C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5361C6">
        <w:rPr>
          <w:rFonts w:ascii="Times New Roman" w:hAnsi="Times New Roman" w:cs="Times New Roman"/>
          <w:sz w:val="24"/>
          <w:szCs w:val="24"/>
        </w:rPr>
        <w:t>E por consequência, os Recursos Especiais a partir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5361C6">
        <w:rPr>
          <w:rFonts w:ascii="Times New Roman" w:hAnsi="Times New Roman" w:cs="Times New Roman"/>
          <w:sz w:val="24"/>
          <w:szCs w:val="24"/>
        </w:rPr>
        <w:t xml:space="preserve"> deste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361C6">
        <w:rPr>
          <w:rFonts w:ascii="Times New Roman" w:hAnsi="Times New Roman" w:cs="Times New Roman"/>
          <w:sz w:val="24"/>
          <w:szCs w:val="24"/>
        </w:rPr>
        <w:t xml:space="preserve"> estão sendo monocraticamente julgados pelos Ministros relatores ---já que a matéria 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in examen</w:t>
      </w:r>
      <w:r w:rsidRPr="005361C6">
        <w:rPr>
          <w:rFonts w:ascii="Times New Roman" w:hAnsi="Times New Roman" w:cs="Times New Roman"/>
          <w:sz w:val="24"/>
          <w:szCs w:val="24"/>
        </w:rPr>
        <w:t xml:space="preserve"> está cravada e fixada na quadra de recurso repetitivo pela Corte Especial do STJ--- nas diretrizes acima traçadas e transcritas no Resp 1.850.512/SP, DJe 31.05.22.</w:t>
      </w:r>
    </w:p>
    <w:p w14:paraId="4128D92B" w14:textId="40535720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Ad ilustrandum,</w:t>
      </w:r>
      <w:r w:rsidRPr="005361C6">
        <w:rPr>
          <w:rFonts w:ascii="Times New Roman" w:hAnsi="Times New Roman" w:cs="Times New Roman"/>
          <w:sz w:val="24"/>
          <w:szCs w:val="24"/>
        </w:rPr>
        <w:t xml:space="preserve"> dentre várias e várias decisões já proferidas e outras que se seguirão neste mesmo sentido, os recorrentes apresentam uma recentíssima, no julgamento monocrático do Resp 1.812.301/SC, datada de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25.08.2022</w:t>
      </w:r>
      <w:r w:rsidRPr="005361C6">
        <w:rPr>
          <w:rFonts w:ascii="Times New Roman" w:hAnsi="Times New Roman" w:cs="Times New Roman"/>
          <w:sz w:val="24"/>
          <w:szCs w:val="24"/>
        </w:rPr>
        <w:t>”, publicada no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DJe de 01.09.22</w:t>
      </w:r>
      <w:r w:rsidRPr="005361C6">
        <w:rPr>
          <w:rFonts w:ascii="Times New Roman" w:hAnsi="Times New Roman" w:cs="Times New Roman"/>
          <w:sz w:val="24"/>
          <w:szCs w:val="24"/>
        </w:rPr>
        <w:t xml:space="preserve">” [neste mês de </w:t>
      </w:r>
      <w:r w:rsidRPr="005361C6">
        <w:rPr>
          <w:rFonts w:ascii="Times New Roman" w:hAnsi="Times New Roman" w:cs="Times New Roman"/>
          <w:sz w:val="24"/>
          <w:szCs w:val="24"/>
        </w:rPr>
        <w:lastRenderedPageBreak/>
        <w:t>setembro], relatoria do Min. Raul Araújo, integrante da Segunda Seção do STJ [Direito Privado - Composta por Ministros da 3ª e 4ª Turma], DANDO PROVIMENTO ao apelo extrema para rechaçar a tese de apreciação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equitativa</w:t>
      </w:r>
      <w:r w:rsidRPr="005361C6">
        <w:rPr>
          <w:rFonts w:ascii="Times New Roman" w:hAnsi="Times New Roman" w:cs="Times New Roman"/>
          <w:sz w:val="24"/>
          <w:szCs w:val="24"/>
        </w:rPr>
        <w:t>” na fixação de honorários advocatícios sucumbenciais quando os valores da condenação da causa ou o proveito econômico foram elevados.</w:t>
      </w:r>
    </w:p>
    <w:p w14:paraId="722F5BE1" w14:textId="02BD7E14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361C6">
        <w:rPr>
          <w:rFonts w:ascii="Times New Roman" w:hAnsi="Times New Roman" w:cs="Times New Roman"/>
          <w:sz w:val="24"/>
          <w:szCs w:val="24"/>
        </w:rPr>
        <w:t>Bem por isso, ao prover o Recurso Especial, fixou os honorários advocatícios sucumbenciais em 10% sobre o valor da causa atualizado, cuja leitura por si só é esclarecedora [Decisão do Resp 1.812.301/SC anexada].</w:t>
      </w:r>
    </w:p>
    <w:p w14:paraId="2EF7D3E3" w14:textId="0AE496A8" w:rsidR="005361C6" w:rsidRPr="005361C6" w:rsidRDefault="005361C6" w:rsidP="005361C6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361C6">
        <w:rPr>
          <w:rFonts w:ascii="Times New Roman" w:hAnsi="Times New Roman" w:cs="Times New Roman"/>
          <w:sz w:val="24"/>
          <w:szCs w:val="24"/>
        </w:rPr>
        <w:t>Destarte, como suporte à pretensão recursal largamente propalada nas razões pelos ora recorrentes, agora de forma mais concreta e visível por decisão efetiva dos Ministros do Superior Tribunal de Justiça, reiteram a esta d. Vice-Presidência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361C6">
        <w:rPr>
          <w:rFonts w:ascii="Times New Roman" w:hAnsi="Times New Roman" w:cs="Times New Roman"/>
          <w:sz w:val="24"/>
          <w:szCs w:val="24"/>
        </w:rPr>
        <w:t>, em cumprimento às disposições do art. 1.030, II do CPC [“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encaminhar o processo ao órgão julgador para realização do juízo de retratação, se o acórdão recorrido divergir do entendimento do Supremo Tribunal Federal ou do Superior Tribunal de Justiça exarado, conforme o caso, nos regimes de repercussão geral ou de recursos repetitivos</w:t>
      </w:r>
      <w:r w:rsidRPr="005361C6">
        <w:rPr>
          <w:rFonts w:ascii="Times New Roman" w:hAnsi="Times New Roman" w:cs="Times New Roman"/>
          <w:sz w:val="24"/>
          <w:szCs w:val="24"/>
        </w:rPr>
        <w:t xml:space="preserve">”],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C6">
        <w:rPr>
          <w:rFonts w:ascii="Times New Roman" w:hAnsi="Times New Roman" w:cs="Times New Roman"/>
          <w:sz w:val="24"/>
          <w:szCs w:val="24"/>
        </w:rPr>
        <w:t xml:space="preserve">seja de pronto remetido o processo ao d. órgão julgador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361C6">
        <w:rPr>
          <w:rFonts w:ascii="Times New Roman" w:hAnsi="Times New Roman" w:cs="Times New Roman"/>
          <w:sz w:val="24"/>
          <w:szCs w:val="24"/>
        </w:rPr>
        <w:t>ª Câmara Cível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361C6">
        <w:rPr>
          <w:rFonts w:ascii="Times New Roman" w:hAnsi="Times New Roman" w:cs="Times New Roman"/>
          <w:sz w:val="24"/>
          <w:szCs w:val="24"/>
        </w:rPr>
        <w:t xml:space="preserve"> para o exercício LEGAL do juízo de retratação, dentro do magno espírito também legal e tão almejado que se funda a 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ratio legis</w:t>
      </w:r>
      <w:r w:rsidRPr="005361C6">
        <w:rPr>
          <w:rFonts w:ascii="Times New Roman" w:hAnsi="Times New Roman" w:cs="Times New Roman"/>
          <w:sz w:val="24"/>
          <w:szCs w:val="24"/>
        </w:rPr>
        <w:t xml:space="preserve"> dos Recursos Repetitivos [CPC, art.976, I e II] ---desafogar o Judiciário e a credibilidade da Segurança Jurídica deste instituto processual--- para que em revisão, reapreciem o caso sob a ótica do entendimento consagrado pelo STJ na apreciação de julgamento do “</w:t>
      </w:r>
      <w:r w:rsidRPr="005361C6">
        <w:rPr>
          <w:rFonts w:ascii="Times New Roman" w:hAnsi="Times New Roman" w:cs="Times New Roman"/>
          <w:i/>
          <w:iCs/>
          <w:sz w:val="24"/>
          <w:szCs w:val="24"/>
        </w:rPr>
        <w:t>Tema 1.076</w:t>
      </w:r>
      <w:r w:rsidRPr="005361C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488654E" w14:textId="503E8E44" w:rsidR="005361C6" w:rsidRPr="005361C6" w:rsidRDefault="005361C6" w:rsidP="005361C6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5361C6">
        <w:rPr>
          <w:rFonts w:ascii="Times New Roman" w:hAnsi="Times New Roman" w:cs="Times New Roman"/>
          <w:sz w:val="24"/>
          <w:szCs w:val="24"/>
        </w:rPr>
        <w:t>Pede Deferimento.</w:t>
      </w:r>
    </w:p>
    <w:p w14:paraId="49BF7FEA" w14:textId="2E200091" w:rsidR="005361C6" w:rsidRPr="005361C6" w:rsidRDefault="005361C6" w:rsidP="005361C6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5361C6">
        <w:rPr>
          <w:rFonts w:ascii="Times New Roman" w:hAnsi="Times New Roman" w:cs="Times New Roman"/>
          <w:sz w:val="24"/>
          <w:szCs w:val="24"/>
        </w:rPr>
        <w:t>(Local e data)</w:t>
      </w:r>
    </w:p>
    <w:p w14:paraId="1CC28EBF" w14:textId="73B20704" w:rsidR="005361C6" w:rsidRPr="005361C6" w:rsidRDefault="005361C6" w:rsidP="005361C6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5361C6"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5361C6" w:rsidRPr="00536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FF0B" w14:textId="77777777" w:rsidR="00921336" w:rsidRDefault="00921336" w:rsidP="005361C6">
      <w:pPr>
        <w:spacing w:after="0" w:line="240" w:lineRule="auto"/>
      </w:pPr>
      <w:r>
        <w:separator/>
      </w:r>
    </w:p>
  </w:endnote>
  <w:endnote w:type="continuationSeparator" w:id="0">
    <w:p w14:paraId="3EFDB3A4" w14:textId="77777777" w:rsidR="00921336" w:rsidRDefault="00921336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E366" w14:textId="77777777" w:rsidR="00921336" w:rsidRDefault="00921336" w:rsidP="005361C6">
      <w:pPr>
        <w:spacing w:after="0" w:line="240" w:lineRule="auto"/>
      </w:pPr>
      <w:r>
        <w:separator/>
      </w:r>
    </w:p>
  </w:footnote>
  <w:footnote w:type="continuationSeparator" w:id="0">
    <w:p w14:paraId="26D8BD18" w14:textId="77777777" w:rsidR="00921336" w:rsidRDefault="00921336" w:rsidP="00536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6D0B"/>
    <w:multiLevelType w:val="hybridMultilevel"/>
    <w:tmpl w:val="17FC89E6"/>
    <w:lvl w:ilvl="0" w:tplc="3EAEE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34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C6"/>
    <w:rsid w:val="005361C6"/>
    <w:rsid w:val="006B5D0E"/>
    <w:rsid w:val="00921336"/>
    <w:rsid w:val="00B52D67"/>
    <w:rsid w:val="00B9592F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4FC4"/>
  <w15:docId w15:val="{9B2E62D0-E29F-40E4-9388-57C9BD84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2023-06-19T12:40:00Z</dcterms:created>
  <dcterms:modified xsi:type="dcterms:W3CDTF">2023-06-19T12:40:00Z</dcterms:modified>
</cp:coreProperties>
</file>