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F2CB" w14:textId="77777777" w:rsidR="00D03B61" w:rsidRDefault="00D03B61" w:rsidP="00D03B6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656E0087" w14:textId="1FCFEEC0" w:rsidR="004C1D2B" w:rsidRDefault="00A91EB2" w:rsidP="00D03B6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4C1D2B" w:rsidRPr="00D03B61">
        <w:rPr>
          <w:rFonts w:ascii="Arial Black" w:hAnsi="Arial Black"/>
          <w:b/>
          <w:bCs/>
        </w:rPr>
        <w:t>HONORÁRIOS DE ADVOGADO. MAJORAÇÃO. RECURSO ADESIVO. RAZÕES RECURSAIS</w:t>
      </w:r>
    </w:p>
    <w:p w14:paraId="48173062" w14:textId="77777777" w:rsidR="00D03B61" w:rsidRPr="00CD6D01" w:rsidRDefault="00D03B61" w:rsidP="00D03B61">
      <w:pPr>
        <w:pStyle w:val="Ttulo"/>
        <w:spacing w:before="0" w:after="0" w:line="240" w:lineRule="auto"/>
        <w:ind w:left="567" w:right="-567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3CA7F1F3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1F9C2A9" w14:textId="77777777" w:rsidR="009B28A4" w:rsidRPr="00D03B61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4C1D2B">
        <w:rPr>
          <w:caps/>
          <w:color w:val="000000"/>
          <w:u w:val="single" w:color="000000"/>
        </w:rPr>
        <w:t>Comentários</w:t>
      </w:r>
      <w:r w:rsidR="00D03B61">
        <w:rPr>
          <w:caps/>
          <w:color w:val="000000"/>
          <w:u w:color="000000"/>
        </w:rPr>
        <w:t>:</w:t>
      </w:r>
    </w:p>
    <w:p w14:paraId="35AD7688" w14:textId="77777777" w:rsidR="009B28A4" w:rsidRPr="004C7863" w:rsidRDefault="000E0C8D" w:rsidP="00D03B61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Recurso adesivo só é cabível quando ocorra sucumbência recíproca na decisão combatida. Está subordinado ao recurso principal. Portanto, não será conhecido, se houver desistência do recurso principal, ou se for declarado inad</w:t>
      </w:r>
      <w:r w:rsidR="00A71D8B">
        <w:rPr>
          <w:color w:val="000000"/>
        </w:rPr>
        <w:t>missível ou deserto (CPC, art. 997</w:t>
      </w:r>
      <w:r w:rsidRPr="004C7863">
        <w:rPr>
          <w:color w:val="000000"/>
        </w:rPr>
        <w:t xml:space="preserve">, </w:t>
      </w:r>
      <w:r w:rsidR="00A71D8B">
        <w:rPr>
          <w:color w:val="000000"/>
        </w:rPr>
        <w:t>§§ 1º e 2º)</w:t>
      </w:r>
      <w:r w:rsidRPr="004C7863">
        <w:rPr>
          <w:color w:val="000000"/>
        </w:rPr>
        <w:t>.</w:t>
      </w:r>
    </w:p>
    <w:p w14:paraId="5AA90E87" w14:textId="77777777" w:rsidR="009B28A4" w:rsidRPr="004C7863" w:rsidRDefault="000E0C8D" w:rsidP="00D03B61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Inadmissível que a parte ao mesmo tempo interponha apelação e recurso adesivo.</w:t>
      </w:r>
    </w:p>
    <w:p w14:paraId="229F4A0E" w14:textId="77777777" w:rsidR="009B28A4" w:rsidRPr="004C7863" w:rsidRDefault="000E0C8D" w:rsidP="00D03B61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A oportunidade para interpor o recurso adesivo é no prazo da resposta recursal em peç</w:t>
      </w:r>
      <w:r>
        <w:rPr>
          <w:color w:val="000000"/>
        </w:rPr>
        <w:t>a autônoma, separada das contrar</w:t>
      </w:r>
      <w:r w:rsidRPr="004C7863">
        <w:rPr>
          <w:color w:val="000000"/>
        </w:rPr>
        <w:t>razões, sendo obrigatório o preparo recursal.</w:t>
      </w:r>
    </w:p>
    <w:p w14:paraId="53E8BBF9" w14:textId="77777777" w:rsidR="009B28A4" w:rsidRPr="004C7863" w:rsidRDefault="000E0C8D" w:rsidP="00D03B61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O recurs</w:t>
      </w:r>
      <w:r w:rsidR="00CF3BBF">
        <w:rPr>
          <w:color w:val="000000"/>
        </w:rPr>
        <w:t>o adesivo é cabível na apelação</w:t>
      </w:r>
      <w:r w:rsidRPr="004C7863">
        <w:rPr>
          <w:color w:val="000000"/>
        </w:rPr>
        <w:t>, recurso extraordinário e recurso especial</w:t>
      </w:r>
      <w:r w:rsidR="003F0DD6">
        <w:rPr>
          <w:color w:val="000000"/>
        </w:rPr>
        <w:t xml:space="preserve"> (CPC</w:t>
      </w:r>
      <w:r w:rsidR="00CF3BBF">
        <w:rPr>
          <w:color w:val="000000"/>
        </w:rPr>
        <w:t>, art. 997, II)</w:t>
      </w:r>
      <w:r w:rsidRPr="004C7863">
        <w:rPr>
          <w:color w:val="000000"/>
        </w:rPr>
        <w:t>.</w:t>
      </w:r>
    </w:p>
    <w:p w14:paraId="228024D6" w14:textId="77777777" w:rsidR="000E0C8D" w:rsidRPr="004C7863" w:rsidRDefault="000E0C8D" w:rsidP="00D03B61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  <w:spacing w:val="-2"/>
        </w:rPr>
        <w:t>- O Ministério Público não tem legitimidade para aviar recurso adesivo quando age como fiscal da lei.</w:t>
      </w:r>
    </w:p>
    <w:p w14:paraId="2911F65E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12538B6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Dr. Juiz de Direito da Comarca de ...</w:t>
      </w:r>
    </w:p>
    <w:p w14:paraId="7BFD594F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1581892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6BB37007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DDDB853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4C7863">
        <w:rPr>
          <w:color w:val="000000"/>
          <w:spacing w:val="2"/>
        </w:rPr>
        <w:t xml:space="preserve">(nome), por seu advogado </w:t>
      </w:r>
      <w:r w:rsidRPr="004C7863">
        <w:rPr>
          <w:i/>
          <w:iCs/>
          <w:color w:val="000000"/>
          <w:spacing w:val="2"/>
        </w:rPr>
        <w:t>in fine</w:t>
      </w:r>
      <w:r w:rsidRPr="004C7863">
        <w:rPr>
          <w:color w:val="000000"/>
          <w:spacing w:val="2"/>
        </w:rPr>
        <w:t xml:space="preserve"> assinado, nos autos epigrafados que contende com ..., não se conformando com a r. sentença de fls. ..., que julgou parcialmente procedente a ação, vem, respeitosamente, interpor o present</w:t>
      </w:r>
      <w:r w:rsidR="00CF3BBF">
        <w:rPr>
          <w:color w:val="000000"/>
          <w:spacing w:val="2"/>
        </w:rPr>
        <w:t>e RECURSO ADESIVO (CPC, art. 997, §§1º e 2º</w:t>
      </w:r>
      <w:r w:rsidRPr="004C7863">
        <w:rPr>
          <w:color w:val="000000"/>
          <w:spacing w:val="2"/>
        </w:rPr>
        <w:t>)</w:t>
      </w:r>
      <w:r w:rsidRPr="004C7863">
        <w:rPr>
          <w:color w:val="000000"/>
          <w:spacing w:val="2"/>
          <w:vertAlign w:val="superscript"/>
        </w:rPr>
        <w:footnoteReference w:id="1"/>
      </w:r>
      <w:r w:rsidRPr="004C7863">
        <w:rPr>
          <w:color w:val="000000"/>
          <w:spacing w:val="2"/>
        </w:rPr>
        <w:t>, dirigido ao eg. TRIBUNAL DE JUSTIÇA DE ..., pelas razões de fato e de direito adiante articuladas:</w:t>
      </w:r>
    </w:p>
    <w:p w14:paraId="1DF524B1" w14:textId="77777777" w:rsidR="004C1D2B" w:rsidRPr="004C7863" w:rsidRDefault="004C1D2B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08D5A4A" w14:textId="77777777" w:rsidR="000E0C8D" w:rsidRPr="004C7863" w:rsidRDefault="000E0C8D" w:rsidP="00D03B6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Colenda Câmara,</w:t>
      </w:r>
    </w:p>
    <w:p w14:paraId="29CDA75E" w14:textId="77777777" w:rsidR="000E0C8D" w:rsidRPr="004C7863" w:rsidRDefault="000E0C8D" w:rsidP="00D03B6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14:paraId="519A9CDC" w14:textId="77777777" w:rsidR="000E0C8D" w:rsidRPr="004C7863" w:rsidRDefault="000E0C8D" w:rsidP="00D03B6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 – O CASO</w:t>
      </w:r>
      <w:r w:rsidR="009B28A4">
        <w:rPr>
          <w:color w:val="000000"/>
        </w:rPr>
        <w:t xml:space="preserve"> </w:t>
      </w:r>
      <w:r w:rsidRPr="004C7863">
        <w:rPr>
          <w:i/>
          <w:iCs/>
          <w:color w:val="000000"/>
        </w:rPr>
        <w:t>SUB LIDE</w:t>
      </w:r>
    </w:p>
    <w:p w14:paraId="33808A5A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5485DC8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</w:pPr>
      <w:r w:rsidRPr="004C7863">
        <w:t xml:space="preserve">1. A irresignação da apelante adesiva surge contra o </w:t>
      </w:r>
      <w:r w:rsidRPr="004C7863">
        <w:rPr>
          <w:i/>
          <w:iCs/>
        </w:rPr>
        <w:t>decisum</w:t>
      </w:r>
      <w:r w:rsidRPr="004C7863">
        <w:t xml:space="preserve"> monocrático, especialmente quanto à parte dispositiva que deixou de fixar a prestação alimentícia para a ex-cônjuge no valor de 5% (cinco por cento) sobre o salário do apelado, com as devidas deduções legais.</w:t>
      </w:r>
    </w:p>
    <w:p w14:paraId="2442BF9D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FBDAA7A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2. Além disso, não concorda também, </w:t>
      </w:r>
      <w:r w:rsidRPr="004C7863">
        <w:rPr>
          <w:i/>
          <w:iCs/>
          <w:color w:val="000000"/>
        </w:rPr>
        <w:t>data venia</w:t>
      </w:r>
      <w:r w:rsidRPr="004C7863">
        <w:rPr>
          <w:color w:val="000000"/>
        </w:rPr>
        <w:t xml:space="preserve">, com a condenação de cada parte a suportar os honorários advocatícios que assumiram com seus procuradores e custas finais </w:t>
      </w:r>
      <w:r w:rsidRPr="004C7863">
        <w:rPr>
          <w:i/>
          <w:iCs/>
          <w:color w:val="000000"/>
        </w:rPr>
        <w:t>pro rata</w:t>
      </w:r>
      <w:r w:rsidRPr="004C7863">
        <w:rPr>
          <w:color w:val="000000"/>
        </w:rPr>
        <w:t>.</w:t>
      </w:r>
    </w:p>
    <w:p w14:paraId="1A41C5E4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8517ED0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4C7863">
        <w:rPr>
          <w:color w:val="000000"/>
          <w:spacing w:val="2"/>
        </w:rPr>
        <w:t>3. Consoante se observa da r. decisão de 1º grau, entendeu o douto prolator, por julgar parcialmente procedente os pedidos insertos na exordial, para o fim de condenar o réu, apelado, “</w:t>
      </w:r>
      <w:r w:rsidRPr="004C7863">
        <w:rPr>
          <w:i/>
          <w:color w:val="000000"/>
          <w:spacing w:val="2"/>
        </w:rPr>
        <w:t xml:space="preserve">a pagar alimentos apenas para suas filhas ... e ..., no valor de 20% (vinte por cento) de seus rendimentos líquidos provenientes de seu salário de Promotor de Justiça, ou </w:t>
      </w:r>
      <w:r w:rsidRPr="004C7863">
        <w:rPr>
          <w:i/>
          <w:color w:val="000000"/>
          <w:spacing w:val="2"/>
        </w:rPr>
        <w:lastRenderedPageBreak/>
        <w:t>seja, 10% para cada uma e incidindo sobre 13º salário e férias, entendendo-se como líquido o bruto menos INSS e Imposto de Renda</w:t>
      </w:r>
      <w:r w:rsidRPr="004C7863">
        <w:rPr>
          <w:color w:val="000000"/>
          <w:spacing w:val="2"/>
        </w:rPr>
        <w:t>”. (</w:t>
      </w:r>
      <w:r w:rsidRPr="004C7863">
        <w:rPr>
          <w:i/>
          <w:iCs/>
          <w:color w:val="000000"/>
          <w:spacing w:val="2"/>
        </w:rPr>
        <w:t>sic</w:t>
      </w:r>
      <w:r w:rsidRPr="004C7863">
        <w:rPr>
          <w:color w:val="000000"/>
          <w:spacing w:val="2"/>
        </w:rPr>
        <w:t>)</w:t>
      </w:r>
    </w:p>
    <w:p w14:paraId="197ADA3D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913267C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4. Entendeu o douto julgador que não viesse a autora a merecer o pensionamento em virtude de que “... </w:t>
      </w:r>
      <w:r w:rsidRPr="004C7863">
        <w:rPr>
          <w:i/>
          <w:iCs/>
          <w:color w:val="000000"/>
        </w:rPr>
        <w:t>aufere renda proveniente de aluguel de imóveis, reside em imóvel próprio e está prestes a concluir curso superior, o que lhe dá plena capacidade de prover o seu sustento</w:t>
      </w:r>
      <w:r w:rsidRPr="004C7863">
        <w:rPr>
          <w:color w:val="000000"/>
        </w:rPr>
        <w:t>” (</w:t>
      </w:r>
      <w:r w:rsidRPr="004C7863">
        <w:rPr>
          <w:i/>
          <w:iCs/>
          <w:color w:val="000000"/>
        </w:rPr>
        <w:t>sic</w:t>
      </w:r>
      <w:r w:rsidRPr="004C7863">
        <w:rPr>
          <w:color w:val="000000"/>
        </w:rPr>
        <w:t>).</w:t>
      </w:r>
    </w:p>
    <w:p w14:paraId="0EB83219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B66B4C2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5. De outra parte, entendeu também o MM. Juiz sentenciante que, como a procedência do pedido foi parcial, cada uma das partes deverá arcar, no que pertine a honorários advocatícios, apenas com o que for devido aos seus próprios e respectivos advogados, além de ratearem em partes iguais as custas processuais finais.</w:t>
      </w:r>
    </w:p>
    <w:p w14:paraId="3E3161D9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783A6D7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6. Não fez, entretanto, a melhor justiça o preclaro prolator do </w:t>
      </w:r>
      <w:r w:rsidRPr="004C7863">
        <w:rPr>
          <w:i/>
          <w:iCs/>
          <w:color w:val="000000"/>
        </w:rPr>
        <w:t>decisum</w:t>
      </w:r>
      <w:r w:rsidRPr="004C7863">
        <w:rPr>
          <w:color w:val="000000"/>
        </w:rPr>
        <w:t xml:space="preserve"> hostilizado.</w:t>
      </w:r>
    </w:p>
    <w:p w14:paraId="60A433E3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66764A2" w14:textId="77777777" w:rsidR="000E0C8D" w:rsidRPr="004C7863" w:rsidRDefault="000E0C8D" w:rsidP="00D03B61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II – DA PENSÃO ALIMENTÍCIA</w:t>
      </w:r>
    </w:p>
    <w:p w14:paraId="178C542D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D85F419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2"/>
        </w:rPr>
      </w:pPr>
      <w:r w:rsidRPr="004C7863">
        <w:rPr>
          <w:color w:val="000000"/>
          <w:spacing w:val="-2"/>
        </w:rPr>
        <w:t xml:space="preserve">7. No que concerne ao não-arbitramento da pensão alimentícia em favor </w:t>
      </w:r>
      <w:proofErr w:type="gramStart"/>
      <w:r w:rsidRPr="004C7863">
        <w:rPr>
          <w:color w:val="000000"/>
          <w:spacing w:val="-2"/>
        </w:rPr>
        <w:t>da cônjuge</w:t>
      </w:r>
      <w:proofErr w:type="gramEnd"/>
      <w:r w:rsidRPr="004C7863">
        <w:rPr>
          <w:color w:val="000000"/>
          <w:spacing w:val="-2"/>
        </w:rPr>
        <w:t xml:space="preserve"> virago, vê-se, sem dificuldade alguma, que não trilhou sua Exa., o magistrado sentenciante, o caminho mais justo.</w:t>
      </w:r>
    </w:p>
    <w:p w14:paraId="16F2544D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998D321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8. Partindo da errônea premissa de que o aluguel de apenas R$ ... (...)mensais atualmente percebido pela apelante pudesse conferir a esta uma certa independência financeira, bem como que o fato de residir em imóvel próprio e estar prestes a concluir curso superior pudessem conferir à autora a “</w:t>
      </w:r>
      <w:r w:rsidRPr="00D03B61">
        <w:rPr>
          <w:i/>
          <w:color w:val="000000"/>
        </w:rPr>
        <w:t>plena capacidade</w:t>
      </w:r>
      <w:r w:rsidRPr="004C7863">
        <w:rPr>
          <w:color w:val="000000"/>
        </w:rPr>
        <w:t>” de prover o seu sustento deixou o magistrado sentenciante de considerar as reais necessidades da apelante.</w:t>
      </w:r>
    </w:p>
    <w:p w14:paraId="26E88BEE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24CF55D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9. Ora, os míseros R$ ... (....) mensais, hoje recebidos, amanhã incertos, não são suficientes, sequer, para que a apelante possa pagar as mensalidades para a finalização de seu curso superior.</w:t>
      </w:r>
    </w:p>
    <w:p w14:paraId="1D6DCAB4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8060DAC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10. De outra parte, o fato de estar supostamente prestes a concluir o seu curso não confere à apelante rendimento algum, senão despesas, sendo esta, e é salutar destacar, a razão de não ter ainda se bacharelado.</w:t>
      </w:r>
    </w:p>
    <w:p w14:paraId="3B472E64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4CB80EE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11. É de se ver, ademais, que a circunstância de residir em imóvel próprio também acarreta outras despesas à apelante, como as de manutenção e conservação do imóvel, condominiais, imposto predial incidente, além de outras taxas e eventuais contribuições de melhoria.</w:t>
      </w:r>
    </w:p>
    <w:p w14:paraId="7E1DF2B0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DF44E09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12. De se anotar, a esse propósito, que tais despesas, em determinas épocas e em certas circunstâncias, se revelam muito mais onerosas de que o simples pagamento de aluguéis.</w:t>
      </w:r>
    </w:p>
    <w:p w14:paraId="0062921B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08BB953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4C7863">
        <w:rPr>
          <w:color w:val="000000"/>
          <w:spacing w:val="2"/>
        </w:rPr>
        <w:t>13. Assim, o que a apelante traz dos anos de relacionamento e dedicação ao apelado, época em que renunciou a si própria para ser companheira exemplar, são apenas obrigações, e nenhuma retribuição.</w:t>
      </w:r>
    </w:p>
    <w:p w14:paraId="6B5182BD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1116FDE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14. Não se pode olvidar que, do portentoso salário do apelado alhures demonstrado e hoje acrescido de mais cerca de 50% (cinquenta por cento) de aumento, é ele ainda possuidor de 02 </w:t>
      </w:r>
      <w:r w:rsidRPr="004C7863">
        <w:rPr>
          <w:color w:val="000000"/>
        </w:rPr>
        <w:lastRenderedPageBreak/>
        <w:t>(duas) produtivas fazendas repletas cabeças de gado, e do valor de todo o estoque da loja de calçados que a ele coube na partilha, e que os autos anunciam ter sido extinta.</w:t>
      </w:r>
    </w:p>
    <w:p w14:paraId="04FD5E03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70C3BB6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15. Por conseguinte, tem-se, </w:t>
      </w:r>
      <w:r w:rsidRPr="004C7863">
        <w:rPr>
          <w:i/>
          <w:iCs/>
          <w:color w:val="000000"/>
        </w:rPr>
        <w:t>in casu</w:t>
      </w:r>
      <w:r w:rsidRPr="004C7863">
        <w:rPr>
          <w:color w:val="000000"/>
        </w:rPr>
        <w:t>, perfeitamente configuradas tanto a necessidade da apelante, quanto a capacidade do apelado de prover-lhe os alimentos que lhes são devidos à luz do direito e da decência moral.</w:t>
      </w:r>
    </w:p>
    <w:p w14:paraId="7B5B6571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C4FA652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16. Não se pode perder de vista que a apelante adesiva, ao se unir ao apelado, renunciou ao seu emprego e à sua carreira para dele cuidar e constituir família; o apelado, por seu turno, ao contrário, com o decisivo apoio da apelante, construiu bela carreira, estando hoje a representar o Ministério Público na comarca da capital.</w:t>
      </w:r>
    </w:p>
    <w:p w14:paraId="16AC84D0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36FDE20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17. Não é justo, nem ético, e nem moralmente correto, que ao apelado caibam todos os bônus da relação, e à apelante tão-somente os ônus.</w:t>
      </w:r>
    </w:p>
    <w:p w14:paraId="25A9652B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E9AD9B1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18. A apelante não tem renda própria certa e nem concluiu seu curso superior, graças à dedicação às suas filhas e ao relacionamento conjugal com o apelado. Nada mais justo que ele, agora, arque também com algum ônus, de forma a propiciar que a apelante possa sobreviver condignamente e concluir os seus estudos, o que, no futuro, poderá lhe garantir rendimento financeiro estável.</w:t>
      </w:r>
    </w:p>
    <w:p w14:paraId="459E488C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451F667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19. Sob os aspectos legal e moral, há de ser majorada a pensão alimentícia, mantendo padrão de vida do tempo da convivência marital.</w:t>
      </w:r>
    </w:p>
    <w:p w14:paraId="3766BB90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B365D99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20. Este é o pensamento da jurisprudência atual.</w:t>
      </w:r>
    </w:p>
    <w:p w14:paraId="6FB1B210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F08F6D8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 xml:space="preserve">“ALIMENTOS A EX-MULHER – Reconhecido que não desempenhe a mulher atividade laboral remunerada, por haver sempre se dedicado, como atividade principal, ao trato do lar e dos filhos, faz jus a alimentos. Apelado da autora provido em aparte e desacolhido o recurso do varão”. </w:t>
      </w:r>
      <w:r w:rsidRPr="004C7863">
        <w:rPr>
          <w:color w:val="000000"/>
        </w:rPr>
        <w:t>(TJRS – APC 70004394037 – 7ª Câm. Cível – Rel. Des. Maria Berenice Dias – 26-06-02)</w:t>
      </w:r>
    </w:p>
    <w:p w14:paraId="65F266A7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F58F8A0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 xml:space="preserve">ALIMENTOS – PRESTAÇÃO A EX-MULHER – ADMISSIBILIDADE – INACEITABILIDADE DE PRESUNÇÃO DE ACEITAÇÃO DAQUELA NO MERCADO DE TRABALHO – Consideração, ademais, para a fixação, do binômio necessidade/capacidade – Recurso não provido. </w:t>
      </w:r>
      <w:r w:rsidRPr="004C7863">
        <w:rPr>
          <w:color w:val="000000"/>
        </w:rPr>
        <w:t>(Apelação Cível n. 256.459-1 – TJSP – 6ª Câmara Cível – 28-09-96).</w:t>
      </w:r>
    </w:p>
    <w:p w14:paraId="3346D171" w14:textId="77777777" w:rsidR="000E0C8D" w:rsidRPr="004C7863" w:rsidRDefault="000E0C8D" w:rsidP="00D03B6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EDDA22F" w14:textId="77777777" w:rsidR="000E0C8D" w:rsidRPr="004C7863" w:rsidRDefault="000E0C8D" w:rsidP="00D03B61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III – DOS HONORÁRIOS ADVOCATÍCIOS E CUSTAS PROCESSUAIS</w:t>
      </w:r>
    </w:p>
    <w:p w14:paraId="57A3BF83" w14:textId="77777777" w:rsidR="000E0C8D" w:rsidRPr="004C7863" w:rsidRDefault="000E0C8D" w:rsidP="00D03B6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FF6E7A5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21. Não se afigura justo, no tocante à questão dos honorários advocatícios, que sejam eles suportados pelas partes apenas em relação aos seus próprios procuradores.</w:t>
      </w:r>
    </w:p>
    <w:p w14:paraId="7E2183B9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6C747CA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22. A questão é de simplicidade franciscana, </w:t>
      </w:r>
      <w:r w:rsidRPr="004C7863">
        <w:rPr>
          <w:i/>
          <w:iCs/>
          <w:color w:val="000000"/>
        </w:rPr>
        <w:t>data maxima</w:t>
      </w:r>
      <w:r w:rsidR="009B28A4">
        <w:rPr>
          <w:i/>
          <w:iCs/>
          <w:color w:val="000000"/>
        </w:rPr>
        <w:t xml:space="preserve"> </w:t>
      </w:r>
      <w:r w:rsidRPr="004C7863">
        <w:rPr>
          <w:i/>
          <w:iCs/>
          <w:color w:val="000000"/>
        </w:rPr>
        <w:t>venia</w:t>
      </w:r>
      <w:r w:rsidRPr="004C7863">
        <w:rPr>
          <w:color w:val="000000"/>
        </w:rPr>
        <w:t>. Não houve, no caso vertente, sucumbência recíproca proporcional. A apelante, na verdade, teve atendidos dois dos três pedidos que formulou, ou seja, teve negado apenas o pensionamento para si própria e reconhecida a obrigação do apelado de pensionar cada uma das filhas.</w:t>
      </w:r>
    </w:p>
    <w:p w14:paraId="061A0CB1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065A2E4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lastRenderedPageBreak/>
        <w:t>23. De tal sorte, a apelante foi vencida em apenas 1/3 de sua postulação, o que enseja condenação do apelado em honorários advocatícios proporcionais à sua sucumbência, conforme ensinam os basilares princípios do direito.</w:t>
      </w:r>
    </w:p>
    <w:p w14:paraId="4626CE55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9C673FC" w14:textId="77777777" w:rsidR="00C92245" w:rsidRDefault="00CF3BBF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24. O art. 85</w:t>
      </w:r>
      <w:r w:rsidR="000E0C8D" w:rsidRPr="004C7863">
        <w:rPr>
          <w:color w:val="000000"/>
        </w:rPr>
        <w:t xml:space="preserve"> do CPC</w:t>
      </w:r>
      <w:r w:rsidR="009B28A4">
        <w:rPr>
          <w:color w:val="000000"/>
        </w:rPr>
        <w:t xml:space="preserve"> </w:t>
      </w:r>
      <w:r w:rsidR="000E0C8D" w:rsidRPr="004C7863">
        <w:rPr>
          <w:color w:val="000000"/>
        </w:rPr>
        <w:t>é taxativo, e impõe a condenação sucumbencial ao vencido, no caso, o apelado</w:t>
      </w:r>
      <w:r w:rsidR="000E0C8D" w:rsidRPr="004C7863">
        <w:rPr>
          <w:i/>
          <w:iCs/>
          <w:color w:val="000000"/>
        </w:rPr>
        <w:t>, in verbis</w:t>
      </w:r>
      <w:r w:rsidR="000E0C8D" w:rsidRPr="004C7863">
        <w:rPr>
          <w:color w:val="000000"/>
        </w:rPr>
        <w:t xml:space="preserve">: </w:t>
      </w:r>
    </w:p>
    <w:p w14:paraId="2D5C73F9" w14:textId="77777777" w:rsidR="00C92245" w:rsidRPr="00C92245" w:rsidRDefault="00C92245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>
        <w:rPr>
          <w:i/>
          <w:color w:val="000000"/>
        </w:rPr>
        <w:t xml:space="preserve">Art. 85. </w:t>
      </w:r>
      <w:r w:rsidRPr="00C92245">
        <w:rPr>
          <w:i/>
          <w:color w:val="000000"/>
        </w:rPr>
        <w:t>A sentença condenará o vencido a pagar honorários ao advogado do vencedor.</w:t>
      </w:r>
    </w:p>
    <w:p w14:paraId="4ED9E0BC" w14:textId="77777777" w:rsidR="009B28A4" w:rsidRPr="00C92245" w:rsidRDefault="00C92245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C92245">
        <w:rPr>
          <w:i/>
          <w:color w:val="000000"/>
        </w:rPr>
        <w:t>§ 1º</w:t>
      </w:r>
      <w:r w:rsidR="009B28A4" w:rsidRPr="00C92245">
        <w:rPr>
          <w:i/>
          <w:color w:val="000000"/>
        </w:rPr>
        <w:t xml:space="preserve"> São devidos honorários advocatícios na reconvenção, no cumprimento de sentença, provisório ou definitivo, na execução, resistida ou não, e nos recursos interpostos, cumulativamente.</w:t>
      </w:r>
    </w:p>
    <w:p w14:paraId="178F7EDD" w14:textId="77777777" w:rsidR="009B28A4" w:rsidRPr="00C92245" w:rsidRDefault="009B28A4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</w:p>
    <w:p w14:paraId="7702B3B5" w14:textId="77777777" w:rsidR="009B28A4" w:rsidRPr="00C92245" w:rsidRDefault="00C92245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C92245">
        <w:rPr>
          <w:i/>
          <w:color w:val="000000"/>
        </w:rPr>
        <w:t>§ 2º</w:t>
      </w:r>
      <w:r w:rsidR="009B28A4" w:rsidRPr="00C92245">
        <w:rPr>
          <w:i/>
          <w:color w:val="000000"/>
        </w:rPr>
        <w:t xml:space="preserve"> Os honorários serão fixados entre o mínimo de dez e o máximo de vinte por cento sobre o valor da condenação, do proveito econômico obtido ou, não sendo possível mensurá-lo, sobre o valor atualizado da causa, atendidos:</w:t>
      </w:r>
    </w:p>
    <w:p w14:paraId="3DB51546" w14:textId="77777777" w:rsidR="009B28A4" w:rsidRPr="00C92245" w:rsidRDefault="009B28A4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C92245">
        <w:rPr>
          <w:i/>
          <w:color w:val="000000"/>
        </w:rPr>
        <w:t>I - o grau de zelo do profissional;</w:t>
      </w:r>
    </w:p>
    <w:p w14:paraId="66FDF545" w14:textId="77777777" w:rsidR="009B28A4" w:rsidRPr="00C92245" w:rsidRDefault="009B28A4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C92245">
        <w:rPr>
          <w:i/>
          <w:color w:val="000000"/>
        </w:rPr>
        <w:t>II - o lugar de prestação do serviço;</w:t>
      </w:r>
    </w:p>
    <w:p w14:paraId="37B745EA" w14:textId="77777777" w:rsidR="009B28A4" w:rsidRPr="00C92245" w:rsidRDefault="009B28A4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C92245">
        <w:rPr>
          <w:i/>
          <w:color w:val="000000"/>
        </w:rPr>
        <w:t>III - a natureza e a importância da causa;</w:t>
      </w:r>
    </w:p>
    <w:p w14:paraId="0D01E06D" w14:textId="77777777" w:rsidR="00C92245" w:rsidRDefault="009B28A4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C92245">
        <w:rPr>
          <w:i/>
          <w:color w:val="000000"/>
        </w:rPr>
        <w:t>IV - o trabalho realizado pelo advogado e o tempo exigido para o seu serviço.</w:t>
      </w:r>
      <w:r w:rsidR="00C92245">
        <w:rPr>
          <w:i/>
          <w:color w:val="000000"/>
        </w:rPr>
        <w:t xml:space="preserve"> (...)</w:t>
      </w:r>
    </w:p>
    <w:p w14:paraId="1C0B74D7" w14:textId="77777777" w:rsidR="000E0C8D" w:rsidRPr="00D03B61" w:rsidRDefault="00C92245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D03B61">
        <w:rPr>
          <w:i/>
          <w:color w:val="000000"/>
        </w:rPr>
        <w:t>§ 14.  Os honorários constituem direito do advogado e têm natureza alimentar, com os mesmos privilégios dos créditos oriundos da legislação do trabalho, sendo vedada a compensação em caso de sucumbência parcial.</w:t>
      </w:r>
    </w:p>
    <w:p w14:paraId="7E8E1B44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CB904A1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25. Diante de tal quadro, soa absolutamente claro, deve o apelado arcar com honorários advocatícios no montante a ser fixado por este colegiado aos patronos da apelante adesiva.</w:t>
      </w:r>
    </w:p>
    <w:p w14:paraId="50F350F4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17590E3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26. O STJ já posicionou em questões desta natureza, arbitrando os honorários advocatícios até mesmo quando não fixados os alimentos no valor exato pretendido pela parte. Eis o aresto:</w:t>
      </w:r>
    </w:p>
    <w:p w14:paraId="36440BB0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B8133C1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 xml:space="preserve">“PROCESSUAL CIVIL – RECURSO ESPECIAL – AÇÃO DE ALIMENTOS – VALOR DA PENSÃO ALIMENTÍCIA – CAPACIDADE ECONÔMICA DO ALIMENTANTE – SUCUMBÊNCIA. No caso em que o juízo julga procedente o pedido de alimentos, mas fixa-os em valor inferior ao </w:t>
      </w:r>
      <w:r w:rsidRPr="004C7863">
        <w:rPr>
          <w:color w:val="000000"/>
        </w:rPr>
        <w:t>réu</w:t>
      </w:r>
      <w:r w:rsidRPr="004C7863">
        <w:rPr>
          <w:i/>
          <w:iCs/>
          <w:color w:val="000000"/>
        </w:rPr>
        <w:t xml:space="preserve"> na petição inicial, atendendo à capacidade econômica do réu/alimentante, este deve arcar com o pagamento das custas e honorários”. (REsp. 332562-SP, STJ – Min. Nancy Andrighi, 2001). </w:t>
      </w:r>
    </w:p>
    <w:p w14:paraId="56AB64A1" w14:textId="77777777" w:rsidR="000E0C8D" w:rsidRPr="004C7863" w:rsidRDefault="000E0C8D" w:rsidP="00D03B61">
      <w:pPr>
        <w:suppressAutoHyphens/>
        <w:autoSpaceDE w:val="0"/>
        <w:autoSpaceDN w:val="0"/>
        <w:adjustRightInd w:val="0"/>
        <w:spacing w:before="170" w:after="57"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IV – DOS PEDIDOS</w:t>
      </w:r>
    </w:p>
    <w:p w14:paraId="08405586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71DB1C6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27.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 xml:space="preserve">, a recorrente requer seja dado PROVIMENTO AO APELO ADESIVO, para arbitrar no valor de 5% (cinco por cento) do salário líquido do apelado a prestação alimentícia em seu favor, condenado ainda o apelado </w:t>
      </w:r>
      <w:r w:rsidR="00C92245">
        <w:rPr>
          <w:color w:val="000000"/>
        </w:rPr>
        <w:t>ao pagamento de honorários sucumbe</w:t>
      </w:r>
      <w:r w:rsidRPr="004C7863">
        <w:rPr>
          <w:color w:val="000000"/>
        </w:rPr>
        <w:t>ncia</w:t>
      </w:r>
      <w:r w:rsidR="00C92245">
        <w:rPr>
          <w:color w:val="000000"/>
        </w:rPr>
        <w:t>is que deverão ser fixados por V. Exa.,</w:t>
      </w:r>
      <w:r w:rsidRPr="004C7863">
        <w:rPr>
          <w:color w:val="000000"/>
        </w:rPr>
        <w:t xml:space="preserve"> pelos fatos e fundamentos aduzidos.</w:t>
      </w:r>
    </w:p>
    <w:p w14:paraId="3939C655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87A76B4" w14:textId="77777777" w:rsidR="000E0C8D" w:rsidRPr="004C7863" w:rsidRDefault="00C92245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</w:t>
      </w:r>
      <w:r w:rsidR="000E0C8D" w:rsidRPr="004C7863">
        <w:rPr>
          <w:color w:val="000000"/>
        </w:rPr>
        <w:t>m anexo a guia com o devido preparo.</w:t>
      </w:r>
    </w:p>
    <w:p w14:paraId="0D28D0B4" w14:textId="77777777" w:rsidR="000E0C8D" w:rsidRPr="004C7863" w:rsidRDefault="000E0C8D" w:rsidP="00D03B6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1DB3FDC" w14:textId="77777777" w:rsidR="003F0DD6" w:rsidRPr="004C7863" w:rsidRDefault="000E0C8D" w:rsidP="00D03B6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032DDD27" w14:textId="77777777" w:rsidR="000E0C8D" w:rsidRPr="004C7863" w:rsidRDefault="000E0C8D" w:rsidP="00D03B6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1189C8F5" w14:textId="77777777" w:rsidR="000E0C8D" w:rsidRPr="004C7863" w:rsidRDefault="000E0C8D" w:rsidP="00D03B6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6DEF23CA" w14:textId="77777777" w:rsidR="001B23D8" w:rsidRDefault="001B23D8" w:rsidP="00D03B61">
      <w:pPr>
        <w:ind w:left="0" w:right="-568"/>
      </w:pPr>
    </w:p>
    <w:sectPr w:rsidR="001B23D8" w:rsidSect="009A1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F4DE" w14:textId="77777777" w:rsidR="002E38E7" w:rsidRDefault="002E38E7" w:rsidP="000E0C8D">
      <w:r>
        <w:separator/>
      </w:r>
    </w:p>
  </w:endnote>
  <w:endnote w:type="continuationSeparator" w:id="0">
    <w:p w14:paraId="25B4D86A" w14:textId="77777777" w:rsidR="002E38E7" w:rsidRDefault="002E38E7" w:rsidP="000E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BC29" w14:textId="77777777" w:rsidR="002E38E7" w:rsidRDefault="002E38E7" w:rsidP="000E0C8D">
      <w:r>
        <w:separator/>
      </w:r>
    </w:p>
  </w:footnote>
  <w:footnote w:type="continuationSeparator" w:id="0">
    <w:p w14:paraId="490C5C4A" w14:textId="77777777" w:rsidR="002E38E7" w:rsidRDefault="002E38E7" w:rsidP="000E0C8D">
      <w:r>
        <w:continuationSeparator/>
      </w:r>
    </w:p>
  </w:footnote>
  <w:footnote w:id="1">
    <w:p w14:paraId="7096698F" w14:textId="77777777" w:rsidR="000E0C8D" w:rsidRPr="004C7863" w:rsidRDefault="000E0C8D" w:rsidP="00D03B61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CF3BBF" w:rsidRPr="00CF3BBF">
        <w:rPr>
          <w:b/>
          <w:bCs/>
          <w:sz w:val="20"/>
          <w:szCs w:val="20"/>
        </w:rPr>
        <w:t>Art. 997</w:t>
      </w:r>
      <w:r w:rsidR="00CF3BBF" w:rsidRPr="00CF3BBF">
        <w:rPr>
          <w:bCs/>
          <w:sz w:val="20"/>
          <w:szCs w:val="20"/>
        </w:rPr>
        <w:t>.  Cada parte interporá o recurso independentemente, no prazo e com observância das exigências legais.</w:t>
      </w:r>
      <w:r w:rsidR="00CF3BBF" w:rsidRPr="00CF3BBF">
        <w:rPr>
          <w:b/>
          <w:bCs/>
          <w:sz w:val="20"/>
          <w:szCs w:val="20"/>
        </w:rPr>
        <w:t>§ 1</w:t>
      </w:r>
      <w:r w:rsidR="00CF3BBF">
        <w:rPr>
          <w:b/>
          <w:bCs/>
          <w:sz w:val="20"/>
          <w:szCs w:val="20"/>
        </w:rPr>
        <w:t>º</w:t>
      </w:r>
      <w:r w:rsidR="00CF3BBF" w:rsidRPr="00CF3BBF">
        <w:rPr>
          <w:bCs/>
          <w:sz w:val="20"/>
          <w:szCs w:val="20"/>
        </w:rPr>
        <w:t>Sendo vencidos autor e réu, ao recurso interposto por qualquer deles poderá aderir o outro.</w:t>
      </w:r>
      <w:r w:rsidR="00CF3BBF" w:rsidRPr="00CF3BBF">
        <w:rPr>
          <w:b/>
          <w:bCs/>
          <w:sz w:val="20"/>
          <w:szCs w:val="20"/>
        </w:rPr>
        <w:t>§ 2</w:t>
      </w:r>
      <w:r w:rsidR="00CF3BBF">
        <w:rPr>
          <w:b/>
          <w:bCs/>
          <w:sz w:val="20"/>
          <w:szCs w:val="20"/>
        </w:rPr>
        <w:t>º</w:t>
      </w:r>
      <w:r w:rsidR="00CF3BBF" w:rsidRPr="00CF3BBF">
        <w:rPr>
          <w:bCs/>
          <w:sz w:val="20"/>
          <w:szCs w:val="20"/>
        </w:rPr>
        <w:t>O recurso adesivo fica subordinado ao recurso independente, sendo-lhe aplicáveis as mesmas regras deste quanto aos requisitos de admissibilidade e julgamento no tribunal, salvo disposição legal diversa, observado, ainda, o seguinte:</w:t>
      </w:r>
      <w:r w:rsidR="00CF3BBF">
        <w:rPr>
          <w:bCs/>
          <w:sz w:val="20"/>
          <w:szCs w:val="20"/>
        </w:rPr>
        <w:t xml:space="preserve"> (...)</w:t>
      </w:r>
    </w:p>
    <w:p w14:paraId="555C8D75" w14:textId="77777777" w:rsidR="000E0C8D" w:rsidRPr="004C7863" w:rsidRDefault="000E0C8D" w:rsidP="00D03B61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C8D"/>
    <w:rsid w:val="000223FC"/>
    <w:rsid w:val="00071C3C"/>
    <w:rsid w:val="000A23DE"/>
    <w:rsid w:val="000C7DF5"/>
    <w:rsid w:val="000E0C8D"/>
    <w:rsid w:val="001A6070"/>
    <w:rsid w:val="001B23D8"/>
    <w:rsid w:val="001F521D"/>
    <w:rsid w:val="00265BC9"/>
    <w:rsid w:val="002E38E7"/>
    <w:rsid w:val="003250D8"/>
    <w:rsid w:val="00334414"/>
    <w:rsid w:val="003F0DD6"/>
    <w:rsid w:val="004C1D2B"/>
    <w:rsid w:val="004E7204"/>
    <w:rsid w:val="00500B69"/>
    <w:rsid w:val="006A7A21"/>
    <w:rsid w:val="0074562F"/>
    <w:rsid w:val="007A05CD"/>
    <w:rsid w:val="00937DC8"/>
    <w:rsid w:val="009A1D72"/>
    <w:rsid w:val="009B28A4"/>
    <w:rsid w:val="009C3671"/>
    <w:rsid w:val="00A71D8B"/>
    <w:rsid w:val="00A91EB2"/>
    <w:rsid w:val="00AA2E0B"/>
    <w:rsid w:val="00C92245"/>
    <w:rsid w:val="00CF3BBF"/>
    <w:rsid w:val="00D03B61"/>
    <w:rsid w:val="00FA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2DD7"/>
  <w15:docId w15:val="{7F6D82D8-AB38-4C85-A4CD-BDC52E42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8D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E0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C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03B61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D03B61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D03B6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1556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2020-07-14T18:19:00Z</dcterms:created>
  <dcterms:modified xsi:type="dcterms:W3CDTF">2020-08-28T01:10:00Z</dcterms:modified>
</cp:coreProperties>
</file>